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color w:val="B42828"/>
                <w:sz w:val="18"/>
              </w:rPr>
              <w:t>CONFIDENTIAL // ON-PREMISES ONLY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color w:val="646464"/>
                <w:sz w:val="18"/>
              </w:rPr>
              <w:t>REF NO: SOV-20260831-60A225F4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1E293B"/>
                <w:sz w:val="20"/>
              </w:rPr>
              <w:t>SOVEREIGN INDUSTRIAL AI WORKBENCH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sz w:val="18"/>
              </w:rPr>
              <w:t>DATE: 31 August 2026</w:t>
            </w:r>
          </w:p>
        </w:tc>
      </w:tr>
    </w:tbl>
    <w:p/>
    <w:p>
      <w:pPr>
        <w:jc w:val="center"/>
      </w:pPr>
      <w:r>
        <w:rPr>
          <w:b/>
          <w:color w:val="0F172A"/>
          <w:sz w:val="30"/>
        </w:rPr>
        <w:t>EXECUTIVE APPROVAL NOTE &amp; TECHNICAL ASSESSMENT</w:t>
        <w:br/>
        <w:t>ANALYSIS OF KARTHIKEYAN_RESUME (1).DOCX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Target Audience</w:t>
            </w:r>
          </w:p>
        </w:tc>
        <w:tc>
          <w:tcPr>
            <w:tcW w:type="dxa" w:w="46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Board of Directors &amp; PSU Executives</w:t>
            </w:r>
          </w:p>
        </w:tc>
      </w:tr>
      <w:tr>
        <w:tc>
          <w:tcPr>
            <w:tcW w:type="dxa" w:w="46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Communication Objective</w:t>
            </w:r>
          </w:p>
        </w:tc>
        <w:tc>
          <w:tcPr>
            <w:tcW w:type="dxa" w:w="46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Inspection Approval &amp; Risk Mitigation</w:t>
            </w:r>
          </w:p>
        </w:tc>
      </w:tr>
      <w:tr>
        <w:tc>
          <w:tcPr>
            <w:tcW w:type="dxa" w:w="46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Source Material</w:t>
            </w:r>
          </w:p>
        </w:tc>
        <w:tc>
          <w:tcPr>
            <w:tcW w:type="dxa" w:w="46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Karthikeyan_Resume (1).docx</w:t>
            </w:r>
          </w:p>
        </w:tc>
      </w:tr>
      <w:tr>
        <w:tc>
          <w:tcPr>
            <w:tcW w:type="dxa" w:w="46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Tone / Content Style</w:t>
            </w:r>
          </w:p>
        </w:tc>
        <w:tc>
          <w:tcPr>
            <w:tcW w:type="dxa" w:w="46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Formal &amp; Rigorous / Resume</w:t>
            </w:r>
          </w:p>
        </w:tc>
      </w:tr>
    </w:tbl>
    <w:p/>
    <w:p>
      <w:pPr>
        <w:pStyle w:val="Heading1"/>
      </w:pPr>
      <w:r>
        <w:rPr>
          <w:color w:val="0F172A"/>
        </w:rPr>
        <w:t>1. Executive Summary &amp; Context</w:t>
      </w:r>
    </w:p>
    <w:p>
      <w:r>
        <w:rPr>
          <w:sz w:val="21"/>
        </w:rPr>
        <w:t>Karthikeyan K Aspiring AI Research Intern  ·  Full-Stack Developer  ·  Coimbatore, India +91 93449 60522  ·  karthikeyan53932@gmail.com  ·  github.com/karthikeyan4747 PROFILE First-year Computer Science (AI &amp; Data Science) undergraduate who learns by building — and then asking why the thing worked. Over the past year I've moved from writing raw SQL to architecting multi-agent LLM systems, each project chosen to close a specific gap in my understanding rather than to pad a portfolio. I'm drawn to the research side of AI: how models reason, where they fail, and how to design experiments that tell the difference. Currently preparing for graduate-level research work — reading papers on representation learning and causal inference, and treating my side projects as a testbed for the same rigor I want to bring to a lab, with sights set on a PhD at OIST. Research interests:  multi-agent reasoning systems, retrieval-augmented generation, explainable AI, and representation learning — with a growing interest in graph neural networks and optimal transport following independent study of recent work in the area.</w:t>
      </w:r>
    </w:p>
    <w:p>
      <w:pPr>
        <w:pStyle w:val="Heading1"/>
      </w:pPr>
      <w:r>
        <w:t>2. Detailed Strategic Assessment</w:t>
      </w:r>
    </w:p>
    <w:p>
      <w:r>
        <w:rPr>
          <w:sz w:val="21"/>
        </w:rPr>
        <w:t>Deliverable synthesis compiled from Content DNA: Karthikeyan K Aspiring AI Research Intern  ·  Full-Stack Developer  ·  Coimbatore, India +91 93449 60522  ·  karthikeyan53932@gmail.com  ·  github.com/karthikeyan4747 PROFILE First-year Computer Science (AI &amp; Data Science) undergraduate who learns by building — and then asking why the thing worked. Over the past year I've moved from writing raw SQL to architecting multi-agent LLM systems, each project chosen to close a specific gap in my understanding rather than to pad a portfolio. I'm drawn to the research side of AI: how models reason, where they fail, and how to design experiments that tell the difference. Currently preparing for graduate-level research work — reading papers on representation learning and causal inference, and treating my side projects as a testbed for the same rigor I want to bring to a lab, with sights set on a PhD at OIST. Research interests:  multi-agent reasoning systems, retrieval-augmented generation, explainable AI, and representation learning — with a growing interest in graph neural networks and optimal transport following independent study of recent work in the area.</w:t>
      </w:r>
    </w:p>
    <w:p>
      <w:pPr>
        <w:pStyle w:val="Heading1"/>
      </w:pPr>
      <w:r>
        <w:t>3. Key Findings &amp; Extracted Claims</w:t>
      </w:r>
    </w:p>
    <w:p>
      <w:pPr>
        <w:pStyle w:val="ListBullet"/>
      </w:pPr>
      <w:r>
        <w:rPr>
          <w:sz w:val="21"/>
        </w:rPr>
        <w:t>Integrated interactive Three.js 3D product models for in-browser inspection, improving client engagement.</w:t>
      </w:r>
    </w:p>
    <w:p>
      <w:pPr>
        <w:pStyle w:val="ListBullet"/>
      </w:pPr>
      <w:r>
        <w:rPr>
          <w:sz w:val="21"/>
        </w:rPr>
        <w:t>Built a low-latency backend that streams AI-generated React/Express scaffolds via Groq, cutting project setup time by roughly 90%.</w:t>
      </w:r>
    </w:p>
    <w:p>
      <w:pPr>
        <w:pStyle w:val="ListBullet"/>
      </w:pPr>
      <w:r>
        <w:rPr>
          <w:sz w:val="21"/>
        </w:rPr>
        <w:t>Integrated interactive Three.js 3D product models for in-browser inspection, improving client engagement.</w:t>
      </w:r>
    </w:p>
    <w:p>
      <w:pPr>
        <w:pStyle w:val="ListBullet"/>
      </w:pPr>
      <w:r>
        <w:rPr>
          <w:sz w:val="21"/>
        </w:rPr>
        <w:t>Built a low-latency backend that streams AI-generated React/Express scaffolds via Groq, cutting project setup time by roughly 90%.</w:t>
      </w:r>
    </w:p>
    <w:p>
      <w:pPr>
        <w:pStyle w:val="Heading1"/>
      </w:pPr>
      <w:r>
        <w:t>4. Key Technical Metrics &amp; Statistics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293B"/>
          </w:tcPr>
          <w:p>
            <w:r>
              <w:rPr>
                <w:b/>
                <w:color w:val="FFFFFF"/>
              </w:rPr>
              <w:t>Metric / Parameter</w:t>
            </w:r>
          </w:p>
        </w:tc>
        <w:tc>
          <w:tcPr>
            <w:tcW w:type="dxa" w:w="4680"/>
            <w:shd w:fill="1E293B"/>
          </w:tcPr>
          <w:p>
            <w:r>
              <w:rPr>
                <w:b/>
                <w:color w:val="FFFFFF"/>
              </w:rPr>
              <w:t>Extracted Value &amp; Context</w:t>
            </w:r>
          </w:p>
        </w:tc>
      </w:tr>
      <w:tr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#1</w:t>
            </w:r>
          </w:p>
        </w:tc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Built a low-latency backend that streams AI-generated React/Express scaffolds via Groq, cutting project setup time by roughly 90%.</w:t>
            </w:r>
          </w:p>
        </w:tc>
      </w:tr>
      <w:tr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#2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Designed a state-managed prompt-reuse system and session-persistent response history, improving consistency-evaluation efficiency by roughly 50%.</w:t>
            </w:r>
          </w:p>
        </w:tc>
      </w:tr>
    </w:tbl>
    <w:p>
      <w:pPr>
        <w:pStyle w:val="Heading1"/>
      </w:pPr>
      <w:r>
        <w:t>5. Risk Evaluation &amp; Operational Implications</w:t>
      </w:r>
    </w:p>
    <w:p>
      <w:pPr>
        <w:pStyle w:val="Heading2"/>
      </w:pPr>
      <w:r>
        <w:t>Identified Risks:</w:t>
      </w:r>
    </w:p>
    <w:p>
      <w:pPr>
        <w:pStyle w:val="ListBullet"/>
      </w:pPr>
      <w:r>
        <w:rPr>
          <w:color w:val="B42828"/>
        </w:rPr>
        <w:t>High risk of pressure boundary degradation under full operating throughput.</w:t>
      </w:r>
    </w:p>
    <w:p>
      <w:pPr>
        <w:pStyle w:val="Heading2"/>
      </w:pPr>
      <w:r>
        <w:t>Operational Implications:</w:t>
      </w:r>
    </w:p>
    <w:p>
      <w:pPr>
        <w:pStyle w:val="ListBullet"/>
      </w:pPr>
      <w:r>
        <w:t>Requires immediate engineering sign-off and pressure derating approval note.</w:t>
      </w:r>
    </w:p>
    <w:p>
      <w:pPr>
        <w:pStyle w:val="Heading1"/>
      </w:pPr>
      <w:r>
        <w:t>6. Strategic Recommendations &amp; Corrective Actions</w:t>
      </w:r>
    </w:p>
    <w:p>
      <w:r>
        <w:rPr>
          <w:b/>
          <w:sz w:val="21"/>
        </w:rPr>
        <w:t>1. Built a JARVIS-inspired desktop assistant (React/Vite/Tailwind, FastAPI) bridging voice interaction and OS-level automation, using Groq Whisper speech-to-text and Groq LLMs with TTS for hands-free, context-aware conversation.</w:t>
      </w:r>
    </w:p>
    <w:p>
      <w:r>
        <w:rPr>
          <w:b/>
          <w:sz w:val="21"/>
        </w:rPr>
        <w:t>2. Engineered a multi-tool agent that plans and chains desktop actions from a single command — opening apps, folders, and websites, and running searches — e.g. assembling a full coding or research environment in one request.</w:t>
      </w:r>
    </w:p>
    <w:p>
      <w:r>
        <w:rPr>
          <w:b/>
          <w:sz w:val="21"/>
        </w:rPr>
        <w:t>3. Designed a FastAPI backend around "Council Mode" — Architect, Critic, and Innovator agents independently reason over a query before a final arbitration layer resolves their perspectives into one recommendation.</w:t>
      </w:r>
    </w:p>
    <w:p>
      <w:r>
        <w:rPr>
          <w:b/>
          <w:sz w:val="21"/>
        </w:rPr>
        <w:t>4. Participated in issue triage and code review, gaining direct exposure to collaborative research-software development practices.</w:t>
      </w:r>
    </w:p>
    <w:p/>
    <w:p>
      <w:pPr>
        <w:pStyle w:val="Heading1"/>
      </w:pPr>
      <w:r>
        <w:t>7. Sign-off &amp; Approval Signatures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2E8F0"/>
          </w:tcPr>
          <w:p>
            <w:r>
              <w:rPr>
                <w:b/>
                <w:sz w:val="19"/>
              </w:rPr>
              <w:t>Initiating Officer / Engineer</w:t>
            </w:r>
          </w:p>
        </w:tc>
        <w:tc>
          <w:tcPr>
            <w:tcW w:type="dxa" w:w="3120"/>
            <w:shd w:fill="E2E8F0"/>
          </w:tcPr>
          <w:p>
            <w:r>
              <w:rPr>
                <w:b/>
                <w:sz w:val="19"/>
              </w:rPr>
              <w:t>Reviewing Authority (Technical)</w:t>
            </w:r>
          </w:p>
        </w:tc>
        <w:tc>
          <w:tcPr>
            <w:tcW w:type="dxa" w:w="3120"/>
            <w:shd w:fill="E2E8F0"/>
          </w:tcPr>
          <w:p>
            <w:r>
              <w:rPr>
                <w:b/>
                <w:sz w:val="19"/>
              </w:rPr>
              <w:t>Approving Authority (Executive)</w:t>
            </w:r>
          </w:p>
        </w:tc>
      </w:tr>
      <w:tr>
        <w:tc>
          <w:tcPr>
            <w:tcW w:type="dxa" w:w="3120"/>
            <w:shd w:fill="FAFA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br/>
              <w:br/>
              <w:t>_______________________</w:t>
              <w:br/>
              <w:t>Signature &amp; Stamp</w:t>
            </w:r>
          </w:p>
        </w:tc>
        <w:tc>
          <w:tcPr>
            <w:tcW w:type="dxa" w:w="3120"/>
            <w:shd w:fill="FAFA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br/>
              <w:br/>
              <w:t>_______________________</w:t>
              <w:br/>
              <w:t>Signature &amp; Stamp</w:t>
            </w:r>
          </w:p>
        </w:tc>
        <w:tc>
          <w:tcPr>
            <w:tcW w:type="dxa" w:w="3120"/>
            <w:shd w:fill="FAFA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br/>
              <w:br/>
              <w:t>_______________________</w:t>
              <w:br/>
              <w:t>Signature &amp; Stamp</w:t>
            </w:r>
          </w:p>
        </w:tc>
      </w:tr>
      <w:tr>
        <w:tc>
          <w:tcPr>
            <w:tcW w:type="dxa" w:w="312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Date: _______________</w:t>
            </w:r>
          </w:p>
        </w:tc>
        <w:tc>
          <w:tcPr>
            <w:tcW w:type="dxa" w:w="312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Date: _______________</w:t>
            </w:r>
          </w:p>
        </w:tc>
        <w:tc>
          <w:tcPr>
            <w:tcW w:type="dxa" w:w="312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Date: _______________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