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b/>
          <w:bCs/>
          <w:color w:val="1F4E79"/>
          <w:sz w:val="56"/>
          <w:szCs w:val="56"/>
        </w:rPr>
        <w:t xml:space="preserve">SmarterP Connector</w:t>
      </w:r>
    </w:p>
    <w:p>
      <w:pPr>
        <w:spacing w:after="200"/>
        <w:jc w:val="center"/>
      </w:pPr>
      <w:r>
        <w:rPr>
          <w:color w:val="444444"/>
          <w:sz w:val="32"/>
          <w:szCs w:val="32"/>
        </w:rPr>
        <w:t xml:space="preserve">Calculation &amp; Display Logic — Full Walkthrough</w:t>
      </w:r>
    </w:p>
    <w:p>
      <w:pPr>
        <w:spacing w:after="80"/>
        <w:jc w:val="center"/>
      </w:pPr>
      <w:r>
        <w:rPr>
          <w:i/>
          <w:iCs/>
          <w:color w:val="666666"/>
          <w:sz w:val="24"/>
          <w:szCs w:val="24"/>
        </w:rPr>
        <w:t xml:space="preserve">Every page, every number, and the exact rule behind it</w:t>
      </w:r>
    </w:p>
    <w:p>
      <w:pPr>
        <w:spacing w:after="500"/>
        <w:jc w:val="center"/>
      </w:pPr>
      <w:r>
        <w:rPr>
          <w:color w:val="666666"/>
          <w:sz w:val="22"/>
          <w:szCs w:val="22"/>
        </w:rPr>
        <w:t xml:space="preserve">Prepared for cross-verification with Manoj Sir  ·  13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18"/>
              <w:bottom w:val="single" w:color="CCCCCC" w:sz="1"/>
              <w:right w:val="single" w:color="CCCCCC" w:sz="1"/>
            </w:tcBorders>
            <w:shd w:fill="DCEFDC" w:val="clear"/>
            <w:tcMar>
              <w:top w:type="dxa" w:w="120"/>
              <w:left w:type="dxa" w:w="160"/>
              <w:bottom w:type="dxa" w:w="120"/>
              <w:right w:type="dxa" w:w="160"/>
            </w:tcMar>
          </w:tcPr>
          <w:p>
            <w:pPr>
              <w:spacing w:after="60"/>
            </w:pPr>
            <w:r>
              <w:rPr>
                <w:b/>
                <w:bCs/>
                <w:color w:val="1F4E79"/>
              </w:rPr>
              <w:t xml:space="preserve">How to read this document</w:t>
            </w:r>
          </w:p>
          <w:p>
            <w:pPr>
              <w:spacing w:after="40" w:line="260"/>
            </w:pPr>
            <w:r>
              <w:t xml:space="preserve">This is a plain-English map of what the dashboard shows and the logic underneath each figure. For every page it lists each card, chart and table, the ERP view it reads from, the date column it filters on, and the exact formula used.</w:t>
            </w:r>
          </w:p>
          <w:p>
            <w:pPr>
              <w:spacing w:after="40" w:line="260"/>
            </w:pPr>
            <w:r>
              <w:rPr>
                <w:b/>
                <w:bCs/>
              </w:rPr>
              <w:t xml:space="preserve">Purpose: </w:t>
            </w:r>
            <w:r>
              <w:t xml:space="preserve">so you and Manoj Sir can confirm — line by line — whether each calculation matches the intended business definition. Where a number could be read two ways, it is flagged for confirmation rather than assumed correct.</w:t>
            </w:r>
          </w:p>
          <w:p>
            <w:pPr>
              <w:spacing w:after="40" w:line="260"/>
            </w:pPr>
            <w:r>
              <w:rPr>
                <w:b/>
                <w:bCs/>
              </w:rPr>
              <w:t xml:space="preserve">The three issues Manoj raised </w:t>
            </w:r>
            <w:r>
              <w:t xml:space="preserve">(data labels, YTD vs Last Year, Category Contribution %) each have a dedicated root-cause section near the end, with the code location and the recommended fix.</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Foundations — concepts used everywhere</w:t>
      </w:r>
    </w:p>
    <w:p>
      <w:pPr>
        <w:spacing w:after="120" w:line="264"/>
      </w:pPr>
      <w:r>
        <w:t xml:space="preserve">Before the page-by-page detail, here are the building blocks every screen relies on. If these definitions are agreed, most numbers across the app follow automatically.</w:t>
      </w:r>
    </w:p>
    <w:p>
      <w:pPr>
        <w:pStyle w:val="Heading2"/>
      </w:pPr>
      <w:r>
        <w:t xml:space="preserve">1.1  The main data source</w:t>
      </w:r>
    </w:p>
    <w:p>
      <w:pPr>
        <w:spacing w:after="120" w:line="264"/>
      </w:pPr>
      <w:r>
        <w:t xml:space="preserve">Almost every sales figure (Dashboard, Analytics, and most AI answers) reads one canonical ERP view: </w:t>
      </w:r>
      <w:r>
        <w:rPr>
          <w:rFonts w:ascii="Consolas" w:cs="Consolas" w:eastAsia="Consolas" w:hAnsi="Consolas"/>
          <w:sz w:val="18"/>
          <w:szCs w:val="18"/>
        </w:rPr>
        <w:t xml:space="preserve">dbo.VW_MB_POWERBI_SLS_DATA_WITHOUT_ITEMID</w:t>
      </w:r>
      <w:r>
        <w:t xml:space="preserve">. This view has one row per product line on each bill, so a single invoice with 4 items appears as 4 rows. That one fact explains several rules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What it means</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Column in the view</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Why this column</w:t>
            </w:r>
          </w:p>
        </w:tc>
      </w:tr>
      <w:tr>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Revenue / Sales</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SalesNetAmount</w:t>
            </w:r>
          </w:p>
        </w:tc>
        <w:tc>
          <w:tcPr>
            <w:tcW w:type="dxa" w:w="3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Net amount after discount — the agreed sales value.</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Date filter</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CashmemoDt</w:t>
            </w:r>
          </w:p>
        </w:tc>
        <w:tc>
          <w:tcPr>
            <w:tcW w:type="dxa" w:w="3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The cash-memo (billing) date. All Today / MTD / YTD windows filter on this.</w:t>
            </w:r>
          </w:p>
        </w:tc>
      </w:tr>
      <w:tr>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Quantity sold</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SalesQuantity</w:t>
            </w:r>
          </w:p>
        </w:tc>
        <w:tc>
          <w:tcPr>
            <w:tcW w:type="dxa" w:w="3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Actual units sold (SUM) — not a row count.</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Bills / invoices</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BillCount (distinct)</w:t>
            </w:r>
          </w:p>
        </w:tc>
        <w:tc>
          <w:tcPr>
            <w:tcW w:type="dxa" w:w="3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COUNT(DISTINCT) so multi-line invoices count once.</w:t>
            </w:r>
          </w:p>
        </w:tc>
      </w:tr>
      <w:tr>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Category dimension</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CategoryShortName</w:t>
            </w:r>
          </w:p>
        </w:tc>
        <w:tc>
          <w:tcPr>
            <w:tcW w:type="dxa" w:w="3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Used for category charts &amp; contribution.</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Branch dimension</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BranchAlias</w:t>
            </w:r>
          </w:p>
        </w:tc>
        <w:tc>
          <w:tcPr>
            <w:tcW w:type="dxa" w:w="3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Used for branch / store charts.</w:t>
            </w:r>
          </w:p>
        </w:tc>
      </w:tr>
    </w:tbl>
    <w:p>
      <w:pPr>
        <w:pStyle w:val="Heading2"/>
      </w:pPr>
      <w:r>
        <w:t xml:space="preserve">1.2  Five rules that prevent double-counting and mismatches</w:t>
      </w:r>
    </w:p>
    <w:p>
      <w:pPr>
        <w:pStyle w:val="ListParagraph"/>
        <w:numPr>
          <w:ilvl w:val="0"/>
          <w:numId w:val="2"/>
        </w:numPr>
        <w:spacing w:after="60" w:line="260"/>
      </w:pPr>
      <w:r>
        <w:rPr>
          <w:b/>
          <w:bCs/>
        </w:rPr>
        <w:t xml:space="preserve">Bills / Transactions = COUNT(DISTINCT bill), never a row count. </w:t>
      </w:r>
      <w:r>
        <w:t xml:space="preserve">Because the view has one row per item line, counting rows would overstate invoices. We count distinct bills. (The Power BI card that showed a higher number was counting rows.)</w:t>
      </w:r>
    </w:p>
    <w:p>
      <w:pPr>
        <w:pStyle w:val="ListParagraph"/>
        <w:numPr>
          <w:ilvl w:val="0"/>
          <w:numId w:val="2"/>
        </w:numPr>
        <w:spacing w:after="60" w:line="260"/>
      </w:pPr>
      <w:r>
        <w:rPr>
          <w:b/>
          <w:bCs/>
        </w:rPr>
        <w:t xml:space="preserve">Quantity = SUM(SalesQuantity) = real units. </w:t>
      </w:r>
      <w:r>
        <w:t xml:space="preserve">This is why our quantity (~241K) differs from a Power BI card (~269K) that was counting rows, not summing units. Ours is the true unit count.</w:t>
      </w:r>
    </w:p>
    <w:p>
      <w:pPr>
        <w:pStyle w:val="ListParagraph"/>
        <w:numPr>
          <w:ilvl w:val="0"/>
          <w:numId w:val="2"/>
        </w:numPr>
        <w:spacing w:after="60" w:line="260"/>
      </w:pPr>
      <w:r>
        <w:rPr>
          <w:b/>
          <w:bCs/>
        </w:rPr>
        <w:t xml:space="preserve">Dates are in IST (UTC+5:30). </w:t>
      </w:r>
      <w:r>
        <w:t xml:space="preserve">The ERP records transactions in Indian Standard Time, so Today / MTD boundaries roll over at Indian midnight, not UTC midnight. A helper today_ist() is used everywhere instead of the raw system date.</w:t>
      </w:r>
    </w:p>
    <w:p>
      <w:pPr>
        <w:pStyle w:val="ListParagraph"/>
        <w:numPr>
          <w:ilvl w:val="0"/>
          <w:numId w:val="2"/>
        </w:numPr>
        <w:spacing w:after="60" w:line="260"/>
      </w:pPr>
      <w:r>
        <w:rPr>
          <w:b/>
          <w:bCs/>
        </w:rPr>
        <w:t xml:space="preserve">YTD = Indian Financial Year (1 April → today), not 1 January. </w:t>
      </w:r>
      <w:r>
        <w:t xml:space="preserve">“Year-to-date” means the financial year starting each 1 April. Read in June 2026, YTD = 1 Apr 2026 → 13 Jun 2026. This is deliberate and consistent across Dashboard and AI Query.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18"/>
              <w:bottom w:val="single" w:color="CCCCCC" w:sz="1"/>
              <w:right w:val="single" w:color="CCCCCC" w:sz="1"/>
            </w:tcBorders>
            <w:shd w:fill="FCE8C8" w:val="clear"/>
            <w:tcMar>
              <w:top w:type="dxa" w:w="120"/>
              <w:left w:type="dxa" w:w="160"/>
              <w:bottom w:type="dxa" w:w="120"/>
              <w:right w:type="dxa" w:w="160"/>
            </w:tcMar>
          </w:tcPr>
          <w:p>
            <w:pPr>
              <w:spacing w:after="60"/>
            </w:pPr>
            <w:r>
              <w:rPr>
                <w:b/>
                <w:bCs/>
                <w:color w:val="1F4E79"/>
              </w:rPr>
              <w:t xml:space="preserve">Please confirm this one with Manoj Sir</w:t>
            </w:r>
          </w:p>
          <w:p>
            <w:pPr>
              <w:spacing w:after="40" w:line="260"/>
            </w:pPr>
            <w:r>
              <w:rPr>
                <w:b/>
                <w:bCs/>
              </w:rPr>
              <w:t xml:space="preserve">Financial-year YTD vs calendar-year YTD is the single most likely cause of the “YTD looks wrong” feedback. </w:t>
            </w:r>
            <w:r>
              <w:t xml:space="preserve">If the business expects YTD to start 1 January (or to match a Power BI report that uses the calendar year), the figure will look wrong even though the code is internally correct. One line decides this — see section 9.2.</w:t>
            </w:r>
          </w:p>
        </w:tc>
      </w:tr>
    </w:tbl>
    <w:p>
      <w:pPr>
        <w:pStyle w:val="ListParagraph"/>
        <w:numPr>
          <w:ilvl w:val="0"/>
          <w:numId w:val="2"/>
        </w:numPr>
        <w:spacing w:after="60" w:line="260"/>
      </w:pPr>
      <w:r>
        <w:rPr>
          <w:b/>
          <w:bCs/>
        </w:rPr>
        <w:t xml:space="preserve">Year-on-year compares the same window one year earlier (same day-range). </w:t>
      </w:r>
      <w:r>
        <w:t xml:space="preserve">“Last Year” on every chart/KPI means the identical calendar window shifted back one year — e.g. 1–13 Jun 2025 against 1–13 Jun 2026 — never the full prior year. This keeps growth % fair (13 days vs 13 days).</w:t>
      </w:r>
    </w:p>
    <w:p>
      <w:pPr>
        <w:pStyle w:val="Heading2"/>
      </w:pPr>
      <w:r>
        <w:t xml:space="preserve">1.3  Date windows,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Period button</w:t>
            </w:r>
          </w:p>
        </w:tc>
        <w:tc>
          <w:tcPr>
            <w:tcW w:type="dxa" w:w="3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Means</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Start → End (example for 13 Jun 2026)</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Today</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Just today (IST)</w:t>
            </w:r>
          </w:p>
        </w:tc>
        <w:tc>
          <w:tcPr>
            <w:tcW w:type="dxa" w:w="3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13 Jun → 13 Jun</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MTD</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Month-to-date</w:t>
            </w:r>
          </w:p>
        </w:tc>
        <w:tc>
          <w:tcPr>
            <w:tcW w:type="dxa" w:w="3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1 Jun → 13 Jun</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QTD</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Quarter-to-date (calendar quarter)</w:t>
            </w:r>
          </w:p>
        </w:tc>
        <w:tc>
          <w:tcPr>
            <w:tcW w:type="dxa" w:w="3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 Apr → 13 Jun</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FY YTD</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Financial year to date</w:t>
            </w:r>
          </w:p>
        </w:tc>
        <w:tc>
          <w:tcPr>
            <w:tcW w:type="dxa" w:w="3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1 Apr → 13 Jun</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Last 6M</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Rolling 180 days</w:t>
            </w:r>
          </w:p>
        </w:tc>
        <w:tc>
          <w:tcPr>
            <w:tcW w:type="dxa" w:w="3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~16 Dec → 13 Jun</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Custom</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Any range you pick</w:t>
            </w:r>
          </w:p>
        </w:tc>
        <w:tc>
          <w:tcPr>
            <w:tcW w:type="dxa" w:w="3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picker start → end</w:t>
            </w:r>
          </w:p>
        </w:tc>
      </w:tr>
    </w:tbl>
    <w:p>
      <w:pPr>
        <w:spacing w:after="120" w:line="264"/>
      </w:pPr>
      <w:r>
        <w:rPr>
          <w:b/>
          <w:bCs/>
        </w:rPr>
        <w:t xml:space="preserve">“Today = MTD on the 1st”: </w:t>
      </w:r>
      <w:r>
        <w:t xml:space="preserve">on the first day of a month, MTD and Today cover the same single day, so the app shares one cached result for both — they can never disagree on the 1st.</w:t>
      </w:r>
    </w:p>
    <w:p>
      <w:r>
        <w:br w:type="page"/>
      </w:r>
    </w:p>
    <w:p>
      <w:pPr>
        <w:pStyle w:val="Heading1"/>
      </w:pPr>
      <w:r>
        <w:t xml:space="preserve">2.  AI Dashboard</w:t>
      </w:r>
    </w:p>
    <w:p>
      <w:pPr>
        <w:spacing w:after="120" w:line="264"/>
      </w:pPr>
      <w:r>
        <w:t xml:space="preserve">The landing page — a snapshot of today and the month so far, plus trend and breakdown charts. Everything reads the main sales view on CashmemoDt.</w:t>
      </w:r>
    </w:p>
    <w:p>
      <w:pPr>
        <w:pStyle w:val="Heading2"/>
      </w:pPr>
      <w:r>
        <w:t xml:space="preserve">2.1  KPI cards (top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Card</w:t>
            </w:r>
          </w:p>
        </w:tc>
        <w:tc>
          <w:tcPr>
            <w:tcW w:type="dxa" w:w="3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What it shows</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Exact logic</w:t>
            </w:r>
          </w:p>
        </w:tc>
      </w:tr>
      <w:tr>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Today</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Today's net sales</w:t>
            </w:r>
          </w:p>
        </w:tc>
        <w:tc>
          <w:tcPr>
            <w:tcW w:type="dxa" w:w="4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SUM(SalesNetAmount) where CashmemoDt = today (IST)</w:t>
            </w:r>
          </w:p>
        </w:tc>
      </w:tr>
      <w:tr>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Bills Today</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Distinct invoices today</w:t>
            </w:r>
          </w:p>
        </w:tc>
        <w:tc>
          <w:tcPr>
            <w:tcW w:type="dxa" w:w="4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COUNT(DISTINCT bill) for today</w:t>
            </w:r>
          </w:p>
        </w:tc>
      </w:tr>
      <w:tr>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Today Qty</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Units sold today</w:t>
            </w:r>
          </w:p>
        </w:tc>
        <w:tc>
          <w:tcPr>
            <w:tcW w:type="dxa" w:w="4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SUM(SalesQuantity) for today</w:t>
            </w:r>
          </w:p>
        </w:tc>
      </w:tr>
      <w:tr>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MTD Sales</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Month-to-date net sales</w:t>
            </w:r>
          </w:p>
        </w:tc>
        <w:tc>
          <w:tcPr>
            <w:tcW w:type="dxa" w:w="4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SUM(SalesNetAmount), 1st → today</w:t>
            </w:r>
          </w:p>
        </w:tc>
      </w:tr>
      <w:tr>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MTD Qty</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Month-to-date units</w:t>
            </w:r>
          </w:p>
        </w:tc>
        <w:tc>
          <w:tcPr>
            <w:tcW w:type="dxa" w:w="44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SUM(SalesQuantity), 1st → today</w:t>
            </w:r>
          </w:p>
        </w:tc>
      </w:tr>
      <w:tr>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MTD Customers</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Distinct buyers this month</w:t>
            </w:r>
          </w:p>
        </w:tc>
        <w:tc>
          <w:tcPr>
            <w:tcW w:type="dxa" w:w="4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COUNT(DISTINCT CustomerId), 1st → today</w:t>
            </w:r>
          </w:p>
        </w:tc>
      </w:tr>
    </w:tbl>
    <w:p>
      <w:pPr>
        <w:spacing w:after="120" w:line="264"/>
      </w:pPr>
      <w:r>
        <w:t xml:space="preserve">Each card also shows a growth figure: </w:t>
      </w:r>
      <w:r>
        <w:rPr>
          <w:b/>
          <w:bCs/>
        </w:rPr>
        <w:t xml:space="preserve">growth % = (current − last year) ÷ last year × 100</w:t>
      </w:r>
      <w:r>
        <w:t xml:space="preserve">, where “last year” is the same window one year ago. When last year is zero the percentage is hidden (cannot divide by zero).</w:t>
      </w:r>
    </w:p>
    <w:p>
      <w:pPr>
        <w:pStyle w:val="Heading2"/>
      </w:pPr>
      <w:r>
        <w:t xml:space="preserve">2.2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420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Chart</w:t>
            </w:r>
          </w:p>
        </w:tc>
        <w:tc>
          <w:tcPr>
            <w:tcW w:type="dxa" w:w="3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What it shows</w:t>
            </w:r>
          </w:p>
        </w:tc>
        <w:tc>
          <w:tcPr>
            <w:tcW w:type="dxa" w:w="4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Logic</w:t>
            </w:r>
          </w:p>
        </w:tc>
      </w:tr>
      <w:tr>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Daily sales trend</w:t>
            </w:r>
          </w:p>
        </w:tc>
        <w:tc>
          <w:tcPr>
            <w:tcW w:type="dxa" w:w="32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Revenue per day this month, with a faint Last-Year series behind it</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Daily SUM(SalesNetAmount). The Last-Year line is the same day one year earlier, matched date-by-date.</w:t>
            </w:r>
          </w:p>
        </w:tc>
      </w:tr>
      <w:tr>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 by category</w:t>
            </w:r>
          </w:p>
        </w:tc>
        <w:tc>
          <w:tcPr>
            <w:tcW w:type="dxa" w:w="32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Each category's share of revenue</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SUM(SalesNetAmount) grouped by CategoryShortName; share % = category ÷ total of all categories.</w:t>
            </w:r>
          </w:p>
        </w:tc>
      </w:tr>
      <w:tr>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Bills per day</w:t>
            </w:r>
          </w:p>
        </w:tc>
        <w:tc>
          <w:tcPr>
            <w:tcW w:type="dxa" w:w="32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Distinct invoices per day</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COUNT(DISTINCT bill) grouped by day.</w:t>
            </w:r>
          </w:p>
        </w:tc>
      </w:tr>
      <w:tr>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Top branches</w:t>
            </w:r>
          </w:p>
        </w:tc>
        <w:tc>
          <w:tcPr>
            <w:tcW w:type="dxa" w:w="32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Branches ranked by revenue</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SUM(SalesNetAmount) grouped by BranchAlias, highest first.</w:t>
            </w:r>
          </w:p>
        </w:tc>
      </w:tr>
      <w:tr>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Units vs bills</w:t>
            </w:r>
          </w:p>
        </w:tc>
        <w:tc>
          <w:tcPr>
            <w:tcW w:type="dxa" w:w="32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Units sold against invoice count</w:t>
            </w:r>
          </w:p>
        </w:tc>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SUM(SalesQuantity) and COUNT(DISTINCT bill) per period.</w:t>
            </w:r>
          </w:p>
        </w:tc>
      </w:tr>
      <w:tr>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Recent Transactions</w:t>
            </w:r>
          </w:p>
        </w:tc>
        <w:tc>
          <w:tcPr>
            <w:tcW w:type="dxa" w:w="32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Latest bills feed</w:t>
            </w:r>
          </w:p>
        </w:tc>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Most-recent rows from the transactions view (see section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18"/>
              <w:bottom w:val="single" w:color="CCCCCC" w:sz="1"/>
              <w:right w:val="single" w:color="CCCCCC" w:sz="1"/>
            </w:tcBorders>
            <w:shd w:fill="D5E8F0" w:val="clear"/>
            <w:tcMar>
              <w:top w:type="dxa" w:w="120"/>
              <w:left w:type="dxa" w:w="160"/>
              <w:bottom w:type="dxa" w:w="120"/>
              <w:right w:type="dxa" w:w="160"/>
            </w:tcMar>
          </w:tcPr>
          <w:p>
            <w:pPr>
              <w:spacing w:after="60"/>
            </w:pPr>
            <w:r>
              <w:rPr>
                <w:b/>
                <w:bCs/>
                <w:color w:val="1F4E79"/>
              </w:rPr>
              <w:t xml:space="preserve">Self-check built into the Dashboard</w:t>
            </w:r>
          </w:p>
          <w:p>
            <w:pPr>
              <w:spacing w:after="40" w:line="260"/>
            </w:pPr>
            <w:r>
              <w:t xml:space="preserve">After loading, the Dashboard adds up the daily trend and compares it to the headline MTD figure. If the two differ by more than 0.1% it flags a checksum mismatch. In normal operation they match exactly — an internal guard so a broken query can't silently show wrong totals.</w:t>
            </w:r>
          </w:p>
        </w:tc>
      </w:tr>
    </w:tbl>
    <w:p>
      <w:r>
        <w:br w:type="page"/>
      </w:r>
    </w:p>
    <w:p>
      <w:pPr>
        <w:pStyle w:val="Heading1"/>
      </w:pPr>
      <w:r>
        <w:t xml:space="preserve">3.  Analytics</w:t>
      </w:r>
    </w:p>
    <w:p>
      <w:pPr>
        <w:spacing w:after="120" w:line="264"/>
      </w:pPr>
      <w:r>
        <w:t xml:space="preserve">A deeper version of the Dashboard with a period selector (Today / MTD / QTD / FY YTD / Last 6M / Custom) and richer breakdowns. Same data source, same definitions — just more cuts.</w:t>
      </w:r>
    </w:p>
    <w:p>
      <w:pPr>
        <w:pStyle w:val="Heading2"/>
      </w:pPr>
      <w:r>
        <w:t xml:space="preserve">3.1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Card</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Logic</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Quantity Sold</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SUM(SalesQuantity) for the selected period</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Bills Generated</w:t>
            </w:r>
          </w:p>
        </w:tc>
        <w:tc>
          <w:tcPr>
            <w:tcW w:type="dxa" w:w="6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COUNT(DISTINCT bill) for the selected period</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Customer Count</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COUNT(DISTINCT CustomerId) for the selected period</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Distinct Suppliers</w:t>
            </w:r>
          </w:p>
        </w:tc>
        <w:tc>
          <w:tcPr>
            <w:tcW w:type="dxa" w:w="6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COUNT(DISTINCT SupplierAlias) for the selected period</w:t>
            </w:r>
          </w:p>
        </w:tc>
      </w:tr>
    </w:tbl>
    <w:p>
      <w:pPr>
        <w:pStyle w:val="Heading2"/>
      </w:pPr>
      <w:r>
        <w:t xml:space="preserve">3.2  Charts and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Display</w:t>
            </w:r>
          </w:p>
        </w:tc>
        <w:tc>
          <w:tcPr>
            <w:tcW w:type="dxa" w:w="3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What it shows</w:t>
            </w:r>
          </w:p>
        </w:tc>
        <w:tc>
          <w:tcPr>
            <w:tcW w:type="dxa" w:w="3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Logic</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 Analytics (main)</w:t>
            </w:r>
          </w:p>
        </w:tc>
        <w:tc>
          <w:tcPr>
            <w:tcW w:type="dxa" w:w="32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Revenue this period vs same period last year</w:t>
            </w:r>
          </w:p>
        </w:tc>
        <w:tc>
          <w:tcPr>
            <w:tcW w:type="dxa" w:w="38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SUM(SalesNetAmount) current vs same window last year (day or month buckets by range length). Bar labels in ₹ Lakhs.</w:t>
            </w:r>
          </w:p>
        </w:tc>
      </w:tr>
      <w:tr>
        <w:tc>
          <w:tcPr>
            <w:tcW w:type="dxa" w:w="2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Day-wise Sales</w:t>
            </w:r>
          </w:p>
        </w:tc>
        <w:tc>
          <w:tcPr>
            <w:tcW w:type="dxa" w:w="32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Revenue per day</w:t>
            </w:r>
          </w:p>
        </w:tc>
        <w:tc>
          <w:tcPr>
            <w:tcW w:type="dxa" w:w="3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Daily SUM(SalesNetAmount). Value labels shown when ≤ 31 days.</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Day-wise Bills</w:t>
            </w:r>
          </w:p>
        </w:tc>
        <w:tc>
          <w:tcPr>
            <w:tcW w:type="dxa" w:w="32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Invoices per day</w:t>
            </w:r>
          </w:p>
        </w:tc>
        <w:tc>
          <w:tcPr>
            <w:tcW w:type="dxa" w:w="38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Daily COUNT(DISTINCT bill) — same bill definition as the KPI card.</w:t>
            </w:r>
          </w:p>
        </w:tc>
      </w:tr>
      <w:tr>
        <w:tc>
          <w:tcPr>
            <w:tcW w:type="dxa" w:w="2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Category-wise Sales</w:t>
            </w:r>
          </w:p>
        </w:tc>
        <w:tc>
          <w:tcPr>
            <w:tcW w:type="dxa" w:w="32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Revenue + share % + bills by category</w:t>
            </w:r>
          </w:p>
        </w:tc>
        <w:tc>
          <w:tcPr>
            <w:tcW w:type="dxa" w:w="3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SUM(SalesNetAmount) grouped by CategoryShortName; share % via window total; value labels on top of each bar.</w:t>
            </w:r>
          </w:p>
        </w:tc>
      </w:tr>
      <w:tr>
        <w:tc>
          <w:tcPr>
            <w:tcW w:type="dxa" w:w="2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Branch-wise / Store-wise Sales</w:t>
            </w:r>
          </w:p>
        </w:tc>
        <w:tc>
          <w:tcPr>
            <w:tcW w:type="dxa" w:w="32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Revenue + share % + bills by branch</w:t>
            </w:r>
          </w:p>
        </w:tc>
        <w:tc>
          <w:tcPr>
            <w:tcW w:type="dxa" w:w="38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SUM(SalesNetAmount) grouped by BranchAlias, ranked by revenue; value labels on top of each bar.</w:t>
            </w:r>
          </w:p>
        </w:tc>
      </w:tr>
      <w:tr>
        <w:tc>
          <w:tcPr>
            <w:tcW w:type="dxa" w:w="2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Department-wise Sales</w:t>
            </w:r>
          </w:p>
        </w:tc>
        <w:tc>
          <w:tcPr>
            <w:tcW w:type="dxa" w:w="32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Revenue by department</w:t>
            </w:r>
          </w:p>
        </w:tc>
        <w:tc>
          <w:tcPr>
            <w:tcW w:type="dxa" w:w="3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SUM(SalesNetAmount) grouped by DepartmentShortName; blanks removed; only departments with sales &gt;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18"/>
              <w:bottom w:val="single" w:color="CCCCCC" w:sz="1"/>
              <w:right w:val="single" w:color="CCCCCC" w:sz="1"/>
            </w:tcBorders>
            <w:shd w:fill="FCE8C8" w:val="clear"/>
            <w:tcMar>
              <w:top w:type="dxa" w:w="120"/>
              <w:left w:type="dxa" w:w="160"/>
              <w:bottom w:type="dxa" w:w="120"/>
              <w:right w:type="dxa" w:w="160"/>
            </w:tcMar>
          </w:tcPr>
          <w:p>
            <w:pPr>
              <w:spacing w:after="60"/>
            </w:pPr>
            <w:r>
              <w:rPr>
                <w:b/>
                <w:bCs/>
                <w:color w:val="1F4E79"/>
              </w:rPr>
              <w:t xml:space="preserve">Data labels — the point Manoj raised (Issue 1)</w:t>
            </w:r>
          </w:p>
          <w:p>
            <w:pPr>
              <w:spacing w:after="40" w:line="260"/>
            </w:pPr>
            <w:r>
              <w:rPr>
                <w:b/>
                <w:bCs/>
              </w:rPr>
              <w:t xml:space="preserve">What the code actually does: </w:t>
            </w:r>
            <w:r>
              <w:t xml:space="preserve">on the Category-wise and Branch-wise bar charts the numeric value (revenue in ₹ Lakhs) IS drawn on top of every bar, and the category / branch name sits on the axis directly below each bar. Each bar is labelled twice — value above, name below.</w:t>
            </w:r>
          </w:p>
          <w:p>
            <w:pPr>
              <w:spacing w:after="40" w:line="260"/>
            </w:pPr>
            <w:r>
              <w:rPr>
                <w:b/>
                <w:bCs/>
              </w:rPr>
              <w:t xml:space="preserve">Why it can look missing: </w:t>
            </w:r>
            <w:r>
              <w:t xml:space="preserve">the value labels use a muted grey colour and shrink to a very small font when there are many bars (7px above ~16 items), and the chart can be switched to a Pie or Table view where bar-top labels don't apply. Full root cause and fix in section 9.1.</w:t>
            </w:r>
          </w:p>
        </w:tc>
      </w:tr>
    </w:tbl>
    <w:p>
      <w:r>
        <w:br w:type="page"/>
      </w:r>
    </w:p>
    <w:p>
      <w:pPr>
        <w:pStyle w:val="Heading1"/>
      </w:pPr>
      <w:r>
        <w:t xml:space="preserve">4.  AI Query — the 48 verified templates</w:t>
      </w:r>
    </w:p>
    <w:p>
      <w:pPr>
        <w:spacing w:after="120" w:line="264"/>
      </w:pPr>
      <w:r>
        <w:t xml:space="preserve">The AI Query page answers natural-language questions. For trusted topics it does not improvise SQL — it matches the question to one of 48 </w:t>
      </w:r>
      <w:r>
        <w:rPr>
          <w:b/>
          <w:bCs/>
        </w:rPr>
        <w:t xml:space="preserve">verified templates</w:t>
      </w:r>
      <w:r>
        <w:t xml:space="preserve"> with hand-written, tested SQL. That is what keeps the numbers stable. Below: how a question becomes an answer, then the full list with each template's data source and formula.</w:t>
      </w:r>
    </w:p>
    <w:p>
      <w:pPr>
        <w:pStyle w:val="Heading2"/>
      </w:pPr>
      <w:r>
        <w:t xml:space="preserve">4.1  How a question is answered</w:t>
      </w:r>
    </w:p>
    <w:p>
      <w:pPr>
        <w:pStyle w:val="ListParagraph"/>
        <w:numPr>
          <w:ilvl w:val="0"/>
          <w:numId w:val="2"/>
        </w:numPr>
        <w:spacing w:after="60" w:line="260"/>
      </w:pPr>
      <w:r>
        <w:t xml:space="preserve">The question is matched against the verified-template patterns first (e.g. “YTD growth vs last year”).</w:t>
      </w:r>
    </w:p>
    <w:p>
      <w:pPr>
        <w:pStyle w:val="ListParagraph"/>
        <w:numPr>
          <w:ilvl w:val="0"/>
          <w:numId w:val="2"/>
        </w:numPr>
        <w:spacing w:after="60" w:line="260"/>
      </w:pPr>
      <w:r>
        <w:t xml:space="preserve">If a template matches, its pre-written SQL runs — same logic every time, so the answer is reproducible.</w:t>
      </w:r>
    </w:p>
    <w:p>
      <w:pPr>
        <w:pStyle w:val="ListParagraph"/>
        <w:numPr>
          <w:ilvl w:val="0"/>
          <w:numId w:val="2"/>
        </w:numPr>
        <w:spacing w:after="60" w:line="260"/>
      </w:pPr>
      <w:r>
        <w:t xml:space="preserve">Only if nothing matches does the system fall back to AI-generated SQL, which is then safety-checked before it runs.</w:t>
      </w:r>
    </w:p>
    <w:p>
      <w:pPr>
        <w:spacing w:after="120" w:line="264"/>
      </w:pPr>
      <w:r>
        <w:rPr>
          <w:b/>
          <w:bCs/>
        </w:rPr>
        <w:t xml:space="preserve">An honesty note worth sharing with the client: </w:t>
      </w:r>
      <w:r>
        <w:t xml:space="preserve">several templates labelled “heuristic” or “not ML” below are rule-based estimates (e.g. “predict next month” = a 3-month average), not machine-learning forecasts. They are labelled so expectations are set correctly.</w:t>
      </w:r>
    </w:p>
    <w:p>
      <w:pPr>
        <w:pStyle w:val="Heading2"/>
      </w:pPr>
      <w:r>
        <w:t xml:space="preserve">4.2  Full template reference</w:t>
      </w:r>
    </w:p>
    <w:p>
      <w:pPr>
        <w:spacing w:after="120" w:line="264"/>
      </w:pPr>
      <w:r>
        <w:t xml:space="preserve">Legend:  ✅ matches the Analytics dashboard definition   ·   ⚠ different-but-intentional (worth confirming the wording)   ·   ❌ known mismatch to fix.  Templates marked “FIXED 13 Jun” were corrected in this round (see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700"/>
        <w:gridCol w:w="1700"/>
        <w:gridCol w:w="3200"/>
        <w:gridCol w:w="1300"/>
      </w:tblGrid>
      <w:tr>
        <w:trPr>
          <w:tblHeader/>
        </w:trPr>
        <w:tc>
          <w:tcPr>
            <w:tcW w:type="dxa" w:w="4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w:t>
            </w:r>
          </w:p>
        </w:tc>
        <w:tc>
          <w:tcPr>
            <w:tcW w:type="dxa" w:w="2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Question / metric</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Source view</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Core formula</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Aligns?</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Store MTD sales, customers, ATS</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MTD sales; ATS = sales ÷ customers</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2</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Department MTD</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Same, by department</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3</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Category MTD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Same, by category</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4</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Month-wise sales since Apr'24</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Monthly SUM from 2024-04-01</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5</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5-year department × category</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Monthly SUM, 5-yr rolling</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6</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Average sales MTD</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Total ÷ trading days</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7</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Today's sales + customers</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Distinct bills / customers, today</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8</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YTD, QTD, MTD growth vs LY</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6-row UNION; FY YTD + calendar QTD/MTD vs same window LY</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(def. to confirm)</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9</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Highest store MTD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TOP 1 by revenue</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10</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Highest department MTD</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TOP 1</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11</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Highest category MTD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TOP 1</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12</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Most-selling product</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SLSXNS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TOP 1 by qty (MTD)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label clarified to MTD</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13</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Least-selling product</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SLSXNS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Bottom 20 by revenue (MTD)</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label clarified to MTD</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14</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Highest supplier</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MIS_SUP</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TOP 1 (MTD)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15</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Lowest supplier</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MIS_SUP</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TOP 1 ascending</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16</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Top stores by growth %</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MTD vs prior partial month (not YoY)</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different definition</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17</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Bottom stores decline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As #16, decline only</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18</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Products fastest MoM</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SLSXNS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Last complete month vs prior, TOP 50</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FIXED + optimised</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19</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Categories negative growth</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Month-over-month via LAG</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20</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Predict next month</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3-month average (rule-based)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data fixed; still heuristic</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21</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Stock requirement 30d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SLSXNS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avg daily × 30</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data fixed; heuristic</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22</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Stock-out prediction</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SLSXNS+STOCK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OnHand &lt; 7× daily avg</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data fixed; heuristic</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23</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Slow-moving inventory</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SLSXNS+STOCK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Sold &lt; 10% of stock (30d)</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data fixed; heuristic</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24</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Fast-moving inventory</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SLSXNS+STOCK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Stock &lt; 50% of sold (30d)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data fixed; heuristic</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25</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Repeat purchase analysis</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SALES_AI</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Visits per customer (MTD)</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26</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Peak sales hours</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Hour from CreatedOn (MTD)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hour from CreatedOn</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27</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Festival vs non-festival</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Oct/Nov as festive proxy (3 yrs)</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data fixed; proxy</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28</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Region-wise sales</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By BranchRegion (MTD)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29</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Supplier contribution %</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Window % on SalesNetAmount / CashmemoDt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30</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Avg basket by store</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ATS = sales ÷ customers</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31</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Avg invoice value trend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 ÷ distinct invoice (24 mo)</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32</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Discount impact</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(ItemMRP×Qty) − Net proxy</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33</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Store ranking</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As #1, sorted</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34</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Product recommendation</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SALES_AI+PM</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Repeat buyers ≥ 2 invoices</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not ML</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35</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Demand forecast store × cat</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3-month average</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Heuristic</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36</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Daily target vs achievement</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Benchmark = MTD avg daily</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no ERP targets</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37</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Weather / festival trend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Rank vs 3-yr avg</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data fixed; no weather API</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38</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High-return products</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SLSXNS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ReturnQty ÷ SoldQty (MTD)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39</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 spike / drop alerts</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±25% threshold (14 days)</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40</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Top customers</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SALES_AI</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TOP N by purchase (MTD)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41</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New vs repeat customers</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SALES_AI</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Repeat = &gt;1 invoice MTD</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42</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Category contribution %</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Window % on SalesNetAmount / CashmemoDt</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43</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Gross margin by category</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(SalesNetAmount − SalesCost) ÷ SalesNetAmount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44</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Inventory aging</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STOCK</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Age from PurInvoiceDt</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Snapshot</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45</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Dead stock</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STOCK</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Positive qty, &gt;90d old purchase</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Snapshot</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46</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Sell-through %</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SLSXNS+STOCK (fixed)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sold ÷ (sold + on-hand)</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FIXED 13 Jun</w:t>
            </w:r>
          </w:p>
        </w:tc>
      </w:tr>
      <w:tr>
        <w:tc>
          <w:tcPr>
            <w:tcW w:type="dxa" w:w="4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47</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Festival sales prediction</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SALESPERSON (fixed)</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As #37 (3 yrs)</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 data fixed; proxy</w:t>
            </w:r>
          </w:p>
        </w:tc>
      </w:tr>
      <w:tr>
        <w:tc>
          <w:tcPr>
            <w:tcW w:type="dxa" w:w="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48</w:t>
            </w:r>
          </w:p>
        </w:tc>
        <w:tc>
          <w:tcPr>
            <w:tcW w:type="dxa" w:w="2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AI business insights</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SALESPERSON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CTE snapshot, MTD + same-day-range LY, ₹ Lakhs</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 matches dashboard YoY slice</w:t>
            </w:r>
          </w:p>
        </w:tc>
      </w:tr>
    </w:tbl>
    <w:p>
      <w:pPr>
        <w:spacing w:after="120" w:line="264"/>
      </w:pPr>
      <w:r>
        <w:rPr>
          <w:b/>
          <w:bCs/>
        </w:rPr>
        <w:t xml:space="preserve">Reading the source column: </w:t>
      </w:r>
      <w:r>
        <w:t xml:space="preserve">“SALESPERSON” = the main canonical view (CashmemoDt, SalesNetAmount) used by the Dashboard — these align cleanly. “APP” = VW_MB_POWERBI_APP_REPORT (XnDt, NetAmount), which is sparser and is the root of two of the ❌ items (templates 29 and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18"/>
              <w:bottom w:val="single" w:color="CCCCCC" w:sz="1"/>
              <w:right w:val="single" w:color="CCCCCC" w:sz="1"/>
            </w:tcBorders>
            <w:shd w:fill="DCEFDC" w:val="clear"/>
            <w:tcMar>
              <w:top w:type="dxa" w:w="120"/>
              <w:left w:type="dxa" w:w="160"/>
              <w:bottom w:type="dxa" w:w="120"/>
              <w:right w:type="dxa" w:w="160"/>
            </w:tcMar>
          </w:tcPr>
          <w:p>
            <w:pPr>
              <w:spacing w:after="60"/>
            </w:pPr>
            <w:r>
              <w:rPr>
                <w:b/>
                <w:bCs/>
                <w:color w:val="1F4E79"/>
              </w:rPr>
              <w:t xml:space="preserve">What changed in this round (13 Jun)</w:t>
            </w:r>
          </w:p>
          <w:p>
            <w:pPr>
              <w:spacing w:after="40" w:line="260"/>
            </w:pPr>
            <w:r>
              <w:rPr>
                <w:b/>
                <w:bCs/>
              </w:rPr>
              <w:t xml:space="preserve">Critical finding: the VW_MB_POWERBI_APP_REPORT view is essentially empty in this database </w:t>
            </w:r>
            <w:r>
              <w:t xml:space="preserve">(MTD total ≈ ₹0.05 Lakh vs ₹1,128 Lakh on the canonical view). Every template that read it was silently returning near-zero data. All 17 affected templates were migrated: the sales-aggregate ones (5, 6, 19, 20, 27, 29, 31, 32, 37, 39, 42, 43, 47) to the canonical SLS_DATA_WITHOUT_ITEMID view (SalesNetAmount / CashmemoDt), and the item/stock ones (18, 21, 22, 23, 24, 38, 46) to the populated SLSXNS item view (NetSlsQty / NetSlsNetAmount). After migration, 0 of the 48 templates read the empty APP view.</w:t>
            </w:r>
          </w:p>
          <w:p>
            <w:pPr>
              <w:spacing w:after="40" w:line="260"/>
            </w:pPr>
            <w:r>
              <w:rPr>
                <w:b/>
                <w:bCs/>
              </w:rPr>
              <w:t xml:space="preserve">Verification: </w:t>
            </w:r>
            <w:r>
              <w:t xml:space="preserve">test/verify_all_48_templates.py runs all 48 against the live DB and reports PASS / EMPTY / ERROR / DEAD-VIEW per template (expect 0 ERROR and 0 DEAD-VIEW). test/verify_contribution_margin_fix.py additionally ties the contribution/margin figures to the dashboard. Live run on 13 Jun confirmed templates 29/42/43 reconcile exactly with the dashboard (₹1,128.14 L, 26 categories).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18"/>
              <w:bottom w:val="single" w:color="CCCCCC" w:sz="1"/>
              <w:right w:val="single" w:color="CCCCCC" w:sz="1"/>
            </w:tcBorders>
            <w:shd w:fill="DCEFDC" w:val="clear"/>
            <w:tcMar>
              <w:top w:type="dxa" w:w="120"/>
              <w:left w:type="dxa" w:w="160"/>
              <w:bottom w:type="dxa" w:w="120"/>
              <w:right w:type="dxa" w:w="160"/>
            </w:tcMar>
          </w:tcPr>
          <w:p>
            <w:pPr>
              <w:spacing w:after="60"/>
            </w:pPr>
            <w:r>
              <w:rPr>
                <w:b/>
                <w:bCs/>
                <w:color w:val="1F4E79"/>
              </w:rPr>
              <w:t xml:space="preserve">Live verification result (13 Jun, against zRetailHQ0)</w:t>
            </w:r>
          </w:p>
          <w:p>
            <w:pPr>
              <w:spacing w:after="40" w:line="260"/>
            </w:pPr>
            <w:r>
              <w:rPr>
                <w:b/>
                <w:bCs/>
              </w:rPr>
              <w:t xml:space="preserve">Final live run: 48 / 48 templates PASS — 0 ERROR, 0 DEAD-VIEW, 0 EMPTY. </w:t>
            </w:r>
            <w:r>
              <w:t xml:space="preserve">On the first run 47/48 passed; the one failure (template 18, products fastest MoM) was a 300s performance timeout, not wrong logic — it scanned 6 months of the large SLSXNS view with a ROW_NUMBER window and self-join. It was rewritten as a single 2-month conditional-sum scan capped at TOP 50 (same answer, ~65s). The re-run then showed all 48 healthy.</w:t>
            </w:r>
          </w:p>
          <w:p>
            <w:pPr>
              <w:spacing w:after="40" w:line="260"/>
            </w:pPr>
            <w:r>
              <w:rPr>
                <w:b/>
                <w:bCs/>
              </w:rPr>
              <w:t xml:space="preserve">Note on speed: </w:t>
            </w:r>
            <w:r>
              <w:t xml:space="preserve">a few item-level SLSXNS templates (most/least selling product, sell-through, high-return) take 30-70 seconds because SLSXNS is a very large transaction view. They return correct data; if faster response is needed they can be capped or pre-aggregated later. Re-run test/verify_all_48_templates.py to confirm 0 ERROR / 0 DEAD-VIEW.</w:t>
            </w:r>
          </w:p>
        </w:tc>
      </w:tr>
    </w:tbl>
    <w:p>
      <w:r>
        <w:br w:type="page"/>
      </w:r>
    </w:p>
    <w:p>
      <w:pPr>
        <w:pStyle w:val="Heading1"/>
      </w:pPr>
      <w:r>
        <w:t xml:space="preserve">5.  Transactions, Branch Intel, Products &amp; Data Explorer</w:t>
      </w:r>
    </w:p>
    <w:p>
      <w:pPr>
        <w:pStyle w:val="Heading2"/>
      </w:pPr>
      <w:r>
        <w:t xml:space="preserve">5.1  Transactions</w:t>
      </w:r>
    </w:p>
    <w:p>
      <w:pPr>
        <w:spacing w:after="120" w:line="264"/>
      </w:pPr>
      <w:r>
        <w:t xml:space="preserve">A searchable, paginated list of bills, with summary cards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Element</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Logic</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Summary — Total Volume</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 of net amount for the period</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Summary — Completed / Pending / Failed</w:t>
            </w:r>
          </w:p>
        </w:tc>
        <w:tc>
          <w:tcPr>
            <w:tcW w:type="dxa" w:w="6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See honesty note below</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Transaction list</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Rows from the SLSXNS transactions view, newest first (by XnDt), paginated</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Columns</w:t>
            </w:r>
          </w:p>
        </w:tc>
        <w:tc>
          <w:tcPr>
            <w:tcW w:type="dxa" w:w="6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Invoice id, date, branch, category, department, amount, salesperson, quantity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18"/>
              <w:bottom w:val="single" w:color="CCCCCC" w:sz="1"/>
              <w:right w:val="single" w:color="CCCCCC" w:sz="1"/>
            </w:tcBorders>
            <w:shd w:fill="FCE8C8" w:val="clear"/>
            <w:tcMar>
              <w:top w:type="dxa" w:w="120"/>
              <w:left w:type="dxa" w:w="160"/>
              <w:bottom w:type="dxa" w:w="120"/>
              <w:right w:type="dxa" w:w="160"/>
            </w:tcMar>
          </w:tcPr>
          <w:p>
            <w:pPr>
              <w:spacing w:after="60"/>
            </w:pPr>
            <w:r>
              <w:rPr>
                <w:b/>
                <w:bCs/>
                <w:color w:val="1F4E79"/>
              </w:rPr>
              <w:t xml:space="preserve">Honest limitation — transaction status</w:t>
            </w:r>
          </w:p>
          <w:p>
            <w:pPr>
              <w:spacing w:after="40" w:line="260"/>
            </w:pPr>
            <w:r>
              <w:rPr>
                <w:b/>
                <w:bCs/>
              </w:rPr>
              <w:t xml:space="preserve">The ERP view has no status field. </w:t>
            </w:r>
            <w:r>
              <w:t xml:space="preserve">Every row is returned with status = “Completed”, and the Pending / Failed / Refunded pills are effectively never populated from real data; the header Pending/Failed counts only reflect rows on the current page. If real payment status is needed, the ERP must expose a status column, or we should remove these pills to avoid implying data we don't have. Worth raising with Manoj Sir rather than leaving it ambiguous.</w:t>
            </w:r>
          </w:p>
        </w:tc>
      </w:tr>
    </w:tbl>
    <w:p>
      <w:pPr>
        <w:pStyle w:val="Heading2"/>
      </w:pPr>
      <w:r>
        <w:t xml:space="preserve">5.2  Branch Intel</w:t>
      </w:r>
    </w:p>
    <w:p>
      <w:pPr>
        <w:spacing w:after="120" w:line="264"/>
      </w:pPr>
      <w:r>
        <w:t xml:space="preserve">Branch league table plus a per-branch drill-down. Period buttons: Today / 30D / MTD / QTD.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Element</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Logic</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Branch ranking</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SUM(SalesNetAmount) grouped by BranchAlias, ranked; each branch shows its rank</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Per-branch analytics</w:t>
            </w:r>
          </w:p>
        </w:tc>
        <w:tc>
          <w:tcPr>
            <w:tcW w:type="dxa" w:w="6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Same sales/bill/quantity logic as the Dashboard, filtered to the selected branch</w:t>
            </w:r>
          </w:p>
        </w:tc>
      </w:tr>
    </w:tbl>
    <w:p>
      <w:pPr>
        <w:pStyle w:val="Heading2"/>
      </w:pPr>
      <w:r>
        <w:t xml:space="preserve">5.3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Element</w:t>
            </w:r>
          </w:p>
        </w:tc>
        <w:tc>
          <w:tcPr>
            <w:tcW w:type="dxa" w:w="6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Logic</w:t>
            </w:r>
          </w:p>
        </w:tc>
      </w:tr>
      <w:tr>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SKUs (filtered)</w:t>
            </w:r>
          </w:p>
        </w:tc>
        <w:tc>
          <w:tcPr>
            <w:tcW w:type="dxa" w:w="67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Row count of the product master (VW_MB_POWERBI_SLS_REPORT), respecting the search filter</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Departments / Suppliers</w:t>
            </w:r>
          </w:p>
        </w:tc>
        <w:tc>
          <w:tcPr>
            <w:tcW w:type="dxa" w:w="6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COUNT(DISTINCT DepartmentShortName) / COUNT(DISTINCT SupplierName)</w:t>
            </w:r>
          </w:p>
        </w:tc>
      </w:tr>
      <w:tr>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Top products</w:t>
            </w:r>
          </w:p>
        </w:tc>
        <w:tc>
          <w:tcPr>
            <w:tcW w:type="dxa" w:w="67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TOP N by SUM(revenue) for the period, from the item-level view (has ItemId / ItemName)</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Category mix</w:t>
            </w:r>
          </w:p>
        </w:tc>
        <w:tc>
          <w:tcPr>
            <w:tcW w:type="dxa" w:w="6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Revenue share by category (same window-% logic as Analytics)</w:t>
            </w:r>
          </w:p>
        </w:tc>
      </w:tr>
      <w:tr>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Product master</w:t>
            </w:r>
          </w:p>
        </w:tc>
        <w:tc>
          <w:tcPr>
            <w:tcW w:type="dxa" w:w="67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Paginated catalogue: department, category, supplier, item id</w:t>
            </w:r>
          </w:p>
        </w:tc>
      </w:tr>
    </w:tbl>
    <w:p>
      <w:pPr>
        <w:pStyle w:val="Heading2"/>
      </w:pPr>
      <w:r>
        <w:t xml:space="preserve">5.4  Data Explorer</w:t>
      </w:r>
    </w:p>
    <w:p>
      <w:pPr>
        <w:spacing w:after="120" w:line="264"/>
      </w:pPr>
      <w:r>
        <w:t xml:space="preserve">The page in your screenshot. A safe, read-only browser over the </w:t>
      </w:r>
      <w:r>
        <w:rPr>
          <w:b/>
          <w:bCs/>
        </w:rPr>
        <w:t xml:space="preserve">28 ERP views</w:t>
      </w:r>
      <w:r>
        <w:t xml:space="preserve">. You pick a view, choose rows-per-page (25 / 50 / 100 / 200 / All), and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Element</w:t>
            </w:r>
          </w:p>
        </w:tc>
        <w:tc>
          <w:tcPr>
            <w:tcW w:type="dxa" w:w="6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Logic</w:t>
            </w:r>
          </w:p>
        </w:tc>
      </w:tr>
      <w:tr>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View list</w:t>
            </w:r>
          </w:p>
        </w:tc>
        <w:tc>
          <w:tcPr>
            <w:tcW w:type="dxa" w:w="67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28 whitelisted views from a fixed catalogue (whitelist-only — no arbitrary SQL)</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Row loading</w:t>
            </w:r>
          </w:p>
        </w:tc>
        <w:tc>
          <w:tcPr>
            <w:tcW w:type="dxa" w:w="6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Page rows fetched first so data appears quickly; paged with OFFSET / FETCH</w:t>
            </w:r>
          </w:p>
        </w:tc>
      </w:tr>
      <w:tr>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Row count</w:t>
            </w:r>
          </w:p>
        </w:tc>
        <w:tc>
          <w:tcPr>
            <w:tcW w:type="dxa" w:w="67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Dimension/master views skip the full COUNT (avoids 10-minute scans); fact views use a capped count</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Total rows / Columns / Page</w:t>
            </w:r>
          </w:p>
        </w:tc>
        <w:tc>
          <w:tcPr>
            <w:tcW w:type="dxa" w:w="6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Metadata for the loaded view</w:t>
            </w:r>
          </w:p>
        </w:tc>
      </w:tr>
    </w:tbl>
    <w:p>
      <w:r>
        <w:br w:type="page"/>
      </w:r>
    </w:p>
    <w:p>
      <w:pPr>
        <w:pStyle w:val="Heading1"/>
      </w:pPr>
      <w:r>
        <w:t xml:space="preserve">6.  The three reported issues — root cause &amp; fix</w:t>
      </w:r>
    </w:p>
    <w:p>
      <w:pPr>
        <w:spacing w:after="120" w:line="264"/>
      </w:pPr>
      <w:r>
        <w:t xml:space="preserve">Each issue below states what Manoj observed, what the code currently does, the precise cause, and the concrete fix.</w:t>
      </w:r>
    </w:p>
    <w:p>
      <w:pPr>
        <w:pStyle w:val="Heading2"/>
      </w:pPr>
      <w:r>
        <w:t xml:space="preserve">6.1  Issue 1 — Category-wise &amp; Branch-wise charts “not showing data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
            </w:r>
          </w:p>
        </w:tc>
        <w:tc>
          <w:tcPr>
            <w:tcW w:type="dxa" w:w="7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Detail</w:t>
            </w:r>
          </w:p>
        </w:tc>
      </w:tr>
      <w:tr>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Observed</w:t>
            </w:r>
          </w:p>
        </w:tc>
        <w:tc>
          <w:tcPr>
            <w:tcW w:type="dxa" w:w="76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Manoj reports no data labels on the Category-wise and Branch-wise bar charts.</w:t>
            </w:r>
          </w:p>
        </w:tc>
      </w:tr>
      <w:tr>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Reality in code</w:t>
            </w:r>
          </w:p>
        </w:tc>
        <w:tc>
          <w:tcPr>
            <w:tcW w:type="dxa" w:w="7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Value labels (revenue in ₹ Lakhs) ARE rendered on top of every bar; category/branch names render on the axis below each bar. (renderSingleSeries in Analytics.tsx adds a LabelList with position="top".)</w:t>
            </w:r>
          </w:p>
        </w:tc>
      </w:tr>
      <w:tr>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Root cause (confirmed by Manoj)</w:t>
            </w:r>
          </w:p>
        </w:tc>
        <w:tc>
          <w:tcPr>
            <w:tcW w:type="dxa" w:w="76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Labels show for Today but not MTD/QTD/YTD. The label font shrank to 7px in muted grey once a chart had &gt;16 bars. Today has few categories (≤16 → 9px, visible); MTD/QTD/YTD have ~26 categories (→7px muted, effectively invisible) — exactly the reported symptom.</w:t>
            </w:r>
          </w:p>
        </w:tc>
      </w:tr>
      <w:tr>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Fix applied (13 Jun)</w:t>
            </w:r>
          </w:p>
        </w:tc>
        <w:tc>
          <w:tcPr>
            <w:tcW w:type="dxa" w:w="7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In Analytics.tsx the value-label style is now a minimum 9px (10px under 24 bars), solid high-contrast colour (text-primary) and bold — so values are visible on every bar across Today / MTD / QTD / YTD. Category/branch names stay on the axis below; values stay on top.</w:t>
            </w:r>
          </w:p>
        </w:tc>
      </w:tr>
    </w:tbl>
    <w:p>
      <w:pPr>
        <w:spacing w:after="120" w:line="264"/>
      </w:pPr>
      <w:r>
        <w:rPr>
          <w:b/>
          <w:bCs/>
        </w:rPr>
        <w:t xml:space="preserve">On the back-and-forth about putting names on top too: </w:t>
      </w:r>
      <w:r>
        <w:t xml:space="preserve">your point is correct — the category/branch name is already shown below the bar, so repeating it on top adds clutter. The fix is to make the numeric value label clearly visible, not to duplicate the name.</w:t>
      </w:r>
    </w:p>
    <w:p>
      <w:pPr>
        <w:pStyle w:val="Heading2"/>
      </w:pPr>
      <w:r>
        <w:t xml:space="preserve">6.2  Issue 2 — YTD vs Last-Year YTD figures look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
            </w:r>
          </w:p>
        </w:tc>
        <w:tc>
          <w:tcPr>
            <w:tcW w:type="dxa" w:w="7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Detail</w:t>
            </w:r>
          </w:p>
        </w:tc>
      </w:tr>
      <w:tr>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Observed</w:t>
            </w:r>
          </w:p>
        </w:tc>
        <w:tc>
          <w:tcPr>
            <w:tcW w:type="dxa" w:w="76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“Current Year YTD vs Last Year YTD” shows figures Manoj believes are incorrect.</w:t>
            </w:r>
          </w:p>
        </w:tc>
      </w:tr>
      <w:tr>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Status (13 Jun)</w:t>
            </w:r>
          </w:p>
        </w:tc>
        <w:tc>
          <w:tcPr>
            <w:tcW w:type="dxa" w:w="7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Manoj confirmed: YTD must be the Indian financial year (1 April), applied consistently everywhere. The dashboard and template 8 already used FY; a lingering calendar-year (1 Jan) helper in the FAQ layer was found and corrected to FY-April so no path uses calendar YTD.</w:t>
            </w:r>
          </w:p>
        </w:tc>
      </w:tr>
      <w:tr>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What the code does</w:t>
            </w:r>
          </w:p>
        </w:tc>
        <w:tc>
          <w:tcPr>
            <w:tcW w:type="dxa" w:w="76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Current YTD = 1 April (financial-year start) → today, on CashmemoDt/SalesNetAmount. Last-Year YTD = exactly the same window one year earlier (1 Apr last FY → same day last FY). The comparison is a fair same-day-range slice and is internally consistent with the Analytics dashboard.</w:t>
            </w:r>
          </w:p>
        </w:tc>
      </w:tr>
      <w:tr>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Most likely cause</w:t>
            </w:r>
          </w:p>
        </w:tc>
        <w:tc>
          <w:tcPr>
            <w:tcW w:type="dxa" w:w="7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Definition mismatch, not a calculation bug: the app uses the Indian financial year (1 April). If the business — or a Power BI report being compared against — treats YTD as the calendar year (1 January), the numbers will legitimately differ and look wrong.</w:t>
            </w:r>
          </w:p>
        </w:tc>
      </w:tr>
      <w:tr>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Fix applied (13 Jun)</w:t>
            </w:r>
          </w:p>
        </w:tc>
        <w:tc>
          <w:tcPr>
            <w:tcW w:type="dxa" w:w="76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_ytd_where in test/nlq_faq_sql.py was changed from 1 January to the financial-year start (1 April, with prior-year handling before April), matching date_utils._start_of_financial_year and the dashboard. All YTD figures across Dashboard and AI Query now use FY-April consistently.</w:t>
            </w:r>
          </w:p>
        </w:tc>
      </w:tr>
    </w:tbl>
    <w:p>
      <w:pPr>
        <w:pStyle w:val="Heading2"/>
      </w:pPr>
      <w:r>
        <w:t xml:space="preserve">6.3  Issue 3 — Category Contribution % shows incorrect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
            </w:r>
          </w:p>
        </w:tc>
        <w:tc>
          <w:tcPr>
            <w:tcW w:type="dxa" w:w="7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rPr>
              <w:t xml:space="preserve">Detail</w:t>
            </w:r>
          </w:p>
        </w:tc>
      </w:tr>
      <w:tr>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Observed</w:t>
            </w:r>
          </w:p>
        </w:tc>
        <w:tc>
          <w:tcPr>
            <w:tcW w:type="dxa" w:w="76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“Category Contribution % in Total Revenue” returns figures that don't match the dashboard.</w:t>
            </w:r>
          </w:p>
        </w:tc>
      </w:tr>
      <w:tr>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Root cause (found in code)</w:t>
            </w:r>
          </w:p>
        </w:tc>
        <w:tc>
          <w:tcPr>
            <w:tcW w:type="dxa" w:w="7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vAlign w:val="center"/>
          </w:tcPr>
          <w:p>
            <w:r>
              <w:t xml:space="preserve">The registered template read the sparse APP view (XnDt, NetAmount), so the % was computed off a thinner dataset than the dashboard. A canonical version existed in nlq_faq_kpi.py but was never registered, so the APP version always won the match.</w:t>
            </w:r>
          </w:p>
        </w:tc>
      </w:tr>
      <w:tr>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Fix applied + verified (13 Jun)</w:t>
            </w:r>
          </w:p>
        </w:tc>
        <w:tc>
          <w:tcPr>
            <w:tcW w:type="dxa" w:w="7660"/>
            <w:tcBorders>
              <w:top w:val="single" w:color="BBBBBB" w:sz="1"/>
              <w:left w:val="single" w:color="BBBBBB" w:sz="1"/>
              <w:bottom w:val="single" w:color="BBBBBB" w:sz="1"/>
              <w:right w:val="single" w:color="BBBBBB" w:sz="1"/>
            </w:tcBorders>
            <w:tcMar>
              <w:top w:type="dxa" w:w="50"/>
              <w:left w:type="dxa" w:w="100"/>
              <w:bottom w:type="dxa" w:w="50"/>
              <w:right w:type="dxa" w:w="100"/>
            </w:tcMar>
            <w:vAlign w:val="center"/>
          </w:tcPr>
          <w:p>
            <w:r>
              <w:t xml:space="preserve">_sql_category_contribution_pct now reads the canonical VW_MB_POWERBI_SLS_DATA_WITHOUT_ITEMID view (SalesNetAmount, CashmemoDt). Live run confirmed 26 categories totalling ₹1,128 L, reconciling exactly with the dashboard. The “only K2P, ₹5,000, 100%” output Manoj saw is the signature of the empty APP_REPORT view (₹0.05 L ≈ ₹5,000) — i.e. the OLD deployed build. Resolution: deploy the fix to Render; the startup cache purge already clears the stale chart:category:v2:mtd entry, so the corrected figures appear after redeploy.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18"/>
              <w:bottom w:val="single" w:color="CCCCCC" w:sz="1"/>
              <w:right w:val="single" w:color="CCCCCC" w:sz="1"/>
            </w:tcBorders>
            <w:shd w:fill="DCEFDC" w:val="clear"/>
            <w:tcMar>
              <w:top w:type="dxa" w:w="120"/>
              <w:left w:type="dxa" w:w="160"/>
              <w:bottom w:type="dxa" w:w="120"/>
              <w:right w:type="dxa" w:w="160"/>
            </w:tcMar>
          </w:tcPr>
          <w:p>
            <w:pPr>
              <w:spacing w:after="60"/>
            </w:pPr>
            <w:r>
              <w:rPr>
                <w:b/>
                <w:bCs/>
                <w:color w:val="1F4E79"/>
              </w:rPr>
              <w:t xml:space="preserve">Bottom line for the Monday review</w:t>
            </w:r>
          </w:p>
          <w:p>
            <w:pPr>
              <w:spacing w:after="40" w:line="260"/>
            </w:pPr>
            <w:r>
              <w:t xml:space="preserve">All three of Manoj's issues are now resolved in code and verified. Issue 1: category/branch value labels are now visible on every period (min 9px, high-contrast, bold). Issue 2: YTD uses the financial year (1 April) consistently across Dashboard and AI Query. Issue 3: category contribution reads the canonical view — verified live at 26 categories / ₹1,128 L, reconciling with the dashboard; the ₹5,000/K2P Manoj saw was the old deployed build and clears on redeploy. All 48 AI templates pass live (0 error, 0 dead-view). The one remaining manual step is to deploy these changes to Render (push to main) so the live site reflects them.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SmarterP Connector — Calculation &amp; Display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2026-06-13T12:00:13.751Z</dcterms:created>
  <dcterms:modified xsi:type="dcterms:W3CDTF">2026-06-13T12:00:13.751Z</dcterms:modified>
</cp:coreProperties>
</file>

<file path=docProps/custom.xml><?xml version="1.0" encoding="utf-8"?>
<Properties xmlns="http://schemas.openxmlformats.org/officeDocument/2006/custom-properties" xmlns:vt="http://schemas.openxmlformats.org/officeDocument/2006/docPropsVTypes"/>
</file>