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Presentation Outline</w:t>
      </w:r>
    </w:p>
    <w:p>
      <w:pPr>
        <w:pStyle w:val="Author"/>
      </w:pPr>
      <w:r>
        <w:t xml:space="preserve">Devi Priya, Priyanka, Akshay and Bhaskar</w:t>
      </w:r>
    </w:p>
    <w:bookmarkStart w:id="10" w:name="presentation-outline"/>
    <w:p>
      <w:pPr>
        <w:pStyle w:val="Heading1"/>
      </w:pPr>
      <w:r>
        <w:t xml:space="preserve">Presentation Outline</w:t>
      </w:r>
    </w:p>
    <w:p>
      <w:pPr>
        <w:pStyle w:val="FirstParagraph"/>
      </w:pPr>
      <w:r>
        <w:rPr>
          <w:i/>
          <w:iCs/>
        </w:rPr>
        <w:t xml:space="preserve">Slide-by-slide outline and speaker notes for the final presentation</w:t>
      </w:r>
    </w:p>
    <w:tbl>
      <w:tblPr>
        <w:tblW w:type="pct" w:w="5000"/>
        <w:tblLayout w:type="autofit"/>
        <w:tblLook w:firstRow="0" w:lastRow="0" w:firstColumn="0" w:lastColumn="0" w:noHBand="0" w:noVBand="0" w:val="000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3960"/>
        <w:gridCol w:w="3960"/>
      </w:tblGrid>
      <w:t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Project title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IntelliMetrics AI: A Governed Semantic Layer with TARA, an AI Assistant for Trusted Business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Presentation Outline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Team members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Devi Priya, Priyanka, Akshay and Bhaskar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KL University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Academic year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2026-27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26-Oct-2026 (IST)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University project: academic capstone with synthetic demonstration data</w:t>
            </w:r>
          </w:p>
        </w:tc>
      </w:tr>
    </w:tbl>
    <w:p>
      <w:r>
        <w:br w:type="page"/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-1">
        <w:r>
          <w:rPr>
            <w:rStyle w:val="Hyperlink"/>
          </w:rPr>
          <w:t xml:space="preserve">1 Purpose and timing</w:t>
        </w:r>
      </w:hyperlink>
    </w:p>
    <w:p>
      <w:pPr>
        <w:pStyle w:val="Compact"/>
        <w:numPr>
          <w:ilvl w:val="0"/>
          <w:numId w:val="1001"/>
        </w:numPr>
      </w:pPr>
      <w:hyperlink w:anchor="sec-2">
        <w:r>
          <w:rPr>
            <w:rStyle w:val="Hyperlink"/>
          </w:rPr>
          <w:t xml:space="preserve">2 Tips for the speaker</w:t>
        </w:r>
      </w:hyperlink>
    </w:p>
    <w:p>
      <w:pPr>
        <w:pStyle w:val="Compact"/>
        <w:numPr>
          <w:ilvl w:val="0"/>
          <w:numId w:val="1001"/>
        </w:numPr>
      </w:pPr>
      <w:hyperlink w:anchor="sec-3">
        <w:r>
          <w:rPr>
            <w:rStyle w:val="Hyperlink"/>
          </w:rPr>
          <w:t xml:space="preserve">3 Slide-by-slide outline</w:t>
        </w:r>
      </w:hyperlink>
    </w:p>
    <w:p>
      <w:pPr>
        <w:pStyle w:val="Compact"/>
        <w:numPr>
          <w:ilvl w:val="1"/>
          <w:numId w:val="1002"/>
        </w:numPr>
      </w:pPr>
      <w:hyperlink w:anchor="sec-3-1">
        <w:r>
          <w:rPr>
            <w:rStyle w:val="Hyperlink"/>
          </w:rPr>
          <w:t xml:space="preserve">3.1 Slide 1: IntelliMetrics AI</w:t>
        </w:r>
      </w:hyperlink>
    </w:p>
    <w:p>
      <w:pPr>
        <w:pStyle w:val="Compact"/>
        <w:numPr>
          <w:ilvl w:val="1"/>
          <w:numId w:val="1002"/>
        </w:numPr>
      </w:pPr>
      <w:hyperlink w:anchor="sec-3-2">
        <w:r>
          <w:rPr>
            <w:rStyle w:val="Hyperlink"/>
          </w:rPr>
          <w:t xml:space="preserve">3.2 Slide 2: The problem: one word, many numbers</w:t>
        </w:r>
      </w:hyperlink>
    </w:p>
    <w:p>
      <w:pPr>
        <w:pStyle w:val="Compact"/>
        <w:numPr>
          <w:ilvl w:val="1"/>
          <w:numId w:val="1002"/>
        </w:numPr>
      </w:pPr>
      <w:hyperlink w:anchor="sec-3-3">
        <w:r>
          <w:rPr>
            <w:rStyle w:val="Hyperlink"/>
          </w:rPr>
          <w:t xml:space="preserve">3.3 Slide 3: Objectives</w:t>
        </w:r>
      </w:hyperlink>
    </w:p>
    <w:p>
      <w:pPr>
        <w:pStyle w:val="Compact"/>
        <w:numPr>
          <w:ilvl w:val="1"/>
          <w:numId w:val="1002"/>
        </w:numPr>
      </w:pPr>
      <w:hyperlink w:anchor="sec-3-4">
        <w:r>
          <w:rPr>
            <w:rStyle w:val="Hyperlink"/>
          </w:rPr>
          <w:t xml:space="preserve">3.4 Slide 4: The solution at a glance</w:t>
        </w:r>
      </w:hyperlink>
    </w:p>
    <w:p>
      <w:pPr>
        <w:pStyle w:val="Compact"/>
        <w:numPr>
          <w:ilvl w:val="1"/>
          <w:numId w:val="1002"/>
        </w:numPr>
      </w:pPr>
      <w:hyperlink w:anchor="sec-3-5">
        <w:r>
          <w:rPr>
            <w:rStyle w:val="Hyperlink"/>
          </w:rPr>
          <w:t xml:space="preserve">3.5 Slide 5: Architecture</w:t>
        </w:r>
      </w:hyperlink>
    </w:p>
    <w:p>
      <w:pPr>
        <w:pStyle w:val="Compact"/>
        <w:numPr>
          <w:ilvl w:val="1"/>
          <w:numId w:val="1002"/>
        </w:numPr>
      </w:pPr>
      <w:hyperlink w:anchor="sec-3-6">
        <w:r>
          <w:rPr>
            <w:rStyle w:val="Hyperlink"/>
          </w:rPr>
          <w:t xml:space="preserve">3.6 Slide 6: Governance: versions that cannot be changed</w:t>
        </w:r>
      </w:hyperlink>
    </w:p>
    <w:p>
      <w:pPr>
        <w:pStyle w:val="Compact"/>
        <w:numPr>
          <w:ilvl w:val="1"/>
          <w:numId w:val="1002"/>
        </w:numPr>
      </w:pPr>
      <w:hyperlink w:anchor="sec-3-7">
        <w:r>
          <w:rPr>
            <w:rStyle w:val="Hyperlink"/>
          </w:rPr>
          <w:t xml:space="preserve">3.7 Slide 7: A formula engine that cannot be injected</w:t>
        </w:r>
      </w:hyperlink>
    </w:p>
    <w:p>
      <w:pPr>
        <w:pStyle w:val="Compact"/>
        <w:numPr>
          <w:ilvl w:val="1"/>
          <w:numId w:val="1002"/>
        </w:numPr>
      </w:pPr>
      <w:hyperlink w:anchor="sec-3-8">
        <w:r>
          <w:rPr>
            <w:rStyle w:val="Hyperlink"/>
          </w:rPr>
          <w:t xml:space="preserve">3.8 Slide 8: Automatic conflict detection</w:t>
        </w:r>
      </w:hyperlink>
    </w:p>
    <w:p>
      <w:pPr>
        <w:pStyle w:val="Compact"/>
        <w:numPr>
          <w:ilvl w:val="1"/>
          <w:numId w:val="1002"/>
        </w:numPr>
      </w:pPr>
      <w:hyperlink w:anchor="sec-3-9">
        <w:r>
          <w:rPr>
            <w:rStyle w:val="Hyperlink"/>
          </w:rPr>
          <w:t xml:space="preserve">3.9 Slide 9: Ask TARA: the AI never writes numbers</w:t>
        </w:r>
      </w:hyperlink>
    </w:p>
    <w:p>
      <w:pPr>
        <w:pStyle w:val="Compact"/>
        <w:numPr>
          <w:ilvl w:val="1"/>
          <w:numId w:val="1002"/>
        </w:numPr>
      </w:pPr>
      <w:hyperlink w:anchor="sec-3-10">
        <w:r>
          <w:rPr>
            <w:rStyle w:val="Hyperlink"/>
          </w:rPr>
          <w:t xml:space="preserve">3.10 Slide 10: Built for India</w:t>
        </w:r>
      </w:hyperlink>
    </w:p>
    <w:p>
      <w:pPr>
        <w:pStyle w:val="Compact"/>
        <w:numPr>
          <w:ilvl w:val="1"/>
          <w:numId w:val="1002"/>
        </w:numPr>
      </w:pPr>
      <w:hyperlink w:anchor="sec-3-11">
        <w:r>
          <w:rPr>
            <w:rStyle w:val="Hyperlink"/>
          </w:rPr>
          <w:t xml:space="preserve">3.11 Slide 11: Demonstration</w:t>
        </w:r>
      </w:hyperlink>
    </w:p>
    <w:p>
      <w:pPr>
        <w:pStyle w:val="Compact"/>
        <w:numPr>
          <w:ilvl w:val="1"/>
          <w:numId w:val="1002"/>
        </w:numPr>
      </w:pPr>
      <w:hyperlink w:anchor="sec-3-12">
        <w:r>
          <w:rPr>
            <w:rStyle w:val="Hyperlink"/>
          </w:rPr>
          <w:t xml:space="preserve">3.12 Slide 12: Testing</w:t>
        </w:r>
      </w:hyperlink>
    </w:p>
    <w:p>
      <w:pPr>
        <w:pStyle w:val="Compact"/>
        <w:numPr>
          <w:ilvl w:val="1"/>
          <w:numId w:val="1002"/>
        </w:numPr>
      </w:pPr>
      <w:hyperlink w:anchor="sec-3-13">
        <w:r>
          <w:rPr>
            <w:rStyle w:val="Hyperlink"/>
          </w:rPr>
          <w:t xml:space="preserve">3.13 Slide 13: Measured performance</w:t>
        </w:r>
      </w:hyperlink>
    </w:p>
    <w:p>
      <w:pPr>
        <w:pStyle w:val="Compact"/>
        <w:numPr>
          <w:ilvl w:val="1"/>
          <w:numId w:val="1002"/>
        </w:numPr>
      </w:pPr>
      <w:hyperlink w:anchor="sec-3-14">
        <w:r>
          <w:rPr>
            <w:rStyle w:val="Hyperlink"/>
          </w:rPr>
          <w:t xml:space="preserve">3.14 Slide 14: Honest limitations</w:t>
        </w:r>
      </w:hyperlink>
    </w:p>
    <w:p>
      <w:pPr>
        <w:pStyle w:val="Compact"/>
        <w:numPr>
          <w:ilvl w:val="1"/>
          <w:numId w:val="1002"/>
        </w:numPr>
      </w:pPr>
      <w:hyperlink w:anchor="sec-3-15">
        <w:r>
          <w:rPr>
            <w:rStyle w:val="Hyperlink"/>
          </w:rPr>
          <w:t xml:space="preserve">3.15 Slide 15: Future scope and conclusion</w:t>
        </w:r>
      </w:hyperlink>
    </w:p>
    <w:p>
      <w:pPr>
        <w:pStyle w:val="Compact"/>
        <w:numPr>
          <w:ilvl w:val="1"/>
          <w:numId w:val="1002"/>
        </w:numPr>
      </w:pPr>
      <w:hyperlink w:anchor="sec-3-16">
        <w:r>
          <w:rPr>
            <w:rStyle w:val="Hyperlink"/>
          </w:rPr>
          <w:t xml:space="preserve">3.16 Slide 16: Thank you. Questions?</w:t>
        </w:r>
      </w:hyperlink>
    </w:p>
    <w:p>
      <w:r>
        <w:br w:type="page"/>
      </w:r>
    </w:p>
    <w:bookmarkEnd w:id="9"/>
    <w:bookmarkEnd w:id="10"/>
    <w:bookmarkStart w:id="11" w:name="sec-1"/>
    <w:p>
      <w:pPr>
        <w:pStyle w:val="Heading1"/>
      </w:pPr>
      <w:r>
        <w:t xml:space="preserve">1 Purpose and timing</w:t>
      </w:r>
    </w:p>
    <w:p>
      <w:pPr>
        <w:pStyle w:val="FirstParagraph"/>
      </w:pPr>
      <w:r>
        <w:t xml:space="preserve">The final presentation tells the story in this order: the problem, the idea, how it works, proof that it works, and an honest account of what is missing. It is designed for</w:t>
      </w:r>
      <w:r>
        <w:t xml:space="preserve"> </w:t>
      </w:r>
      <w:r>
        <w:rPr>
          <w:b/>
          <w:bCs/>
        </w:rPr>
        <w:t xml:space="preserve">about 15 minutes of talking plus an 8-minute live demonstration</w:t>
      </w:r>
      <w:r>
        <w:t xml:space="preserve"> </w:t>
      </w:r>
      <w:r>
        <w:t xml:space="preserve">and questions. A PowerPoint file with the same slides and speaker notes is provided as</w:t>
      </w:r>
      <w:r>
        <w:t xml:space="preserve"> </w:t>
      </w:r>
      <w:r>
        <w:rPr>
          <w:rStyle w:val="VerbatimChar"/>
        </w:rPr>
        <w:t xml:space="preserve">exports/08_Presentation.pptx</w:t>
      </w:r>
      <w:r>
        <w:t xml:space="preserve">; the visuals are the diagrams, charts and screenshots generated for the reports.</w:t>
      </w:r>
    </w:p>
    <w:tbl>
      <w:tblPr>
        <w:tblW w:type="auto" w:w="0"/>
        <w:tblLayout w:type="autofit"/>
        <w:tblLook w:firstRow="1" w:lastRow="0" w:firstColumn="0" w:lastColumn="0" w:noHBand="0" w:noVBand="0" w:val="0020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Part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Slides</w:t>
            </w:r>
          </w:p>
        </w:tc>
        <w:tc>
          <w:tcPr>
            <w:shd w:val="clear" w:color="auto" w:fill="E8E8E8"/>
          </w:tcPr>
          <w:p>
            <w:pPr>
              <w:pStyle w:val="Compact"/>
            </w:pPr>
            <w:r>
              <w:rPr>
                <w:b/>
                <w:sz w:val="17"/>
              </w:rPr>
              <w:t xml:space="preserve">Suggested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Problem and objectives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1–3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Solution and architecture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4–5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Core ideas: governance, safe formulas, conflicts, TARA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6–9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Indian context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Live demonstration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8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Evidence: testing and performance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12–13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7"/>
              </w:rPr>
              <w:t xml:space="preserve">Limitations, future scope, close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14–16</w:t>
            </w:r>
          </w:p>
        </w:tc>
        <w:tc>
          <w:tcPr/>
          <w:p>
            <w:pPr>
              <w:pStyle w:val="Compact"/>
            </w:pPr>
            <w:r>
              <w:rPr>
                <w:sz w:val="17"/>
              </w:rPr>
              <w:t xml:space="preserve">2 min</w:t>
            </w:r>
          </w:p>
        </w:tc>
      </w:tr>
    </w:tbl>
    <w:bookmarkEnd w:id="11"/>
    <w:bookmarkStart w:id="12" w:name="sec-2"/>
    <w:p>
      <w:pPr>
        <w:pStyle w:val="Heading1"/>
      </w:pPr>
      <w:r>
        <w:t xml:space="preserve">2 Tips for the speaker</w:t>
      </w:r>
    </w:p>
    <w:p>
      <w:pPr>
        <w:pStyle w:val="Compact"/>
        <w:numPr>
          <w:ilvl w:val="0"/>
          <w:numId w:val="1003"/>
        </w:numPr>
      </w:pPr>
      <w:r>
        <w:t xml:space="preserve">Open with the GST example; it makes the problem concrete in two sentences.</w:t>
      </w:r>
    </w:p>
    <w:p>
      <w:pPr>
        <w:pStyle w:val="Compact"/>
        <w:numPr>
          <w:ilvl w:val="0"/>
          <w:numId w:val="1003"/>
        </w:numPr>
      </w:pPr>
      <w:r>
        <w:t xml:space="preserve">Say</w:t>
      </w:r>
      <w:r>
        <w:t xml:space="preserve"> </w:t>
      </w:r>
      <w:r>
        <w:t xml:space="preserve">“university project, synthetic data”</w:t>
      </w:r>
      <w:r>
        <w:t xml:space="preserve"> </w:t>
      </w:r>
      <w:r>
        <w:t xml:space="preserve">early, and</w:t>
      </w:r>
      <w:r>
        <w:t xml:space="preserve"> </w:t>
      </w:r>
      <w:r>
        <w:t xml:space="preserve">“no live AI key was used, no Docker run”</w:t>
      </w:r>
      <w:r>
        <w:t xml:space="preserve"> </w:t>
      </w:r>
      <w:r>
        <w:t xml:space="preserve">before anyone asks.</w:t>
      </w:r>
    </w:p>
    <w:p>
      <w:pPr>
        <w:pStyle w:val="Compact"/>
        <w:numPr>
          <w:ilvl w:val="0"/>
          <w:numId w:val="1003"/>
        </w:numPr>
      </w:pPr>
      <w:r>
        <w:t xml:space="preserve">Show, then explain: the live demo should come before the test statistics.</w:t>
      </w:r>
    </w:p>
    <w:p>
      <w:pPr>
        <w:pStyle w:val="Compact"/>
        <w:numPr>
          <w:ilvl w:val="0"/>
          <w:numId w:val="1003"/>
        </w:numPr>
      </w:pPr>
      <w:r>
        <w:t xml:space="preserve">If the live demo fails, use the backup screenshots in the slide and the walkthrough table in the User Guide.</w:t>
      </w:r>
    </w:p>
    <w:p>
      <w:pPr>
        <w:pStyle w:val="Compact"/>
        <w:numPr>
          <w:ilvl w:val="0"/>
          <w:numId w:val="1003"/>
        </w:numPr>
      </w:pPr>
      <w:r>
        <w:t xml:space="preserve">Keep one sentence ready for each number:</w:t>
      </w:r>
      <w:r>
        <w:t xml:space="preserve"> </w:t>
      </w:r>
      <w:r>
        <w:rPr>
          <w:i/>
          <w:iCs/>
        </w:rPr>
        <w:t xml:space="preserve">what was measured, on what, and what it does not show</w:t>
      </w:r>
      <w:r>
        <w:t xml:space="preserve">.</w:t>
      </w:r>
    </w:p>
    <w:bookmarkEnd w:id="12"/>
    <w:bookmarkStart w:id="29" w:name="sec-3"/>
    <w:p>
      <w:pPr>
        <w:pStyle w:val="Heading1"/>
      </w:pPr>
      <w:r>
        <w:t xml:space="preserve">3 Slide-by-slide outline</w:t>
      </w:r>
    </w:p>
    <w:p>
      <w:pPr>
        <w:pStyle w:val="FirstParagraph"/>
      </w:pPr>
      <w:r>
        <w:t xml:space="preserve">The deck</w:t>
      </w:r>
      <w:r>
        <w:t xml:space="preserve"> </w:t>
      </w:r>
      <w:r>
        <w:rPr>
          <w:rStyle w:val="VerbatimChar"/>
        </w:rPr>
        <w:t xml:space="preserve">exports/08_Presentation.pptx</w:t>
      </w:r>
      <w:r>
        <w:t xml:space="preserve"> </w:t>
      </w:r>
      <w:r>
        <w:t xml:space="preserve">contains these slides, with the speaker notes below in the PowerPoint notes pane.</w:t>
      </w:r>
    </w:p>
    <w:bookmarkStart w:id="13" w:name="sec-3-1"/>
    <w:p>
      <w:pPr>
        <w:pStyle w:val="Heading2"/>
      </w:pPr>
      <w:r>
        <w:t xml:space="preserve">3.1 Slide 1: IntelliMetrics AI</w:t>
      </w:r>
    </w:p>
    <w:p>
      <w:pPr>
        <w:pStyle w:val="Compact"/>
        <w:numPr>
          <w:ilvl w:val="0"/>
          <w:numId w:val="1004"/>
        </w:numPr>
      </w:pPr>
      <w:r>
        <w:t xml:space="preserve">A governed semantic layer with TARA, an AI assistant for trusted business metrics</w:t>
      </w:r>
    </w:p>
    <w:p>
      <w:pPr>
        <w:pStyle w:val="Compact"/>
        <w:numPr>
          <w:ilvl w:val="0"/>
          <w:numId w:val="1004"/>
        </w:numPr>
      </w:pPr>
      <w:r>
        <w:t xml:space="preserve">Devi Priya, Priyanka, Akshay and Bhaskar</w:t>
      </w:r>
    </w:p>
    <w:p>
      <w:pPr>
        <w:pStyle w:val="Compact"/>
        <w:numPr>
          <w:ilvl w:val="0"/>
          <w:numId w:val="1004"/>
        </w:numPr>
      </w:pPr>
      <w:r>
        <w:t xml:space="preserve">KL University | AY 2026-27</w:t>
      </w:r>
    </w:p>
    <w:p>
      <w:pPr>
        <w:pStyle w:val="Compact"/>
        <w:numPr>
          <w:ilvl w:val="0"/>
          <w:numId w:val="1004"/>
        </w:numPr>
      </w:pPr>
      <w:r>
        <w:t xml:space="preserve">University project (academic capstone). Demonstration data is synthetic.</w:t>
      </w:r>
    </w:p>
    <w:p>
      <w:pPr>
        <w:pStyle w:val="FirstParagraph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Introduce yourself, the guide and the project name. Say at once that it is a university project with synthetic data.</w:t>
      </w:r>
    </w:p>
    <w:bookmarkEnd w:id="13"/>
    <w:bookmarkStart w:id="14" w:name="sec-3-2"/>
    <w:p>
      <w:pPr>
        <w:pStyle w:val="Heading2"/>
      </w:pPr>
      <w:r>
        <w:t xml:space="preserve">3.2 Slide 2: The problem: one word, many numbers</w:t>
      </w:r>
    </w:p>
    <w:p>
      <w:pPr>
        <w:pStyle w:val="Compact"/>
        <w:numPr>
          <w:ilvl w:val="0"/>
          <w:numId w:val="1005"/>
        </w:numPr>
      </w:pPr>
      <w:r>
        <w:t xml:space="preserve">Sales: Revenue = taxable value of goods sold (excluding GST)</w:t>
      </w:r>
    </w:p>
    <w:p>
      <w:pPr>
        <w:pStyle w:val="Compact"/>
        <w:numPr>
          <w:ilvl w:val="0"/>
          <w:numId w:val="1005"/>
        </w:numPr>
      </w:pPr>
      <w:r>
        <w:t xml:space="preserve">Finance: Revenue = sales less refunds</w:t>
      </w:r>
    </w:p>
    <w:p>
      <w:pPr>
        <w:pStyle w:val="Compact"/>
        <w:numPr>
          <w:ilvl w:val="0"/>
          <w:numId w:val="1005"/>
        </w:numPr>
      </w:pPr>
      <w:r>
        <w:t xml:space="preserve">Marketing: Revenue = invoice value including GST</w:t>
      </w:r>
    </w:p>
    <w:p>
      <w:pPr>
        <w:pStyle w:val="Compact"/>
        <w:numPr>
          <w:ilvl w:val="0"/>
          <w:numId w:val="1005"/>
        </w:numPr>
      </w:pPr>
      <w:r>
        <w:t xml:space="preserve">Nobody notices until two reports disagree; changes are not recorded</w:t>
      </w:r>
    </w:p>
    <w:p>
      <w:pPr>
        <w:pStyle w:val="Compact"/>
        <w:numPr>
          <w:ilvl w:val="0"/>
          <w:numId w:val="1005"/>
        </w:numPr>
      </w:pPr>
      <w:r>
        <w:t xml:space="preserve">Generic AI chatbots answer confidently even when wrong</w:t>
      </w:r>
    </w:p>
    <w:p>
      <w:pPr>
        <w:pStyle w:val="FirstParagraph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Use the Indian GST example because the audience recognises it. Stress that nobody is lying; the same word means different calculations.</w:t>
      </w:r>
    </w:p>
    <w:bookmarkEnd w:id="14"/>
    <w:bookmarkStart w:id="15" w:name="sec-3-3"/>
    <w:p>
      <w:pPr>
        <w:pStyle w:val="Heading2"/>
      </w:pPr>
      <w:r>
        <w:t xml:space="preserve">3.3 Slide 3: Objectives</w:t>
      </w:r>
    </w:p>
    <w:p>
      <w:pPr>
        <w:pStyle w:val="Compact"/>
        <w:numPr>
          <w:ilvl w:val="0"/>
          <w:numId w:val="1006"/>
        </w:numPr>
      </w:pPr>
      <w:r>
        <w:t xml:space="preserve">One governed live definition per business metric</w:t>
      </w:r>
    </w:p>
    <w:p>
      <w:pPr>
        <w:pStyle w:val="Compact"/>
        <w:numPr>
          <w:ilvl w:val="0"/>
          <w:numId w:val="1006"/>
        </w:numPr>
      </w:pPr>
      <w:r>
        <w:t xml:space="preserve">Detect conflicting definitions automatically and measure the detector</w:t>
      </w:r>
    </w:p>
    <w:p>
      <w:pPr>
        <w:pStyle w:val="Compact"/>
        <w:numPr>
          <w:ilvl w:val="0"/>
          <w:numId w:val="1006"/>
        </w:numPr>
      </w:pPr>
      <w:r>
        <w:t xml:space="preserve">Immutable version history with safe rollback</w:t>
      </w:r>
    </w:p>
    <w:p>
      <w:pPr>
        <w:pStyle w:val="Compact"/>
        <w:numPr>
          <w:ilvl w:val="0"/>
          <w:numId w:val="1006"/>
        </w:numPr>
      </w:pPr>
      <w:r>
        <w:t xml:space="preserve">Let non-technical users ask questions without risking wrong or unsafe queries</w:t>
      </w:r>
    </w:p>
    <w:p>
      <w:pPr>
        <w:pStyle w:val="Compact"/>
        <w:numPr>
          <w:ilvl w:val="0"/>
          <w:numId w:val="1006"/>
        </w:numPr>
      </w:pPr>
      <w:r>
        <w:t xml:space="preserve">Localise to India: INR (lakh/crore), April-March FY, GST, festivals, IST</w:t>
      </w:r>
    </w:p>
    <w:p>
      <w:pPr>
        <w:pStyle w:val="FirstParagraph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Map each objective to a result later in the talk.</w:t>
      </w:r>
    </w:p>
    <w:bookmarkEnd w:id="15"/>
    <w:bookmarkStart w:id="16" w:name="sec-3-4"/>
    <w:p>
      <w:pPr>
        <w:pStyle w:val="Heading2"/>
      </w:pPr>
      <w:r>
        <w:t xml:space="preserve">3.4 Slide 4: The solution at a glance</w:t>
      </w:r>
    </w:p>
    <w:p>
      <w:pPr>
        <w:pStyle w:val="Compact"/>
        <w:numPr>
          <w:ilvl w:val="0"/>
          <w:numId w:val="1007"/>
        </w:numPr>
      </w:pPr>
      <w:r>
        <w:t xml:space="preserve">Datasets in, governed metrics and dashboards out</w:t>
      </w:r>
    </w:p>
    <w:p>
      <w:pPr>
        <w:pStyle w:val="Compact"/>
        <w:numPr>
          <w:ilvl w:val="0"/>
          <w:numId w:val="1007"/>
        </w:numPr>
      </w:pPr>
      <w:r>
        <w:t xml:space="preserve">Workflow: draft, review, approve, publish (exactly one live per metric)</w:t>
      </w:r>
    </w:p>
    <w:p>
      <w:pPr>
        <w:pStyle w:val="Compact"/>
        <w:numPr>
          <w:ilvl w:val="0"/>
          <w:numId w:val="1007"/>
        </w:numPr>
      </w:pPr>
      <w:r>
        <w:t xml:space="preserve">Conflict centre: assign, review, approve, resolve</w:t>
      </w:r>
    </w:p>
    <w:p>
      <w:pPr>
        <w:pStyle w:val="Compact"/>
        <w:numPr>
          <w:ilvl w:val="0"/>
          <w:numId w:val="1007"/>
        </w:numPr>
      </w:pPr>
      <w:r>
        <w:t xml:space="preserve">Formula Lab: safe, parameterised execution</w:t>
      </w:r>
    </w:p>
    <w:p>
      <w:pPr>
        <w:pStyle w:val="Compact"/>
        <w:numPr>
          <w:ilvl w:val="0"/>
          <w:numId w:val="1007"/>
        </w:numPr>
      </w:pPr>
      <w:r>
        <w:t xml:space="preserve">Ask TARA: plain-English questions answered from approved metrics</w:t>
      </w:r>
    </w:p>
    <w:p>
      <w:pPr>
        <w:pStyle w:val="Compact"/>
        <w:numPr>
          <w:ilvl w:val="0"/>
          <w:numId w:val="1007"/>
        </w:numPr>
      </w:pPr>
      <w:r>
        <w:t xml:space="preserve">96 API endpoints | 25 pages | 4 roles | 2 isolated workspaces</w:t>
      </w:r>
    </w:p>
    <w:p>
      <w:pPr>
        <w:pStyle w:val="FirstParagraph"/>
      </w:pPr>
      <w:r>
        <w:rPr>
          <w:i/>
          <w:iCs/>
        </w:rPr>
        <w:t xml:space="preserve">Visual:</w:t>
      </w:r>
      <w:r>
        <w:t xml:space="preserve"> </w:t>
      </w:r>
      <w:r>
        <w:rPr>
          <w:rStyle w:val="VerbatimChar"/>
        </w:rPr>
        <w:t xml:space="preserve">diagrams/14_use_case_roles.png</w:t>
      </w:r>
    </w:p>
    <w:p>
      <w:pPr>
        <w:pStyle w:val="BodyText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Give the one-minute product tour using the use-case diagram: four roles, each with a distinct job.</w:t>
      </w:r>
    </w:p>
    <w:bookmarkEnd w:id="16"/>
    <w:bookmarkStart w:id="17" w:name="sec-3-5"/>
    <w:p>
      <w:pPr>
        <w:pStyle w:val="Heading2"/>
      </w:pPr>
      <w:r>
        <w:t xml:space="preserve">3.5 Slide 5: Architecture</w:t>
      </w:r>
    </w:p>
    <w:p>
      <w:pPr>
        <w:pStyle w:val="Compact"/>
        <w:numPr>
          <w:ilvl w:val="0"/>
          <w:numId w:val="1008"/>
        </w:numPr>
      </w:pPr>
      <w:r>
        <w:t xml:space="preserve">React + TypeScript single-page app</w:t>
      </w:r>
    </w:p>
    <w:p>
      <w:pPr>
        <w:pStyle w:val="Compact"/>
        <w:numPr>
          <w:ilvl w:val="0"/>
          <w:numId w:val="1008"/>
        </w:numPr>
      </w:pPr>
      <w:r>
        <w:t xml:space="preserve">FastAPI back end: RBAC on every route, workspace filter on every query</w:t>
      </w:r>
    </w:p>
    <w:p>
      <w:pPr>
        <w:pStyle w:val="Compact"/>
        <w:numPr>
          <w:ilvl w:val="0"/>
          <w:numId w:val="1008"/>
        </w:numPr>
      </w:pPr>
      <w:r>
        <w:t xml:space="preserve">PostgreSQL / SQLite for metadata, DuckDB + Parquet for analytics</w:t>
      </w:r>
    </w:p>
    <w:p>
      <w:pPr>
        <w:pStyle w:val="Compact"/>
        <w:numPr>
          <w:ilvl w:val="0"/>
          <w:numId w:val="1008"/>
        </w:numPr>
      </w:pPr>
      <w:r>
        <w:t xml:space="preserve">Celery + Redis for background ingestion (thread fallback)</w:t>
      </w:r>
    </w:p>
    <w:p>
      <w:pPr>
        <w:pStyle w:val="FirstParagraph"/>
      </w:pPr>
      <w:r>
        <w:rPr>
          <w:i/>
          <w:iCs/>
        </w:rPr>
        <w:t xml:space="preserve">Visual:</w:t>
      </w:r>
      <w:r>
        <w:t xml:space="preserve"> </w:t>
      </w:r>
      <w:r>
        <w:rPr>
          <w:rStyle w:val="VerbatimChar"/>
        </w:rPr>
        <w:t xml:space="preserve">diagrams/01_high_level_architecture.png</w:t>
      </w:r>
    </w:p>
    <w:p>
      <w:pPr>
        <w:pStyle w:val="BodyText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Explain that analytics never touch the transactional database; DuckDB reads Parquet files produced by ingestion.</w:t>
      </w:r>
    </w:p>
    <w:bookmarkEnd w:id="17"/>
    <w:bookmarkStart w:id="18" w:name="sec-3-6"/>
    <w:p>
      <w:pPr>
        <w:pStyle w:val="Heading2"/>
      </w:pPr>
      <w:r>
        <w:t xml:space="preserve">3.6 Slide 6: Governance: versions that cannot be changed</w:t>
      </w:r>
    </w:p>
    <w:p>
      <w:pPr>
        <w:pStyle w:val="Compact"/>
        <w:numPr>
          <w:ilvl w:val="0"/>
          <w:numId w:val="1009"/>
        </w:numPr>
      </w:pPr>
      <w:r>
        <w:t xml:space="preserve">Partial unique index: one live definition per metric key</w:t>
      </w:r>
    </w:p>
    <w:p>
      <w:pPr>
        <w:pStyle w:val="Compact"/>
        <w:numPr>
          <w:ilvl w:val="0"/>
          <w:numId w:val="1009"/>
        </w:numPr>
      </w:pPr>
      <w:r>
        <w:t xml:space="preserve">Version rows immutable: ORM guard + database trigger</w:t>
      </w:r>
    </w:p>
    <w:p>
      <w:pPr>
        <w:pStyle w:val="Compact"/>
        <w:numPr>
          <w:ilvl w:val="0"/>
          <w:numId w:val="1009"/>
        </w:numPr>
      </w:pPr>
      <w:r>
        <w:t xml:space="preserve">Rollback creates a NEW version; history is never rewritten</w:t>
      </w:r>
    </w:p>
    <w:p>
      <w:pPr>
        <w:pStyle w:val="Compact"/>
        <w:numPr>
          <w:ilvl w:val="0"/>
          <w:numId w:val="1009"/>
        </w:numPr>
      </w:pPr>
      <w:r>
        <w:t xml:space="preserve">Dashboards follow latest published or pinned versions</w:t>
      </w:r>
    </w:p>
    <w:p>
      <w:pPr>
        <w:pStyle w:val="FirstParagraph"/>
      </w:pPr>
      <w:r>
        <w:rPr>
          <w:i/>
          <w:iCs/>
        </w:rPr>
        <w:t xml:space="preserve">Visual:</w:t>
      </w:r>
      <w:r>
        <w:t xml:space="preserve"> </w:t>
      </w:r>
      <w:r>
        <w:rPr>
          <w:rStyle w:val="VerbatimChar"/>
        </w:rPr>
        <w:t xml:space="preserve">diagrams/08_metric_state_machine.png</w:t>
      </w:r>
    </w:p>
    <w:p>
      <w:pPr>
        <w:pStyle w:val="BodyText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Say that the guarantee is in the database, so a bug in the application cannot break it. Verified on real PostgreSQL 18.</w:t>
      </w:r>
    </w:p>
    <w:bookmarkEnd w:id="18"/>
    <w:bookmarkStart w:id="19" w:name="sec-3-7"/>
    <w:p>
      <w:pPr>
        <w:pStyle w:val="Heading2"/>
      </w:pPr>
      <w:r>
        <w:t xml:space="preserve">3.7 Slide 7: A formula engine that cannot be injected</w:t>
      </w:r>
    </w:p>
    <w:p>
      <w:pPr>
        <w:pStyle w:val="Compact"/>
        <w:numPr>
          <w:ilvl w:val="0"/>
          <w:numId w:val="1010"/>
        </w:numPr>
      </w:pPr>
      <w:r>
        <w:t xml:space="preserve">Lexer, recursive-descent parser, typed syntax tree</w:t>
      </w:r>
    </w:p>
    <w:p>
      <w:pPr>
        <w:pStyle w:val="Compact"/>
        <w:numPr>
          <w:ilvl w:val="0"/>
          <w:numId w:val="1010"/>
        </w:numPr>
      </w:pPr>
      <w:r>
        <w:t xml:space="preserve">Whitelisted functions; columns checked against the schema</w:t>
      </w:r>
    </w:p>
    <w:p>
      <w:pPr>
        <w:pStyle w:val="Compact"/>
        <w:numPr>
          <w:ilvl w:val="0"/>
          <w:numId w:val="1010"/>
        </w:numPr>
      </w:pPr>
      <w:r>
        <w:t xml:space="preserve">Every value is a bound parameter; division is zero-safe</w:t>
      </w:r>
    </w:p>
    <w:p>
      <w:pPr>
        <w:pStyle w:val="Compact"/>
        <w:numPr>
          <w:ilvl w:val="0"/>
          <w:numId w:val="1010"/>
        </w:numPr>
      </w:pPr>
      <w:r>
        <w:t xml:space="preserve">Limits: 2,000 characters, depth 40, 10,000 rows, 20 s timeout</w:t>
      </w:r>
    </w:p>
    <w:p>
      <w:pPr>
        <w:pStyle w:val="Compact"/>
        <w:numPr>
          <w:ilvl w:val="0"/>
          <w:numId w:val="1010"/>
        </w:numPr>
      </w:pPr>
      <w:r>
        <w:t xml:space="preserve">25 hostile inputs tested: all rejected before execution</w:t>
      </w:r>
    </w:p>
    <w:p>
      <w:pPr>
        <w:pStyle w:val="FirstParagraph"/>
      </w:pPr>
      <w:r>
        <w:rPr>
          <w:i/>
          <w:iCs/>
        </w:rPr>
        <w:t xml:space="preserve">Visual:</w:t>
      </w:r>
      <w:r>
        <w:t xml:space="preserve"> </w:t>
      </w:r>
      <w:r>
        <w:rPr>
          <w:rStyle w:val="VerbatimChar"/>
        </w:rPr>
        <w:t xml:space="preserve">diagrams/06_formula_compile_pipeline.png</w:t>
      </w:r>
    </w:p>
    <w:p>
      <w:pPr>
        <w:pStyle w:val="BodyText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No user text ever becomes SQL text. That is why injection is structurally impossible rather than filtered.</w:t>
      </w:r>
    </w:p>
    <w:bookmarkEnd w:id="19"/>
    <w:bookmarkStart w:id="20" w:name="sec-3-8"/>
    <w:p>
      <w:pPr>
        <w:pStyle w:val="Heading2"/>
      </w:pPr>
      <w:r>
        <w:t xml:space="preserve">3.8 Slide 8: Automatic conflict detection</w:t>
      </w:r>
    </w:p>
    <w:p>
      <w:pPr>
        <w:pStyle w:val="Compact"/>
        <w:numPr>
          <w:ilvl w:val="0"/>
          <w:numId w:val="1011"/>
        </w:numPr>
      </w:pPr>
      <w:r>
        <w:t xml:space="preserve">Compares formula, aggregation, filters, unit, time window, dataset</w:t>
      </w:r>
    </w:p>
    <w:p>
      <w:pPr>
        <w:pStyle w:val="Compact"/>
        <w:numPr>
          <w:ilvl w:val="0"/>
          <w:numId w:val="1011"/>
        </w:numPr>
      </w:pPr>
      <w:r>
        <w:t xml:space="preserve">Severity score, side-by-side diff, recommended resolution</w:t>
      </w:r>
    </w:p>
    <w:p>
      <w:pPr>
        <w:pStyle w:val="Compact"/>
        <w:numPr>
          <w:ilvl w:val="0"/>
          <w:numId w:val="1011"/>
        </w:numPr>
      </w:pPr>
      <w:r>
        <w:t xml:space="preserve">27 labelled cases: precision 1.00, recall 1.00</w:t>
      </w:r>
    </w:p>
    <w:p>
      <w:pPr>
        <w:pStyle w:val="Compact"/>
        <w:numPr>
          <w:ilvl w:val="0"/>
          <w:numId w:val="1011"/>
        </w:numPr>
      </w:pPr>
      <w:r>
        <w:t xml:space="preserve">Plain text comparison baseline: precision 0.55, recall 0.81</w:t>
      </w:r>
    </w:p>
    <w:p>
      <w:pPr>
        <w:pStyle w:val="FirstParagraph"/>
      </w:pPr>
      <w:r>
        <w:rPr>
          <w:i/>
          <w:iCs/>
        </w:rPr>
        <w:t xml:space="preserve">Visual:</w:t>
      </w:r>
      <w:r>
        <w:t xml:space="preserve"> </w:t>
      </w:r>
      <w:r>
        <w:rPr>
          <w:rStyle w:val="VerbatimChar"/>
        </w:rPr>
        <w:t xml:space="preserve">diagrams/07_conflict_detection_flow.png</w:t>
      </w:r>
    </w:p>
    <w:p>
      <w:pPr>
        <w:pStyle w:val="BodyText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Be candid: the cases were written by me, so this shows the rules behave as designed and is not an independent benchmark.</w:t>
      </w:r>
    </w:p>
    <w:bookmarkEnd w:id="20"/>
    <w:bookmarkStart w:id="21" w:name="sec-3-9"/>
    <w:p>
      <w:pPr>
        <w:pStyle w:val="Heading2"/>
      </w:pPr>
      <w:r>
        <w:t xml:space="preserve">3.9 Slide 9: Ask TARA: the AI never writes numbers</w:t>
      </w:r>
    </w:p>
    <w:p>
      <w:pPr>
        <w:pStyle w:val="Compact"/>
        <w:numPr>
          <w:ilvl w:val="0"/>
          <w:numId w:val="1012"/>
        </w:numPr>
      </w:pPr>
      <w:r>
        <w:t xml:space="preserve">Question becomes a plan; the plan is validated against approved metrics</w:t>
      </w:r>
    </w:p>
    <w:p>
      <w:pPr>
        <w:pStyle w:val="Compact"/>
        <w:numPr>
          <w:ilvl w:val="0"/>
          <w:numId w:val="1012"/>
        </w:numPr>
      </w:pPr>
      <w:r>
        <w:t xml:space="preserve">Same safe compiler runs it; the answer text is composed from rows</w:t>
      </w:r>
    </w:p>
    <w:p>
      <w:pPr>
        <w:pStyle w:val="Compact"/>
        <w:numPr>
          <w:ilvl w:val="0"/>
          <w:numId w:val="1012"/>
        </w:numPr>
      </w:pPr>
      <w:r>
        <w:t xml:space="preserve">Compare ranges, second dimension, share of total, default fallbacks</w:t>
      </w:r>
    </w:p>
    <w:p>
      <w:pPr>
        <w:pStyle w:val="Compact"/>
        <w:numPr>
          <w:ilvl w:val="0"/>
          <w:numId w:val="1012"/>
        </w:numPr>
      </w:pPr>
      <w:r>
        <w:t xml:space="preserve">Refuses when the data cannot answer</w:t>
      </w:r>
    </w:p>
    <w:p>
      <w:pPr>
        <w:pStyle w:val="FirstParagraph"/>
      </w:pPr>
      <w:r>
        <w:rPr>
          <w:i/>
          <w:iCs/>
        </w:rPr>
        <w:t xml:space="preserve">Visual:</w:t>
      </w:r>
      <w:r>
        <w:t xml:space="preserve"> </w:t>
      </w:r>
      <w:r>
        <w:rPr>
          <w:rStyle w:val="VerbatimChar"/>
        </w:rPr>
        <w:t xml:space="preserve">diagrams/04_ask_tara_request_flow.png</w:t>
      </w:r>
    </w:p>
    <w:p>
      <w:pPr>
        <w:pStyle w:val="BodyText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Walk through the sequence diagram. Mention the offline deterministic mode and that no live AI key was used.</w:t>
      </w:r>
    </w:p>
    <w:bookmarkEnd w:id="21"/>
    <w:bookmarkStart w:id="22" w:name="sec-3-10"/>
    <w:p>
      <w:pPr>
        <w:pStyle w:val="Heading2"/>
      </w:pPr>
      <w:r>
        <w:t xml:space="preserve">3.10 Slide 10: Built for India</w:t>
      </w:r>
    </w:p>
    <w:p>
      <w:pPr>
        <w:pStyle w:val="Compact"/>
        <w:numPr>
          <w:ilvl w:val="0"/>
          <w:numId w:val="1013"/>
        </w:numPr>
      </w:pPr>
      <w:r>
        <w:t xml:space="preserve">INR with lakh/crore grouping; compact forms ₹45 L, ₹1.2 Cr</w:t>
      </w:r>
    </w:p>
    <w:p>
      <w:pPr>
        <w:pStyle w:val="Compact"/>
        <w:numPr>
          <w:ilvl w:val="0"/>
          <w:numId w:val="1013"/>
        </w:numPr>
      </w:pPr>
      <w:r>
        <w:t xml:space="preserve">Financial year 1 April to 31 March; fiscal quarters</w:t>
      </w:r>
    </w:p>
    <w:p>
      <w:pPr>
        <w:pStyle w:val="Compact"/>
        <w:numPr>
          <w:ilvl w:val="0"/>
          <w:numId w:val="1013"/>
        </w:numPr>
      </w:pPr>
      <w:r>
        <w:t xml:space="preserve">GST: taxable value vs invoice value; slabs 0/5/12/18/28 %</w:t>
      </w:r>
    </w:p>
    <w:p>
      <w:pPr>
        <w:pStyle w:val="Compact"/>
        <w:numPr>
          <w:ilvl w:val="0"/>
          <w:numId w:val="1013"/>
        </w:numPr>
      </w:pPr>
      <w:r>
        <w:t xml:space="preserve">Festival windows: Diwali, Dussehra, Pongal, Eid, Holi, End-of-Season sale</w:t>
      </w:r>
    </w:p>
    <w:p>
      <w:pPr>
        <w:pStyle w:val="Compact"/>
        <w:numPr>
          <w:ilvl w:val="0"/>
          <w:numId w:val="1013"/>
        </w:numPr>
      </w:pPr>
      <w:r>
        <w:t xml:space="preserve">DD-MMM-YYYY dates in IST</w:t>
      </w:r>
    </w:p>
    <w:p>
      <w:pPr>
        <w:pStyle w:val="FirstParagraph"/>
      </w:pPr>
      <w:r>
        <w:rPr>
          <w:i/>
          <w:iCs/>
        </w:rPr>
        <w:t xml:space="preserve">Visual:</w:t>
      </w:r>
      <w:r>
        <w:t xml:space="preserve"> </w:t>
      </w:r>
      <w:r>
        <w:rPr>
          <w:rStyle w:val="VerbatimChar"/>
        </w:rPr>
        <w:t xml:space="preserve">diagrams/12_fiscal_calendar_and_planner.png</w:t>
      </w:r>
    </w:p>
    <w:p>
      <w:pPr>
        <w:pStyle w:val="BodyText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Explain that</w:t>
      </w:r>
      <w:r>
        <w:t xml:space="preserve"> </w:t>
      </w:r>
      <w:r>
        <w:t xml:space="preserve">‘last quarter’</w:t>
      </w:r>
      <w:r>
        <w:t xml:space="preserve"> </w:t>
      </w:r>
      <w:r>
        <w:t xml:space="preserve">resolves to the last completed fiscal quarter, and</w:t>
      </w:r>
      <w:r>
        <w:t xml:space="preserve"> </w:t>
      </w:r>
      <w:r>
        <w:t xml:space="preserve">‘this year’</w:t>
      </w:r>
      <w:r>
        <w:t xml:space="preserve"> </w:t>
      </w:r>
      <w:r>
        <w:t xml:space="preserve">to the financial year to date.</w:t>
      </w:r>
    </w:p>
    <w:bookmarkEnd w:id="22"/>
    <w:bookmarkStart w:id="23" w:name="sec-3-11"/>
    <w:p>
      <w:pPr>
        <w:pStyle w:val="Heading2"/>
      </w:pPr>
      <w:r>
        <w:t xml:space="preserve">3.11 Slide 11: Demonstration</w:t>
      </w:r>
    </w:p>
    <w:p>
      <w:pPr>
        <w:pStyle w:val="Compact"/>
        <w:numPr>
          <w:ilvl w:val="0"/>
          <w:numId w:val="1014"/>
        </w:numPr>
      </w:pPr>
      <w:r>
        <w:t xml:space="preserve">Reviewer: detect and resolve the Revenue conflict</w:t>
      </w:r>
    </w:p>
    <w:p>
      <w:pPr>
        <w:pStyle w:val="Compact"/>
        <w:numPr>
          <w:ilvl w:val="0"/>
          <w:numId w:val="1014"/>
        </w:numPr>
      </w:pPr>
      <w:r>
        <w:t xml:space="preserve">Analyst: Formula Lab, including a rejected injection</w:t>
      </w:r>
    </w:p>
    <w:p>
      <w:pPr>
        <w:pStyle w:val="Compact"/>
        <w:numPr>
          <w:ilvl w:val="0"/>
          <w:numId w:val="1014"/>
        </w:numPr>
      </w:pPr>
      <w:r>
        <w:t xml:space="preserve">Business user: Diwali comparison and UPI vs COD split</w:t>
      </w:r>
    </w:p>
    <w:p>
      <w:pPr>
        <w:pStyle w:val="Compact"/>
        <w:numPr>
          <w:ilvl w:val="0"/>
          <w:numId w:val="1014"/>
        </w:numPr>
      </w:pPr>
      <w:r>
        <w:t xml:space="preserve">Admin: audit log; other workspace: no cross-company data</w:t>
      </w:r>
    </w:p>
    <w:p>
      <w:pPr>
        <w:pStyle w:val="FirstParagraph"/>
      </w:pPr>
      <w:r>
        <w:rPr>
          <w:i/>
          <w:iCs/>
        </w:rPr>
        <w:t xml:space="preserve">Visual:</w:t>
      </w:r>
      <w:r>
        <w:t xml:space="preserve"> </w:t>
      </w:r>
      <w:r>
        <w:rPr>
          <w:rStyle w:val="VerbatimChar"/>
        </w:rPr>
        <w:t xml:space="preserve">screenshots/light/41_ask_tara_empty.png</w:t>
      </w:r>
    </w:p>
    <w:p>
      <w:pPr>
        <w:pStyle w:val="BodyText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Run the live demo here (8 minutes). The screenshot is a backup if the demo fails.</w:t>
      </w:r>
    </w:p>
    <w:bookmarkEnd w:id="23"/>
    <w:bookmarkStart w:id="24" w:name="sec-3-12"/>
    <w:p>
      <w:pPr>
        <w:pStyle w:val="Heading2"/>
      </w:pPr>
      <w:r>
        <w:t xml:space="preserve">3.12 Slide 12: Testing</w:t>
      </w:r>
    </w:p>
    <w:p>
      <w:pPr>
        <w:pStyle w:val="Compact"/>
        <w:numPr>
          <w:ilvl w:val="0"/>
          <w:numId w:val="1015"/>
        </w:numPr>
      </w:pPr>
      <w:r>
        <w:t xml:space="preserve">325 automated tests, 0 failed</w:t>
      </w:r>
    </w:p>
    <w:p>
      <w:pPr>
        <w:pStyle w:val="Compact"/>
        <w:numPr>
          <w:ilvl w:val="0"/>
          <w:numId w:val="1015"/>
        </w:numPr>
      </w:pPr>
      <w:r>
        <w:t xml:space="preserve">pytest 136 (+ 136 on PostgreSQL 18), Vitest 40, Playwright 13</w:t>
      </w:r>
    </w:p>
    <w:p>
      <w:pPr>
        <w:pStyle w:val="Compact"/>
        <w:numPr>
          <w:ilvl w:val="0"/>
          <w:numId w:val="1015"/>
        </w:numPr>
      </w:pPr>
      <w:r>
        <w:t xml:space="preserve">Back-end statement coverage 82.8 %</w:t>
      </w:r>
    </w:p>
    <w:p>
      <w:pPr>
        <w:pStyle w:val="Compact"/>
        <w:numPr>
          <w:ilvl w:val="0"/>
          <w:numId w:val="1015"/>
        </w:numPr>
      </w:pPr>
      <w:r>
        <w:t xml:space="preserve">Security tests: injection, token forgery, CSRF, isolation, escalation</w:t>
      </w:r>
    </w:p>
    <w:p>
      <w:pPr>
        <w:pStyle w:val="Compact"/>
        <w:numPr>
          <w:ilvl w:val="0"/>
          <w:numId w:val="1015"/>
        </w:numPr>
      </w:pPr>
      <w:r>
        <w:t xml:space="preserve">Every page screenshotted in light and dark mode</w:t>
      </w:r>
    </w:p>
    <w:p>
      <w:pPr>
        <w:pStyle w:val="FirstParagraph"/>
      </w:pPr>
      <w:r>
        <w:rPr>
          <w:i/>
          <w:iCs/>
        </w:rPr>
        <w:t xml:space="preserve">Visual:</w:t>
      </w:r>
      <w:r>
        <w:t xml:space="preserve"> </w:t>
      </w:r>
      <w:r>
        <w:rPr>
          <w:rStyle w:val="VerbatimChar"/>
        </w:rPr>
        <w:t xml:space="preserve">charts/tests_by_suite.png</w:t>
      </w:r>
    </w:p>
    <w:p>
      <w:pPr>
        <w:pStyle w:val="BodyText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Each row of the test-case table in the report is linked to a measured result, so the table cannot claim a pass that did not happen.</w:t>
      </w:r>
    </w:p>
    <w:bookmarkEnd w:id="24"/>
    <w:bookmarkStart w:id="25" w:name="sec-3-13"/>
    <w:p>
      <w:pPr>
        <w:pStyle w:val="Heading2"/>
      </w:pPr>
      <w:r>
        <w:t xml:space="preserve">3.13 Slide 13: Measured performance</w:t>
      </w:r>
    </w:p>
    <w:p>
      <w:pPr>
        <w:pStyle w:val="Compact"/>
        <w:numPr>
          <w:ilvl w:val="0"/>
          <w:numId w:val="1016"/>
        </w:numPr>
      </w:pPr>
      <w:r>
        <w:t xml:space="preserve">Query engine median 6.37 ms, p95 12.77 ms on 62,000 rows</w:t>
      </w:r>
    </w:p>
    <w:p>
      <w:pPr>
        <w:pStyle w:val="Compact"/>
        <w:numPr>
          <w:ilvl w:val="0"/>
          <w:numId w:val="1016"/>
        </w:numPr>
      </w:pPr>
      <w:r>
        <w:t xml:space="preserve">Ingestion about 86,494 rows per second</w:t>
      </w:r>
    </w:p>
    <w:p>
      <w:pPr>
        <w:pStyle w:val="Compact"/>
        <w:numPr>
          <w:ilvl w:val="0"/>
          <w:numId w:val="1016"/>
        </w:numPr>
      </w:pPr>
      <w:r>
        <w:t xml:space="preserve">Dashboard load 167.2 ms on average</w:t>
      </w:r>
    </w:p>
    <w:p>
      <w:pPr>
        <w:pStyle w:val="Compact"/>
        <w:numPr>
          <w:ilvl w:val="0"/>
          <w:numId w:val="1016"/>
        </w:numPr>
      </w:pPr>
      <w:r>
        <w:t xml:space="preserve">Time-saving estimates rely on stated assumptions, not measurements</w:t>
      </w:r>
    </w:p>
    <w:p>
      <w:pPr>
        <w:pStyle w:val="FirstParagraph"/>
      </w:pPr>
      <w:r>
        <w:rPr>
          <w:i/>
          <w:iCs/>
        </w:rPr>
        <w:t xml:space="preserve">Visual:</w:t>
      </w:r>
      <w:r>
        <w:t xml:space="preserve"> </w:t>
      </w:r>
      <w:r>
        <w:rPr>
          <w:rStyle w:val="VerbatimChar"/>
        </w:rPr>
        <w:t xml:space="preserve">charts/query_latency.png</w:t>
      </w:r>
    </w:p>
    <w:p>
      <w:pPr>
        <w:pStyle w:val="BodyText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Single-user numbers from one Windows machine. Say clearly that there was no load test.</w:t>
      </w:r>
    </w:p>
    <w:bookmarkEnd w:id="25"/>
    <w:bookmarkStart w:id="26" w:name="sec-3-14"/>
    <w:p>
      <w:pPr>
        <w:pStyle w:val="Heading2"/>
      </w:pPr>
      <w:r>
        <w:t xml:space="preserve">3.14 Slide 14: Honest limitations</w:t>
      </w:r>
    </w:p>
    <w:p>
      <w:pPr>
        <w:pStyle w:val="Compact"/>
        <w:numPr>
          <w:ilvl w:val="0"/>
          <w:numId w:val="1017"/>
        </w:numPr>
      </w:pPr>
      <w:r>
        <w:t xml:space="preserve">Docker Compose tested on GitHub Actions, not on our own machines</w:t>
      </w:r>
    </w:p>
    <w:p>
      <w:pPr>
        <w:pStyle w:val="Compact"/>
        <w:numPr>
          <w:ilvl w:val="0"/>
          <w:numId w:val="1017"/>
        </w:numPr>
      </w:pPr>
      <w:r>
        <w:t xml:space="preserve">No live AI provider tested; offline planner only</w:t>
      </w:r>
    </w:p>
    <w:p>
      <w:pPr>
        <w:pStyle w:val="Compact"/>
        <w:numPr>
          <w:ilvl w:val="0"/>
          <w:numId w:val="1017"/>
        </w:numPr>
      </w:pPr>
      <w:r>
        <w:t xml:space="preserve">Synthetic data; no user study; no external security audit</w:t>
      </w:r>
    </w:p>
    <w:p>
      <w:pPr>
        <w:pStyle w:val="Compact"/>
        <w:numPr>
          <w:ilvl w:val="0"/>
          <w:numId w:val="1017"/>
        </w:numPr>
      </w:pPr>
      <w:r>
        <w:t xml:space="preserve">Chromium only; no load test; per-process rate limiter</w:t>
      </w:r>
    </w:p>
    <w:p>
      <w:pPr>
        <w:pStyle w:val="Compact"/>
        <w:numPr>
          <w:ilvl w:val="0"/>
          <w:numId w:val="1017"/>
        </w:numPr>
      </w:pPr>
      <w:r>
        <w:t xml:space="preserve">Verified instead: PostgreSQL 18.2, Redis + Celery, MySQL 8.0</w:t>
      </w:r>
    </w:p>
    <w:p>
      <w:pPr>
        <w:pStyle w:val="FirstParagraph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Say these before the examiner asks. It builds trust.</w:t>
      </w:r>
    </w:p>
    <w:bookmarkEnd w:id="26"/>
    <w:bookmarkStart w:id="27" w:name="sec-3-15"/>
    <w:p>
      <w:pPr>
        <w:pStyle w:val="Heading2"/>
      </w:pPr>
      <w:r>
        <w:t xml:space="preserve">3.15 Slide 15: Future scope and conclusion</w:t>
      </w:r>
    </w:p>
    <w:p>
      <w:pPr>
        <w:pStyle w:val="Compact"/>
        <w:numPr>
          <w:ilvl w:val="0"/>
          <w:numId w:val="1018"/>
        </w:numPr>
      </w:pPr>
      <w:r>
        <w:t xml:space="preserve">Evaluate with a real LLM on a held-out question set</w:t>
      </w:r>
    </w:p>
    <w:p>
      <w:pPr>
        <w:pStyle w:val="Compact"/>
        <w:numPr>
          <w:ilvl w:val="0"/>
          <w:numId w:val="1018"/>
        </w:numPr>
      </w:pPr>
      <w:r>
        <w:t xml:space="preserve">Redis-backed rate limiting; e-mail delivery; single sign-on</w:t>
      </w:r>
    </w:p>
    <w:p>
      <w:pPr>
        <w:pStyle w:val="Compact"/>
        <w:numPr>
          <w:ilvl w:val="0"/>
          <w:numId w:val="1018"/>
        </w:numPr>
      </w:pPr>
      <w:r>
        <w:t xml:space="preserve">Column-level security; connectors to real BI sources; user study</w:t>
      </w:r>
    </w:p>
    <w:p>
      <w:pPr>
        <w:pStyle w:val="Compact"/>
        <w:numPr>
          <w:ilvl w:val="0"/>
          <w:numId w:val="1018"/>
        </w:numPr>
      </w:pPr>
      <w:r>
        <w:t xml:space="preserve">One definition, one history, answers you can trace</w:t>
      </w:r>
    </w:p>
    <w:p>
      <w:pPr>
        <w:pStyle w:val="FirstParagraph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Close with the contribution: an integrated, tested, honest implementation.</w:t>
      </w:r>
    </w:p>
    <w:bookmarkEnd w:id="27"/>
    <w:bookmarkStart w:id="28" w:name="sec-3-16"/>
    <w:p>
      <w:pPr>
        <w:pStyle w:val="Heading2"/>
      </w:pPr>
      <w:r>
        <w:t xml:space="preserve">3.16 Slide 16: Thank you. Questions?</w:t>
      </w:r>
    </w:p>
    <w:p>
      <w:pPr>
        <w:pStyle w:val="Compact"/>
        <w:numPr>
          <w:ilvl w:val="0"/>
          <w:numId w:val="1019"/>
        </w:numPr>
      </w:pPr>
      <w:r>
        <w:t xml:space="preserve">Devi Priya, Priyanka, Akshay and Bhaskar</w:t>
      </w:r>
    </w:p>
    <w:p>
      <w:pPr>
        <w:pStyle w:val="Compact"/>
        <w:numPr>
          <w:ilvl w:val="0"/>
          <w:numId w:val="1019"/>
        </w:numPr>
      </w:pPr>
      <w:r>
        <w:t xml:space="preserve">Documents: Project Report, Concept Note, Architecture, Testing Report, User Guide, Deployment Guide, Viva Preparation</w:t>
      </w:r>
    </w:p>
    <w:p>
      <w:pPr>
        <w:pStyle w:val="FirstParagraph"/>
      </w:pPr>
      <w:r>
        <w:rPr>
          <w:i/>
          <w:iCs/>
        </w:rPr>
        <w:t xml:space="preserve">Speaker notes:</w:t>
      </w:r>
      <w:r>
        <w:t xml:space="preserve"> </w:t>
      </w:r>
      <w:r>
        <w:t xml:space="preserve">Invite questions. The Viva Preparation document lists forty likely ones.</w:t>
      </w:r>
    </w:p>
    <w:bookmarkEnd w:id="28"/>
    <w:bookmarkEnd w:id="29"/>
    <w:sectPr>
      <w:footerReference w:type="default" r:id="rId9"/>
      <w:footnotePr>
        <w:numRestart w:val="eachSect"/>
      </w:footnotePr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Devi Priya, Priyanka, Akshay and Bhaskar | Presentation Outline | Page </w:t>
    </w:r>
    <w:r>
      <w:rPr>
        <w:color w:val="555555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I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19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ascii="Calibri" w:hAnsi="Calibri"/>
      <w:b/>
      <w:color w:val="111111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Calibri" w:hAnsi="Calibri"/>
      <w:b/>
      <w:color w:val="11111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Calibri" w:hAnsi="Calibri"/>
      <w:b/>
      <w:color w:val="11111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Calibri" w:hAnsi="Calibri"/>
      <w:b/>
      <w:color w:val="11111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Presentation Outline</dc:title>
  <dc:creator>Devi Priya, Priyanka, Akshay and Bhaskar</dc:creator>
  <dc:language>en-IN</dc:language>
  <cp:keywords/>
  <dcterms:created xsi:type="dcterms:W3CDTF">2026-10-26T06:11:44Z</dcterms:created>
  <dcterms:modified xsi:type="dcterms:W3CDTF">2026-10-26T06:11:44Z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