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66666"/>
          <w:sz w:val="18"/>
          <w:szCs w:val="18"/>
        </w:rPr>
        <w:t xml:space="preserve">AI COURSE CAPSTONE | SYSTEM DESIGN</w:t>
      </w:r>
    </w:p>
    <w:p>
      <w:pPr>
        <w:spacing w:after="200"/>
      </w:pPr>
      <w:r>
        <w:rPr>
          <w:b/>
          <w:bCs/>
          <w:sz w:val="40"/>
          <w:szCs w:val="40"/>
        </w:rPr>
        <w:t xml:space="preserve">SKILLKARTZ AI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1EFE8" w:val="clear"/>
          </w:tcPr>
          <w:p>
            <w:r>
              <w:rPr>
                <w:b/>
                <w:bCs/>
                <w:sz w:val="20"/>
                <w:szCs w:val="20"/>
              </w:rPr>
              <w:t xml:space="preserve">Title</w:t>
            </w:r>
          </w:p>
        </w:tc>
        <w:tc>
          <w:tcPr>
            <w:tcW w:type="dxa" w:w="6800"/>
          </w:tcPr>
          <w:p>
            <w:r>
              <w:rPr>
                <w:sz w:val="20"/>
                <w:szCs w:val="20"/>
              </w:rPr>
              <w:t xml:space="preserve">SKILLKARTZ</w:t>
            </w:r>
          </w:p>
        </w:tc>
      </w:tr>
      <w:tr>
        <w:tc>
          <w:tcPr>
            <w:tcW w:type="dxa" w:w="2200"/>
            <w:shd w:fill="F1EFE8" w:val="clear"/>
          </w:tcPr>
          <w:p>
            <w:r>
              <w:rPr>
                <w:b/>
                <w:bCs/>
                <w:sz w:val="20"/>
                <w:szCs w:val="20"/>
              </w:rPr>
              <w:t xml:space="preserve">Description</w:t>
            </w:r>
          </w:p>
        </w:tc>
        <w:tc>
          <w:tcPr>
            <w:tcW w:type="dxa" w:w="6800"/>
          </w:tcPr>
          <w:p>
            <w:r>
              <w:rPr>
                <w:sz w:val="20"/>
                <w:szCs w:val="20"/>
              </w:rPr>
              <w:t xml:space="preserve">Supervisor-Led Multi-Bot Career Forecasting and Upskilling Agent</w:t>
            </w:r>
          </w:p>
        </w:tc>
      </w:tr>
      <w:tr>
        <w:tc>
          <w:tcPr>
            <w:tcW w:type="dxa" w:w="2200"/>
            <w:shd w:fill="F1EFE8" w:val="clear"/>
          </w:tcPr>
          <w:p>
            <w:r>
              <w:rPr>
                <w:b/>
                <w:bCs/>
                <w:sz w:val="20"/>
                <w:szCs w:val="20"/>
              </w:rPr>
              <w:t xml:space="preserve">Author</w:t>
            </w:r>
          </w:p>
        </w:tc>
        <w:tc>
          <w:tcPr>
            <w:tcW w:type="dxa" w:w="6800"/>
          </w:tcPr>
          <w:p>
            <w:r>
              <w:rPr>
                <w:sz w:val="20"/>
                <w:szCs w:val="20"/>
              </w:rPr>
              <w:t xml:space="preserve">Karthik Gopal – 07/26/2026</w:t>
            </w:r>
          </w:p>
        </w:tc>
      </w:tr>
      <w:tr>
        <w:tc>
          <w:tcPr>
            <w:tcW w:type="dxa" w:w="2200"/>
            <w:shd w:fill="F1EFE8" w:val="clear"/>
          </w:tcPr>
          <w:p>
            <w:r>
              <w:rPr>
                <w:b/>
                <w:bCs/>
                <w:sz w:val="20"/>
                <w:szCs w:val="20"/>
              </w:rPr>
              <w:t xml:space="preserve">Agent Type</w:t>
            </w:r>
          </w:p>
        </w:tc>
        <w:tc>
          <w:tcPr>
            <w:tcW w:type="dxa" w:w="6800"/>
          </w:tcPr>
          <w:p>
            <w:r>
              <w:rPr>
                <w:sz w:val="20"/>
                <w:szCs w:val="20"/>
              </w:rPr>
              <w:t xml:space="preserve">Forecast Agent</w:t>
            </w:r>
          </w:p>
        </w:tc>
      </w:tr>
    </w:tbl>
    <w:p>
      <w:pPr>
        <w:pStyle w:val="Heading1"/>
        <w:spacing w:after="150" w:before="300"/>
      </w:pPr>
      <w:r>
        <w:t xml:space="preserve">1. Problem and Intended Users</w:t>
      </w:r>
    </w:p>
    <w:p>
      <w:pPr>
        <w:spacing w:after="160"/>
        <w:jc w:val="both"/>
      </w:pPr>
      <w:r>
        <w:rPr>
          <w:sz w:val="22"/>
          <w:szCs w:val="22"/>
        </w:rPr>
        <w:t xml:space="preserve">Students, job seekers, employees, and career changers often know their skills but cannot easily see where those skills are in demand. Job portals list vacancies, while labor reports provide broad statistics. Neither usually gives a personalized answer such as, “What percentage of banking jobs request Python?” or “Which sectors need my data-analysis skills?” Users also need practical guidance when demand is weak.</w:t>
      </w:r>
    </w:p>
    <w:p>
      <w:pPr>
        <w:spacing w:after="160"/>
        <w:jc w:val="both"/>
      </w:pPr>
      <w:r>
        <w:rPr>
          <w:sz w:val="22"/>
          <w:szCs w:val="22"/>
        </w:rPr>
        <w:t xml:space="preserve">ForecastAI analyzes a selected skill, location, experience level, sector, and career goal. It returns the percentage of analyzed job postings mentioning the skill in each sector. This percentage represents observed job-posting share, not the user’s chance of getting a job. When the selected skill is below 35% in a target sector, ForecastAI recommends complementary skills and suitable learning portals, certification providers, universities, or training institutions.</w:t>
      </w:r>
    </w:p>
    <w:p>
      <w:pPr>
        <w:pStyle w:val="Heading1"/>
        <w:spacing w:after="150" w:before="300"/>
      </w:pPr>
      <w:r>
        <w:t xml:space="preserve">2. Why a Standalone LLM Is Insufficient</w:t>
      </w:r>
    </w:p>
    <w:p>
      <w:pPr>
        <w:spacing w:after="160"/>
        <w:jc w:val="both"/>
      </w:pPr>
      <w:r>
        <w:rPr>
          <w:sz w:val="22"/>
          <w:szCs w:val="22"/>
        </w:rPr>
        <w:t xml:space="preserve">A standalone LLM or simple prompt can produce fluent career advice, but it cannot reliably generate current, auditable market percentages. Its knowledge may be outdated; it may invent statistics or courses; and it cannot consistently normalize skill names, remove duplicate postings, calculate sector percentages, or verify source freshness. A single large prompt would also mix research, calculation, recommendation, and validation, making the solution difficult to test and govern.</w:t>
      </w:r>
    </w:p>
    <w:p>
      <w:pPr>
        <w:spacing w:after="160"/>
        <w:jc w:val="both"/>
      </w:pPr>
      <w:r>
        <w:rPr>
          <w:sz w:val="22"/>
          <w:szCs w:val="22"/>
        </w:rPr>
        <w:t xml:space="preserve">ForecastAI therefore separates responsibilities among specialized bots and uses tools for retrieval and calculation. The LLM supports conversation and reasoning, while market figures come from approved data and deterministic formulas.</w:t>
      </w:r>
    </w:p>
    <w:p>
      <w:pPr>
        <w:pStyle w:val="Heading1"/>
        <w:spacing w:after="150" w:before="300"/>
      </w:pPr>
      <w:r>
        <w:t xml:space="preserve">3. Operating Environment</w:t>
      </w:r>
    </w:p>
    <w:p>
      <w:pPr>
        <w:spacing w:after="160"/>
        <w:jc w:val="both"/>
      </w:pPr>
      <w:r>
        <w:rPr>
          <w:sz w:val="22"/>
          <w:szCs w:val="22"/>
        </w:rPr>
        <w:t xml:space="preserve">Intended users are students, job seekers, working professionals, career counselors, and training coordinators. The environment contains job descriptions, skill-taxonomy documents, skill dictionaries, course catalogs, certification requirements, labor reports, and historical market summaries.</w:t>
      </w:r>
    </w:p>
    <w:p>
      <w:pPr>
        <w:spacing w:after="160"/>
        <w:jc w:val="both"/>
      </w:pPr>
      <w:r>
        <w:rPr>
          <w:sz w:val="22"/>
          <w:szCs w:val="22"/>
        </w:rPr>
        <w:t xml:space="preserve">Data may come from approved job-board feeds, public labor datasets, employer career pages, institution catalogs, and stored historical snapshots. Tools include search connectors, résumé or text parsing, skill normalization, sector classification, duplicate detection, percentage calculation, trend analysis, course search, and confidence scoring. A structured database stores skills, sectors, locations, posting dates, source references, and recommendations.</w:t>
      </w:r>
    </w:p>
    <w:p>
      <w:pPr>
        <w:pStyle w:val="Heading1"/>
        <w:spacing w:after="150" w:before="300"/>
      </w:pPr>
      <w:r>
        <w:t xml:space="preserve">4. Supervisor-Led Multi-Bot Solution</w:t>
      </w:r>
    </w:p>
    <w:p>
      <w:pPr>
        <w:spacing w:after="160"/>
        <w:jc w:val="both"/>
      </w:pPr>
      <w:r>
        <w:rPr>
          <w:sz w:val="22"/>
          <w:szCs w:val="22"/>
        </w:rPr>
        <w:t xml:space="preserve">The Career Advisor Bot collects the user’s skill, location, experience, sector, timeframe, budget, and learning preferences. The Supervisor Bot creates the plan, invokes specialists, manages dependencies, handles failures, and combines results.</w:t>
      </w:r>
    </w:p>
    <w:p>
      <w:pPr>
        <w:spacing w:after="160"/>
        <w:jc w:val="both"/>
      </w:pPr>
      <w:r>
        <w:rPr>
          <w:sz w:val="22"/>
          <w:szCs w:val="22"/>
        </w:rPr>
        <w:t xml:space="preserve">The Skill Intelligence Bot extracts and standardizes skills, identifies synonyms, and suggests related capabilities. The Job Market Research Bot retrieves relevant postings and labor data, filters records, removes duplicates, and records source dates. The Forecast and Analytics Bot calculates: Skill availability % = skill postings in sector ÷ total sector postings × 100</w:t>
      </w:r>
    </w:p>
    <w:p>
      <w:pPr>
        <w:spacing w:after="160"/>
        <w:jc w:val="both"/>
      </w:pPr>
      <w:r>
        <w:rPr>
          <w:sz w:val="22"/>
          <w:szCs w:val="22"/>
        </w:rPr>
        <w:t xml:space="preserve">It ranks sectors, detects increasing, stable, or declining demand, and assigns a confidence score. If a target result is below 35%, the Upskilling Bot identifies commonly requested complementary skills and creates a staged learning roadmap. The Quality and Governance Bot verifies arithmetic, sources, unsupported claims, bias, and limitations before the Career Advisor Bot responds.</w:t>
      </w:r>
    </w:p>
    <w:p>
      <w:pPr>
        <w:pStyle w:val="Heading1"/>
        <w:spacing w:after="150" w:before="300"/>
      </w:pPr>
      <w:r>
        <w:t xml:space="preserve">5. Actions and Feedback Across Steps</w:t>
      </w:r>
    </w:p>
    <w:p>
      <w:pPr>
        <w:spacing w:after="160"/>
        <w:jc w:val="both"/>
      </w:pPr>
      <w:r>
        <w:rPr>
          <w:sz w:val="22"/>
          <w:szCs w:val="22"/>
        </w:rPr>
        <w:t xml:space="preserve">The system clarifies incomplete input, retrieves and normalizes data, calculates results, applies the threshold, generates recommendations, validates the output, and presents an explainable response. Each answer should show the market, period, source coverage, sector percentages, confidence, and recommended next action.</w:t>
      </w:r>
    </w:p>
    <w:p>
      <w:pPr>
        <w:spacing w:after="160"/>
        <w:jc w:val="both"/>
      </w:pPr>
      <w:r>
        <w:rPr>
          <w:sz w:val="22"/>
          <w:szCs w:val="22"/>
        </w:rPr>
        <w:t xml:space="preserve">Feedback guides behavior throughout the process. Users can correct a skill, change location, reject a recommendation, or rate usefulness. The Supervisor sends a correction only to the relevant specialist instead of restarting the full process. The Governance Bot requests recalculation when data is stale, coverage is low, or results conflict. Low confidence triggers a cautious explanation or request for more information. Accepted and rejected recommendations can improve future ranking rules, while audit logs preserve the reason for each result.</w:t>
      </w:r>
    </w:p>
    <w:p>
      <w:pPr>
        <w:pStyle w:val="Heading1"/>
        <w:spacing w:after="150" w:before="300"/>
      </w:pPr>
      <w:r>
        <w:t xml:space="preserve">6. Expected Outcome</w:t>
      </w:r>
    </w:p>
    <w:p>
      <w:pPr>
        <w:spacing w:after="160"/>
        <w:jc w:val="both"/>
      </w:pPr>
      <w:r>
        <w:rPr>
          <w:sz w:val="22"/>
          <w:szCs w:val="22"/>
        </w:rPr>
        <w:t xml:space="preserve">ForecastAI is a transparent career decision aid, not a job guarantee. Success is measured through calculation accuracy, skill and sector classification, recommendation relevance, source freshness, explanation clarity, and user satisfaction. Later versions may add résumé analysis, salary forecasting, multilingual support, job alerts, and learning-progress tracking.</w:t>
      </w:r>
    </w:p>
    <w:p>
      <w:r>
        <w:br w:type="page"/>
      </w:r>
    </w:p>
    <w:p>
      <w:pPr>
        <w:pStyle w:val="Heading1"/>
        <w:spacing w:after="150" w:before="300"/>
      </w:pPr>
      <w:r>
        <w:t xml:space="preserve">7. Complete Architecture with Embedded AI Reasoning Concepts</w:t>
      </w:r>
    </w:p>
    <w:p>
      <w:pPr>
        <w:spacing w:after="160"/>
        <w:jc w:val="both"/>
      </w:pPr>
      <w:r>
        <w:rPr>
          <w:sz w:val="22"/>
          <w:szCs w:val="22"/>
        </w:rPr>
        <w:t xml:space="preserve">The diagram below shows the full multi-bot system end to end, with the key AI concepts and tools placed at the specific bot that actually uses them — rather than as a generic layer bolted onto the bottom of the design. It also includes two proposed agents (dashed border) that activate when standard job-portal data is insufficient for a given skill.</w:t>
      </w:r>
    </w:p>
    <w:p>
      <w:pPr>
        <w:spacing w:after="200" w:before="200"/>
        <w:jc w:val="center"/>
      </w:pPr>
      <w:r>
        <w:drawing>
          <wp:inline distT="0" distB="0" distL="0" distR="0">
            <wp:extent cx="51435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4772025"/>
                    </a:xfrm>
                    <a:prstGeom prst="rect">
                      <a:avLst/>
                    </a:prstGeom>
                  </pic:spPr>
                </pic:pic>
              </a:graphicData>
            </a:graphic>
          </wp:inline>
        </w:drawing>
      </w:r>
    </w:p>
    <w:p>
      <w:pPr>
        <w:pStyle w:val="Heading2"/>
        <w:spacing w:after="120" w:before="240"/>
      </w:pPr>
      <w:r>
        <w:t xml:space="preserve">Memory store — attached to the Supervisor Bot</w:t>
      </w:r>
    </w:p>
    <w:p>
      <w:pPr>
        <w:spacing w:after="160"/>
        <w:jc w:val="both"/>
      </w:pPr>
      <w:r>
        <w:rPr>
          <w:sz w:val="22"/>
          <w:szCs w:val="22"/>
        </w:rPr>
        <w:t xml:space="preserve">Holds short-term session context (the user’s current skill, location, experience, and goal) across the plan → delegate → combine loop, plus a longer-term record of accepted and rejected recommendations that can inform future ranking rules.</w:t>
      </w:r>
    </w:p>
    <w:p>
      <w:pPr>
        <w:pStyle w:val="Heading2"/>
        <w:spacing w:after="120" w:before="240"/>
      </w:pPr>
      <w:r>
        <w:t xml:space="preserve">Chain-of-thought — on the Forecast Bot’s output path</w:t>
      </w:r>
    </w:p>
    <w:p>
      <w:pPr>
        <w:spacing w:after="160"/>
        <w:jc w:val="both"/>
      </w:pPr>
      <w:r>
        <w:rPr>
          <w:sz w:val="22"/>
          <w:szCs w:val="22"/>
        </w:rPr>
        <w:t xml:space="preserve">The Forecast and Analytics Bot works the skill-availability calculation step by step (skill postings in sector ÷ total sector postings × 100) rather than producing a number directly. This intermediate reasoning trace is what keeps the percentage auditable and explainable, including in the niche-benchmark case described below.</w:t>
      </w:r>
    </w:p>
    <w:p>
      <w:pPr>
        <w:pStyle w:val="Heading2"/>
        <w:spacing w:after="120" w:before="240"/>
      </w:pPr>
      <w:r>
        <w:t xml:space="preserve">Reflection — attached to the Governance Bot</w:t>
      </w:r>
    </w:p>
    <w:p>
      <w:pPr>
        <w:spacing w:after="160"/>
        <w:jc w:val="both"/>
      </w:pPr>
      <w:r>
        <w:rPr>
          <w:sz w:val="22"/>
          <w:szCs w:val="22"/>
        </w:rPr>
        <w:t xml:space="preserve">Before a response reaches the Career Advisor Bot, the Governance and QA Bot runs a self-critique pass — checking arithmetic, source freshness, coverage, and unsupported claims. When something looks off, this reflection loop is what triggers a recalculation request back to the relevant specialist bot rather than letting a shaky result pass through.</w:t>
      </w:r>
    </w:p>
    <w:p>
      <w:pPr>
        <w:pStyle w:val="Heading2"/>
        <w:spacing w:after="120" w:before="240"/>
      </w:pPr>
      <w:r>
        <w:t xml:space="preserve">Tools &amp; data infrastructure — shared foundation</w:t>
      </w:r>
    </w:p>
    <w:p>
      <w:pPr>
        <w:spacing w:after="160"/>
        <w:jc w:val="both"/>
      </w:pPr>
      <w:r>
        <w:rPr>
          <w:sz w:val="22"/>
          <w:szCs w:val="22"/>
        </w:rPr>
        <w:t xml:space="preserve">RAG retrieval, function calling, the vector database, and confidence scoring remain a shared layer underneath all bots, since every specialist bot draws on this same infrastructure rather than owning its own private copy.</w:t>
      </w:r>
    </w:p>
    <w:p>
      <w:pPr>
        <w:pStyle w:val="Heading1"/>
        <w:spacing w:after="150" w:before="300"/>
      </w:pPr>
      <w:r>
        <w:t xml:space="preserve">8. Proposed Extension: Niche and Local Skill Coverage</w:t>
      </w:r>
    </w:p>
    <w:p>
      <w:pPr>
        <w:spacing w:after="160"/>
        <w:jc w:val="both"/>
      </w:pPr>
      <w:r>
        <w:rPr>
          <w:sz w:val="22"/>
          <w:szCs w:val="22"/>
        </w:rPr>
        <w:t xml:space="preserve">Online job-board data structurally under-represents skill demand that is advertised offline or only at local/regional scale — common for trades, local services, and specialized or emerging skills. A system that reads only standard job-portal data will either underestimate demand for these skills or misclassify low data volume as low demand. This extension introduces two proposed agents (dashed border in the diagram above) to close that gap.</w:t>
      </w:r>
    </w:p>
    <w:p>
      <w:pPr>
        <w:pStyle w:val="Heading2"/>
        <w:spacing w:after="120" w:before="240"/>
      </w:pPr>
      <w:r>
        <w:t xml:space="preserve">Local and Niche Skill Intelligence Agent</w:t>
      </w:r>
    </w:p>
    <w:p>
      <w:pPr>
        <w:spacing w:after="160"/>
        <w:jc w:val="both"/>
      </w:pPr>
      <w:r>
        <w:rPr>
          <w:sz w:val="22"/>
          <w:szCs w:val="22"/>
        </w:rPr>
        <w:t xml:space="preserve">This agent manages skills for which standard job portals provide insufficient location-specific data. It collects employment signals from approved local sources such as regional newspapers, community job boards, employer career pages, recruitment agencies, professional associations, government employment exchanges, training institutes, trade publications, social-media job advertisements, and local business directories.</w:t>
      </w:r>
    </w:p>
    <w:p>
      <w:pPr>
        <w:spacing w:after="160"/>
        <w:jc w:val="both"/>
      </w:pPr>
      <w:r>
        <w:rPr>
          <w:sz w:val="22"/>
          <w:szCs w:val="22"/>
        </w:rPr>
        <w:t xml:space="preserve">It extracts the job title, required skills, employer, location, sector, experience level, posting date, and source. It then removes duplicates, standardizes skill names, assigns source reliability scores, and stores the validated records in the offline job-market repository. It must respect source licensing, privacy, and data-usage restrictions.</w:t>
      </w:r>
    </w:p>
    <w:p>
      <w:pPr>
        <w:pStyle w:val="Heading2"/>
        <w:spacing w:after="120" w:before="240"/>
      </w:pPr>
      <w:r>
        <w:t xml:space="preserve">Niche Skill Governance and Benchmarking Agent</w:t>
      </w:r>
    </w:p>
    <w:p>
      <w:pPr>
        <w:spacing w:after="160"/>
        <w:jc w:val="both"/>
      </w:pPr>
      <w:r>
        <w:rPr>
          <w:sz w:val="22"/>
          <w:szCs w:val="22"/>
        </w:rPr>
        <w:t xml:space="preserve">This agent determines whether a skill should be classified as niche and establishes the benchmark used for forecasting. It evaluates:</w:t>
      </w:r>
    </w:p>
    <w:p>
      <w:pPr>
        <w:pStyle w:val="ListParagraph"/>
        <w:numPr>
          <w:ilvl w:val="0"/>
          <w:numId w:val="1"/>
        </w:numPr>
        <w:spacing w:after="80"/>
      </w:pPr>
      <w:r>
        <w:rPr>
          <w:sz w:val="22"/>
          <w:szCs w:val="22"/>
        </w:rPr>
        <w:t xml:space="preserve">Number of available postings</w:t>
      </w:r>
    </w:p>
    <w:p>
      <w:pPr>
        <w:pStyle w:val="ListParagraph"/>
        <w:numPr>
          <w:ilvl w:val="0"/>
          <w:numId w:val="1"/>
        </w:numPr>
        <w:spacing w:after="80"/>
      </w:pPr>
      <w:r>
        <w:rPr>
          <w:sz w:val="22"/>
          <w:szCs w:val="22"/>
        </w:rPr>
        <w:t xml:space="preserve">Geographic concentration</w:t>
      </w:r>
    </w:p>
    <w:p>
      <w:pPr>
        <w:pStyle w:val="ListParagraph"/>
        <w:numPr>
          <w:ilvl w:val="0"/>
          <w:numId w:val="1"/>
        </w:numPr>
        <w:spacing w:after="80"/>
      </w:pPr>
      <w:r>
        <w:rPr>
          <w:sz w:val="22"/>
          <w:szCs w:val="22"/>
        </w:rPr>
        <w:t xml:space="preserve">Employer concentration</w:t>
      </w:r>
    </w:p>
    <w:p>
      <w:pPr>
        <w:pStyle w:val="ListParagraph"/>
        <w:numPr>
          <w:ilvl w:val="0"/>
          <w:numId w:val="1"/>
        </w:numPr>
        <w:spacing w:after="80"/>
      </w:pPr>
      <w:r>
        <w:rPr>
          <w:sz w:val="22"/>
          <w:szCs w:val="22"/>
        </w:rPr>
        <w:t xml:space="preserve">Skill rarity across sectors</w:t>
      </w:r>
    </w:p>
    <w:p>
      <w:pPr>
        <w:pStyle w:val="ListParagraph"/>
        <w:numPr>
          <w:ilvl w:val="0"/>
          <w:numId w:val="1"/>
        </w:numPr>
        <w:spacing w:after="80"/>
      </w:pPr>
      <w:r>
        <w:rPr>
          <w:sz w:val="22"/>
          <w:szCs w:val="22"/>
        </w:rPr>
        <w:t xml:space="preserve">Posting growth rate</w:t>
      </w:r>
    </w:p>
    <w:p>
      <w:pPr>
        <w:pStyle w:val="ListParagraph"/>
        <w:numPr>
          <w:ilvl w:val="0"/>
          <w:numId w:val="1"/>
        </w:numPr>
        <w:spacing w:after="80"/>
      </w:pPr>
      <w:r>
        <w:rPr>
          <w:sz w:val="22"/>
          <w:szCs w:val="22"/>
        </w:rPr>
        <w:t xml:space="preserve">Availability of qualified candidates</w:t>
      </w:r>
    </w:p>
    <w:p>
      <w:pPr>
        <w:pStyle w:val="ListParagraph"/>
        <w:numPr>
          <w:ilvl w:val="0"/>
          <w:numId w:val="1"/>
        </w:numPr>
        <w:spacing w:after="80"/>
      </w:pPr>
      <w:r>
        <w:rPr>
          <w:sz w:val="22"/>
          <w:szCs w:val="22"/>
        </w:rPr>
        <w:t xml:space="preserve">Data freshness and source coverage</w:t>
      </w:r>
    </w:p>
    <w:p>
      <w:pPr>
        <w:spacing w:after="160"/>
        <w:jc w:val="both"/>
      </w:pPr>
      <w:r>
        <w:rPr>
          <w:sz w:val="22"/>
          <w:szCs w:val="22"/>
        </w:rPr>
        <w:t xml:space="preserve">A skill may be classified as niche when posting volume is low but demand is concentrated, specialized, or growing. Low data volume alone must not automatically mean low demand.</w:t>
      </w:r>
    </w:p>
    <w:p>
      <w:pPr>
        <w:spacing w:after="160"/>
        <w:jc w:val="both"/>
      </w:pPr>
      <w:r>
        <w:rPr>
          <w:sz w:val="22"/>
          <w:szCs w:val="22"/>
        </w:rPr>
        <w:t xml:space="preserve">The agent assigns classifications such as:</w:t>
      </w:r>
    </w:p>
    <w:p>
      <w:pPr>
        <w:pStyle w:val="ListParagraph"/>
        <w:numPr>
          <w:ilvl w:val="0"/>
          <w:numId w:val="1"/>
        </w:numPr>
        <w:spacing w:after="80"/>
      </w:pPr>
      <w:r>
        <w:rPr>
          <w:sz w:val="22"/>
          <w:szCs w:val="22"/>
        </w:rPr>
        <w:t xml:space="preserve">Mainstream skill</w:t>
      </w:r>
    </w:p>
    <w:p>
      <w:pPr>
        <w:pStyle w:val="ListParagraph"/>
        <w:numPr>
          <w:ilvl w:val="0"/>
          <w:numId w:val="1"/>
        </w:numPr>
        <w:spacing w:after="80"/>
      </w:pPr>
      <w:r>
        <w:rPr>
          <w:sz w:val="22"/>
          <w:szCs w:val="22"/>
        </w:rPr>
        <w:t xml:space="preserve">Emerging skill</w:t>
      </w:r>
    </w:p>
    <w:p>
      <w:pPr>
        <w:pStyle w:val="ListParagraph"/>
        <w:numPr>
          <w:ilvl w:val="0"/>
          <w:numId w:val="1"/>
        </w:numPr>
        <w:spacing w:after="80"/>
      </w:pPr>
      <w:r>
        <w:rPr>
          <w:sz w:val="22"/>
          <w:szCs w:val="22"/>
        </w:rPr>
        <w:t xml:space="preserve">Location-specific niche skill</w:t>
      </w:r>
    </w:p>
    <w:p>
      <w:pPr>
        <w:pStyle w:val="ListParagraph"/>
        <w:numPr>
          <w:ilvl w:val="0"/>
          <w:numId w:val="1"/>
        </w:numPr>
        <w:spacing w:after="80"/>
      </w:pPr>
      <w:r>
        <w:rPr>
          <w:sz w:val="22"/>
          <w:szCs w:val="22"/>
        </w:rPr>
        <w:t xml:space="preserve">Industry-specific niche skill</w:t>
      </w:r>
    </w:p>
    <w:p>
      <w:pPr>
        <w:pStyle w:val="ListParagraph"/>
        <w:numPr>
          <w:ilvl w:val="0"/>
          <w:numId w:val="1"/>
        </w:numPr>
        <w:spacing w:after="80"/>
      </w:pPr>
      <w:r>
        <w:rPr>
          <w:sz w:val="22"/>
          <w:szCs w:val="22"/>
        </w:rPr>
        <w:t xml:space="preserve">Insufficient evidence</w:t>
      </w:r>
    </w:p>
    <w:p>
      <w:pPr>
        <w:spacing w:after="160"/>
        <w:jc w:val="both"/>
      </w:pPr>
      <w:r>
        <w:rPr>
          <w:sz w:val="22"/>
          <w:szCs w:val="22"/>
        </w:rPr>
        <w:t xml:space="preserve">For niche skills, it replaces the normal 35% threshold with a context-based benchmark derived from comparable skills, historical demand, regional employment size, and sector activity. Every benchmark must include its calculation period, evidence sources, confidence level, and review date.</w:t>
      </w:r>
    </w:p>
    <w:p>
      <w:pPr>
        <w:pStyle w:val="Heading2"/>
        <w:spacing w:after="120" w:before="240"/>
      </w:pPr>
      <w:r>
        <w:t xml:space="preserve">Integration workflow</w:t>
      </w:r>
    </w:p>
    <w:p>
      <w:pPr>
        <w:pStyle w:val="ListParagraph"/>
        <w:numPr>
          <w:ilvl w:val="0"/>
          <w:numId w:val="1"/>
        </w:numPr>
        <w:spacing w:after="80"/>
      </w:pPr>
      <w:r>
        <w:rPr>
          <w:sz w:val="22"/>
          <w:szCs w:val="22"/>
        </w:rPr>
        <w:t xml:space="preserve">1. Insufficient standard job data is detected</w:t>
      </w:r>
    </w:p>
    <w:p>
      <w:pPr>
        <w:pStyle w:val="ListParagraph"/>
        <w:numPr>
          <w:ilvl w:val="0"/>
          <w:numId w:val="1"/>
        </w:numPr>
        <w:spacing w:after="80"/>
      </w:pPr>
      <w:r>
        <w:rPr>
          <w:sz w:val="22"/>
          <w:szCs w:val="22"/>
        </w:rPr>
        <w:t xml:space="preserve">2. Niche Skill Governance Agent is triggered</w:t>
      </w:r>
    </w:p>
    <w:p>
      <w:pPr>
        <w:pStyle w:val="ListParagraph"/>
        <w:numPr>
          <w:ilvl w:val="0"/>
          <w:numId w:val="1"/>
        </w:numPr>
        <w:spacing w:after="80"/>
      </w:pPr>
      <w:r>
        <w:rPr>
          <w:sz w:val="22"/>
          <w:szCs w:val="22"/>
        </w:rPr>
        <w:t xml:space="preserve">3. Determines whether the skill is niche or the data is simply incomplete</w:t>
      </w:r>
    </w:p>
    <w:p>
      <w:pPr>
        <w:pStyle w:val="ListParagraph"/>
        <w:numPr>
          <w:ilvl w:val="0"/>
          <w:numId w:val="1"/>
        </w:numPr>
        <w:spacing w:after="80"/>
      </w:pPr>
      <w:r>
        <w:rPr>
          <w:sz w:val="22"/>
          <w:szCs w:val="22"/>
        </w:rPr>
        <w:t xml:space="preserve">4. Local and Niche Skill Intelligence Agent is invoked</w:t>
      </w:r>
    </w:p>
    <w:p>
      <w:pPr>
        <w:pStyle w:val="ListParagraph"/>
        <w:numPr>
          <w:ilvl w:val="0"/>
          <w:numId w:val="1"/>
        </w:numPr>
        <w:spacing w:after="80"/>
      </w:pPr>
      <w:r>
        <w:rPr>
          <w:sz w:val="22"/>
          <w:szCs w:val="22"/>
        </w:rPr>
        <w:t xml:space="preserve">5. Collects alternative local employment signals</w:t>
      </w:r>
    </w:p>
    <w:p>
      <w:pPr>
        <w:pStyle w:val="ListParagraph"/>
        <w:numPr>
          <w:ilvl w:val="0"/>
          <w:numId w:val="1"/>
        </w:numPr>
        <w:spacing w:after="80"/>
      </w:pPr>
      <w:r>
        <w:rPr>
          <w:sz w:val="22"/>
          <w:szCs w:val="22"/>
        </w:rPr>
        <w:t xml:space="preserve">6. Normalizes, deduplicates, and scores sources</w:t>
      </w:r>
    </w:p>
    <w:p>
      <w:pPr>
        <w:pStyle w:val="ListParagraph"/>
        <w:numPr>
          <w:ilvl w:val="0"/>
          <w:numId w:val="1"/>
        </w:numPr>
        <w:spacing w:after="80"/>
      </w:pPr>
      <w:r>
        <w:rPr>
          <w:sz w:val="22"/>
          <w:szCs w:val="22"/>
        </w:rPr>
        <w:t xml:space="preserve">7. Governance Agent establishes a regional benchmark</w:t>
      </w:r>
    </w:p>
    <w:p>
      <w:pPr>
        <w:pStyle w:val="ListParagraph"/>
        <w:numPr>
          <w:ilvl w:val="0"/>
          <w:numId w:val="1"/>
        </w:numPr>
        <w:spacing w:after="80"/>
      </w:pPr>
      <w:r>
        <w:rPr>
          <w:sz w:val="22"/>
          <w:szCs w:val="22"/>
        </w:rPr>
        <w:t xml:space="preserve">8. Forecast Bot calculates demand against the niche benchmark</w:t>
      </w:r>
    </w:p>
    <w:p>
      <w:pPr>
        <w:pStyle w:val="ListParagraph"/>
        <w:numPr>
          <w:ilvl w:val="0"/>
          <w:numId w:val="1"/>
        </w:numPr>
        <w:spacing w:after="80"/>
      </w:pPr>
      <w:r>
        <w:rPr>
          <w:sz w:val="22"/>
          <w:szCs w:val="22"/>
        </w:rPr>
        <w:t xml:space="preserve">9. QA Bot validates confidence and limitations</w:t>
      </w:r>
    </w:p>
    <w:p>
      <w:pPr>
        <w:pStyle w:val="Heading1"/>
        <w:spacing w:after="150" w:before="300"/>
      </w:pPr>
      <w:r>
        <w:t xml:space="preserve">9. Retrieval Design</w:t>
      </w:r>
    </w:p>
    <w:p>
      <w:pPr>
        <w:pStyle w:val="Heading2"/>
        <w:spacing w:after="120" w:before="240"/>
      </w:pPr>
      <w:r>
        <w:t xml:space="preserve">Decision: retrieval is required</w:t>
      </w:r>
    </w:p>
    <w:p>
      <w:pPr>
        <w:spacing w:after="160"/>
        <w:jc w:val="both"/>
      </w:pPr>
      <w:r>
        <w:rPr>
          <w:sz w:val="22"/>
          <w:szCs w:val="22"/>
        </w:rPr>
        <w:t xml:space="preserve">This is not a close call for ForecastAI. A standalone LLM cannot reliably produce current, auditable market percentages — its parametric knowledge goes stale, and it will confidently invent statistics rather than admit it does not know. The entire value proposition of the product (a specific, defensible number such as “22% of Chicago banking postings mention Python”) depends on grounding every answer in actual, current postings, not on what an LLM remembers from training. Retrieval is the mechanism that keeps the system honest.</w:t>
      </w:r>
    </w:p>
    <w:p>
      <w:pPr>
        <w:pStyle w:val="Heading2"/>
        <w:spacing w:after="120" w:before="240"/>
      </w:pPr>
      <w:r>
        <w:t xml:space="preserve">Integration</w:t>
      </w:r>
    </w:p>
    <w:p>
      <w:pPr>
        <w:spacing w:after="160"/>
        <w:jc w:val="both"/>
      </w:pPr>
      <w:r>
        <w:rPr>
          <w:sz w:val="22"/>
          <w:szCs w:val="22"/>
        </w:rPr>
        <w:t xml:space="preserve">Semantic retrieval sits at two points in the pipeline, both backed by the shared Tools &amp; Data Infrastructure layer. The Skill Intelligence Bot uses vector similarity over a skill taxonomy to resolve synonyms and phrasing variants (“ML” ↔ “Machine Learning,” “data analysis” ↔ “data analytics”) before a query reaches the postings index. The Job Market Research Bot uses vector similarity over embedded job postings, combined with metadata filters for sector, location, and date, to pull the candidate set for a given skill query. Both indexes are built from approved sources — job-board feeds, employer career pages, labor datasets — embedded at ingestion time and re-embedded on refresh, not generated on the fly.</w:t>
      </w:r>
    </w:p>
    <w:p>
      <w:pPr>
        <w:pStyle w:val="Heading2"/>
        <w:spacing w:after="120" w:before="240"/>
      </w:pPr>
      <w:r>
        <w:t xml:space="preserve">How retrieval meaningfully changes the output</w:t>
      </w:r>
    </w:p>
    <w:p>
      <w:pPr>
        <w:spacing w:after="160"/>
        <w:jc w:val="both"/>
      </w:pPr>
      <w:r>
        <w:rPr>
          <w:sz w:val="22"/>
          <w:szCs w:val="22"/>
        </w:rPr>
        <w:t xml:space="preserve">Consider the query: “What percentage of banking-sector postings in Chicago mention Python?” Without retrieval, an LLM answers from memory — a plausible but ungrounded figure (for example, “around 60%”, pattern-matched to Python’s general popularity) with no way to justify or date it. With retrieval, the system pulls postings tagged sector=banking, location=Chicago, semantically matches “Python” plus related terms (pandas, data pipelines, scripting), and the Forecast Bot counts against the real denominator — say, 22%. That figure is below the 35% threshold, so retrieval does not just change a number, it changes the decision path: it is what triggers the Upskilling Bot to fire at all. A hallucinated 60% would have silently suppressed a recommendation the user actually needed.</w:t>
      </w:r>
    </w:p>
    <w:p>
      <w:pPr>
        <w:pStyle w:val="Heading2"/>
        <w:spacing w:after="120" w:before="240"/>
      </w:pPr>
      <w:r>
        <w:t xml:space="preserve">Key retrieval design choices</w:t>
      </w:r>
    </w:p>
    <w:p>
      <w:pPr>
        <w:spacing w:after="160"/>
        <w:jc w:val="both"/>
      </w:pPr>
      <w:r>
        <w:rPr>
          <w:sz w:val="22"/>
          <w:szCs w:val="22"/>
        </w:rPr>
        <w:t xml:space="preserve">This is retrieval-for-computation rather than retrieval-for-generation. Typical RAG retrieves a small top-k (3–5 chunks) to stuff into a prompt. ForecastAI cannot work that way — the Forecast Bot needs the complete filtered set of matching postings to compute an accurate percentage, not just the most-similar handful. Retrieval here is closer to semantic search plus metadata filtering returning the full matching set (potentially hundreds of postings), with the semantic step used to catch phrasing variants that a pure keyword filter would miss.</w:t>
      </w:r>
    </w:p>
    <w:p>
      <w:pPr>
        <w:spacing w:after="160"/>
        <w:jc w:val="both"/>
      </w:pPr>
      <w:r>
        <w:rPr>
          <w:sz w:val="22"/>
          <w:szCs w:val="22"/>
        </w:rPr>
        <w:t xml:space="preserve">Chunking: one job posting is treated as one chunk, since postings are naturally short, self-contained units that do not need splitting. Longer documents such as labor reports are chunked by section, at roughly 300–500 tokens with light overlap.</w:t>
      </w:r>
    </w:p>
    <w:p>
      <w:pPr>
        <w:spacing w:after="160"/>
        <w:jc w:val="both"/>
      </w:pPr>
      <w:r>
        <w:rPr>
          <w:sz w:val="22"/>
          <w:szCs w:val="22"/>
        </w:rPr>
        <w:t xml:space="preserve">Data source selection: only approved, licensed sources are embedded into the index, which matters for governance as much as for retrieval quality.</w:t>
      </w:r>
    </w:p>
    <w:p>
      <w:pPr>
        <w:pStyle w:val="Heading2"/>
        <w:spacing w:after="120" w:before="240"/>
      </w:pPr>
      <w:r>
        <w:t xml:space="preserve">Retrieval-related failure mode and mitigation</w:t>
      </w:r>
    </w:p>
    <w:p>
      <w:pPr>
        <w:spacing w:after="160"/>
        <w:jc w:val="both"/>
      </w:pPr>
      <w:r>
        <w:rPr>
          <w:sz w:val="22"/>
          <w:szCs w:val="22"/>
        </w:rPr>
        <w:t xml:space="preserve">The key risk is semantic drift, or over-matching: embedding similarity can pull in loosely related postings (for example, “Python” matching an unrelated scripting-language posting) or miss narrow phrasing that a pure keyword match would catch. Since this feeds a percentage that drives a threshold decision, silent drift is a meaningful risk rather than a minor inconvenience.</w:t>
      </w:r>
    </w:p>
    <w:p>
      <w:pPr>
        <w:spacing w:after="160"/>
        <w:jc w:val="both"/>
      </w:pPr>
      <w:r>
        <w:rPr>
          <w:sz w:val="22"/>
          <w:szCs w:val="22"/>
        </w:rPr>
        <w:t xml:space="preserve">The architecture manages this with two mitigations. First, hybrid retrieval pairs the semantic match with the taxonomy-based exact match from the Skill Intelligence Bot, so a posting must clear both signals to count. Second, the reflection loop at the Governance Bot performs a self-critique pass that can flag anomalous swings — a sector’s postings for a skill jumping or dropping sharply between runs — and trigger recalculation rather than letting a drift-inflated number reach the user.</w:t>
      </w:r>
    </w:p>
    <w:p>
      <w:pPr>
        <w:pStyle w:val="Heading1"/>
        <w:spacing w:after="150" w:before="300"/>
      </w:pPr>
      <w:r>
        <w:t xml:space="preserve">10. Tree-of-Thought (ToT) Reasoning Assessment</w:t>
      </w:r>
    </w:p>
    <w:p>
      <w:pPr>
        <w:pStyle w:val="Heading2"/>
        <w:spacing w:after="120" w:before="240"/>
      </w:pPr>
      <w:r>
        <w:t xml:space="preserve">Decision</w:t>
      </w:r>
    </w:p>
    <w:p>
      <w:pPr>
        <w:spacing w:after="160"/>
        <w:jc w:val="both"/>
      </w:pPr>
      <w:r>
        <w:rPr>
          <w:sz w:val="22"/>
          <w:szCs w:val="22"/>
        </w:rPr>
        <w:t xml:space="preserve">Tree-of-Thought reasoning is appropriate for one specific component of ForecastAI — the Upskilling Bot’s learning-roadmap generation — and would hinder the rest of the system if applied more broadly. Everywhere else in the architecture (skill normalization, postings retrieval, the demand-percentage calculation, governance validation) there is a single correct derivation given the input data, which is exactly the case chain-of-thought already handles well on the Forecast Bot’s output path. Adding branching search to those steps would only add latency and cost without improving accuracy, since there is nothing genuinely alternative to compare. Roadmap generation is different: it is a combinatorial planning problem with multiple valid paths, real constraints, and a meaningful risk of committing early to a mediocre plan — exactly the profile ToT is built for.</w:t>
      </w:r>
    </w:p>
    <w:p>
      <w:pPr>
        <w:pStyle w:val="Heading2"/>
        <w:spacing w:after="120" w:before="240"/>
      </w:pPr>
      <w:r>
        <w:t xml:space="preserve">1. Where ToT reasoning will be used</w:t>
      </w:r>
    </w:p>
    <w:p>
      <w:pPr>
        <w:spacing w:after="160"/>
        <w:jc w:val="both"/>
      </w:pPr>
      <w:r>
        <w:rPr>
          <w:sz w:val="22"/>
          <w:szCs w:val="22"/>
        </w:rPr>
        <w:t xml:space="preserve">ToT applies inside the Upskilling Bot, specifically at the point where the Forecast Bot has flagged a skill below the 35% threshold (or below its niche benchmark) and the Upskilling Bot must construct a staged learning roadmap: which complementary skills to add, in what order, through which courses or certification providers, subject to the user’s budget, timeframe, and learning-format preference.</w:t>
      </w:r>
    </w:p>
    <w:p>
      <w:pPr>
        <w:spacing w:after="160"/>
        <w:jc w:val="both"/>
      </w:pPr>
      <w:r>
        <w:rPr>
          <w:sz w:val="22"/>
          <w:szCs w:val="22"/>
        </w:rPr>
        <w:t xml:space="preserve">A linear chain of thought is a poor fit for this step for three reasons. Premature commitment: a single pass would lock in the first plausible complementary skill or course and carry that choice forward, even if a different first step would have opened a cheaper or faster overall path. High branching: there are typically several viable complementary skills for a given gap, and several course or provider options per skill, so the space of reasonable roadmaps is inherently wide rather than singular. Constraint complexity: budget, timeframe, prerequisite ordering, and alignment with forecasted demand must all be satisfied jointly, which requires comparing candidate paths against each other rather than extending one path forward and hoping it stays feasible.</w:t>
      </w:r>
    </w:p>
    <w:p>
      <w:pPr>
        <w:pStyle w:val="Heading2"/>
        <w:spacing w:after="120" w:before="240"/>
      </w:pPr>
      <w:r>
        <w:t xml:space="preserve">2. ToT structure</w:t>
      </w:r>
    </w:p>
    <w:p>
      <w:pPr>
        <w:spacing w:after="160"/>
        <w:jc w:val="both"/>
      </w:pPr>
      <w:r>
        <w:rPr>
          <w:sz w:val="22"/>
          <w:szCs w:val="22"/>
        </w:rPr>
        <w:t xml:space="preserve">A thought represents a partial roadmap: a candidate sequence of (skill, course or provider, duration, cost) steps built so far, together with the demand gap still remaining. A node is a specific partial roadmap at a given stage, carrying the running totals for budget and time consumed. A branch is an alternative next step — a different complementary skill, or a different course or provider for the same skill — explored from a node. Depth corresponds to the stage of the roadmap (depth 1 is the first skill/course chosen, depth 2 the second, and so on).</w:t>
      </w:r>
    </w:p>
    <w:p>
      <w:pPr>
        <w:spacing w:after="160"/>
        <w:jc w:val="both"/>
      </w:pPr>
      <w:r>
        <w:rPr>
          <w:sz w:val="22"/>
          <w:szCs w:val="22"/>
        </w:rPr>
        <w:t xml:space="preserve">The branching factor is capped at roughly three to four candidates per node (the top complementary skills, each with up to two course options), and the depth limit is capped at four to five stages, matching the length of a realistic staged roadmap. The system terminates and selects a final output when a path reaches the depth limit, or closes the demand gap earlier than the depth limit, or exhausts the user’s stated budget or timeframe — whichever comes first — and the highest-scoring complete path among those explored is returned as the roadmap.</w:t>
      </w:r>
    </w:p>
    <w:p>
      <w:pPr>
        <w:pStyle w:val="Heading2"/>
        <w:spacing w:after="120" w:before="240"/>
      </w:pPr>
      <w:r>
        <w:t xml:space="preserve">3. Search and evaluation strategy</w:t>
      </w:r>
    </w:p>
    <w:p>
      <w:pPr>
        <w:spacing w:after="160"/>
        <w:jc w:val="both"/>
      </w:pPr>
      <w:r>
        <w:rPr>
          <w:sz w:val="22"/>
          <w:szCs w:val="22"/>
        </w:rPr>
        <w:t xml:space="preserve">Beam search is the primary strategy. Breadth-first search is too expensive once branching factor compounds across four to five depths, depth-first search reintroduces the premature-commitment problem ToT is meant to solve, and Monte Carlo-style sampling adds randomness and cost that are not needed in a bounded, discrete decision space with clearly enumerable candidates. Beam search keeps a fixed-width set of the top-k partial roadmaps at each depth and expands only those, which fits an interactive assistant that needs a bounded, predictable amount of work per request.</w:t>
      </w:r>
    </w:p>
    <w:p>
      <w:pPr>
        <w:spacing w:after="160"/>
        <w:jc w:val="both"/>
      </w:pPr>
      <w:r>
        <w:rPr>
          <w:sz w:val="22"/>
          <w:szCs w:val="22"/>
        </w:rPr>
        <w:t xml:space="preserve">Candidate branches are scored against a rubric combining: relevance to demand (does the resulting skill combination raise projected market fit, using the Forecast Bot’s percentages for the complementary skill); constraint fit (does it stay within the stated budget and timeframe); course or provider quality signal; prerequisite feasibility (does the ordering respect dependency chains); and fit with the user’s stated learning-format preference.</w:t>
      </w:r>
    </w:p>
    <w:p>
      <w:pPr>
        <w:spacing w:after="160"/>
        <w:jc w:val="both"/>
      </w:pPr>
      <w:r>
        <w:rPr>
          <w:sz w:val="22"/>
          <w:szCs w:val="22"/>
        </w:rPr>
        <w:t xml:space="preserve">Evaluation is performed by a combination of mechanisms rather than a single one: hard constraint checks (budget, timeframe, prerequisite ordering) are deterministic heuristic checks; the demand-relevance component is a tool call back into the Forecast Bot’s data; and a lightweight critic pass judges the qualitative coherence of the top candidates. Branches that violate a hard constraint are pruned immediately, before scoring. Branches that pass hard constraints but fall outside the top beam width at a given depth (beam width of three) are pruned as well. If every branch at a depth fails hard constraints, the search backtracks to the previous depth’s next-best beam entry or relaxes one constraint (for example, extending the timeframe) with that relaxation flagged in the output; if no feasible roadmap can be found even then, the Upskilling Bot reports that no roadmap fits the stated constraints rather than returning a fabricated one. Ties between equally scored leaf paths are resolved first by higher demand-uplift, then by shorter time-to-completion. Compute and latency are bounded by fixing beam width (three) and branching factor (three to four) up front, and by reserving the more expensive critic-LLM evaluation for the top few candidates at each depth rather than every node, so the bulk of pruning happens through cheap deterministic checks.</w:t>
      </w:r>
    </w:p>
    <w:p>
      <w:pPr>
        <w:pStyle w:val="Heading2"/>
        <w:spacing w:after="120" w:before="240"/>
      </w:pPr>
      <w:r>
        <w:t xml:space="preserve">4. ToT roles mapped to implementation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1EFE8" w:val="clear"/>
          </w:tcPr>
          <w:p>
            <w:r>
              <w:rPr>
                <w:b/>
                <w:bCs/>
                <w:sz w:val="20"/>
                <w:szCs w:val="20"/>
              </w:rPr>
              <w:t xml:space="preserve">Thought generator</w:t>
            </w:r>
          </w:p>
        </w:tc>
        <w:tc>
          <w:tcPr>
            <w:tcW w:type="dxa" w:w="6800"/>
          </w:tcPr>
          <w:p>
            <w:r>
              <w:rPr>
                <w:sz w:val="20"/>
                <w:szCs w:val="20"/>
              </w:rPr>
              <w:t xml:space="preserve">LangChain (LCEL) — structures the prompt/parse cycle that proposes the next candidate skill or course given the current partial roadmap and remaining constraints.</w:t>
            </w:r>
          </w:p>
        </w:tc>
      </w:tr>
      <w:tr>
        <w:tc>
          <w:tcPr>
            <w:tcW w:type="dxa" w:w="2200"/>
            <w:shd w:fill="F1EFE8" w:val="clear"/>
          </w:tcPr>
          <w:p>
            <w:r>
              <w:rPr>
                <w:b/>
                <w:bCs/>
                <w:sz w:val="20"/>
                <w:szCs w:val="20"/>
              </w:rPr>
              <w:t xml:space="preserve">Critic / evaluator</w:t>
            </w:r>
          </w:p>
        </w:tc>
        <w:tc>
          <w:tcPr>
            <w:tcW w:type="dxa" w:w="6800"/>
          </w:tcPr>
          <w:p>
            <w:r>
              <w:rPr>
                <w:sz w:val="20"/>
                <w:szCs w:val="20"/>
              </w:rPr>
              <w:t xml:space="preserve">CrewAI — defined as a distinct Critic role separated from the Generator role, consistent with how the rest of the architecture already separates specialist bot responsibilities.</w:t>
            </w:r>
          </w:p>
        </w:tc>
      </w:tr>
      <w:tr>
        <w:tc>
          <w:tcPr>
            <w:tcW w:type="dxa" w:w="2200"/>
            <w:shd w:fill="F1EFE8" w:val="clear"/>
          </w:tcPr>
          <w:p>
            <w:r>
              <w:rPr>
                <w:b/>
                <w:bCs/>
                <w:sz w:val="20"/>
                <w:szCs w:val="20"/>
              </w:rPr>
              <w:t xml:space="preserve">Decision maker / controller</w:t>
            </w:r>
          </w:p>
        </w:tc>
        <w:tc>
          <w:tcPr>
            <w:tcW w:type="dxa" w:w="6800"/>
          </w:tcPr>
          <w:p>
            <w:r>
              <w:rPr>
                <w:sz w:val="20"/>
                <w:szCs w:val="20"/>
              </w:rPr>
              <w:t xml:space="preserve">LangChain — orchestrates the beam-search loop itself: expanding, scoring, pruning, and terminating across depths.</w:t>
            </w:r>
          </w:p>
        </w:tc>
      </w:tr>
      <w:tr>
        <w:tc>
          <w:tcPr>
            <w:tcW w:type="dxa" w:w="2200"/>
            <w:shd w:fill="F1EFE8" w:val="clear"/>
          </w:tcPr>
          <w:p>
            <w:r>
              <w:rPr>
                <w:b/>
                <w:bCs/>
                <w:sz w:val="20"/>
                <w:szCs w:val="20"/>
              </w:rPr>
              <w:t xml:space="preserve">Memory / state manager</w:t>
            </w:r>
          </w:p>
        </w:tc>
        <w:tc>
          <w:tcPr>
            <w:tcW w:type="dxa" w:w="6800"/>
          </w:tcPr>
          <w:p>
            <w:r>
              <w:rPr>
                <w:sz w:val="20"/>
                <w:szCs w:val="20"/>
              </w:rPr>
              <w:t xml:space="preserve">MCP — carries the beam’s partial-roadmap states and scores between the generator and critic roles, extending the same shared-state approach already used for the Supervisor Bot’s memory store.</w:t>
            </w:r>
          </w:p>
        </w:tc>
      </w:tr>
    </w:tbl>
    <w:p>
      <w:pPr>
        <w:pStyle w:val="Heading2"/>
        <w:spacing w:after="120" w:before="240"/>
      </w:pPr>
      <w:r>
        <w:t xml:space="preserve">5. Risk and mitigation</w:t>
      </w:r>
    </w:p>
    <w:p>
      <w:pPr>
        <w:spacing w:after="160"/>
        <w:jc w:val="both"/>
      </w:pPr>
      <w:r>
        <w:rPr>
          <w:sz w:val="22"/>
          <w:szCs w:val="22"/>
        </w:rPr>
        <w:t xml:space="preserve">The primary risk is branch explosion and rising computational cost: because the branching factor (complementary skills times course/provider options) compounds across four to five depths, an unconstrained tree would grow into a search that is too slow and too expensive for an interactive assistant.</w:t>
      </w:r>
    </w:p>
    <w:p>
      <w:pPr>
        <w:spacing w:after="160"/>
        <w:jc w:val="both"/>
      </w:pPr>
      <w:r>
        <w:rPr>
          <w:sz w:val="22"/>
          <w:szCs w:val="22"/>
        </w:rPr>
        <w:t xml:space="preserve">The mitigation is a fixed beam width combined with early hard-constraint pruning: only the top three partial roadmaps are retained at each depth, and candidates that already violate budget or timeframe are discarded at generation time, before they are scored. This keeps the total number of node evaluations bounded regardless of the nominal branching factor, and keeps the expensive critic evaluation limited to a small number of top candidates rather than the full tree.</w:t>
      </w:r>
    </w:p>
    <w:p>
      <w:pPr>
        <w:pStyle w:val="Heading1"/>
        <w:spacing w:after="150" w:before="300"/>
      </w:pPr>
      <w:r>
        <w:t xml:space="preserve">11. Multi-Agent Architecture Plan</w:t>
      </w:r>
    </w:p>
    <w:p>
      <w:pPr>
        <w:pStyle w:val="Heading2"/>
        <w:spacing w:after="120" w:before="240"/>
      </w:pPr>
      <w:r>
        <w:t xml:space="preserve">System design overview</w:t>
      </w:r>
    </w:p>
    <w:p>
      <w:pPr>
        <w:spacing w:after="160"/>
        <w:jc w:val="both"/>
      </w:pPr>
      <w:r>
        <w:rPr>
          <w:sz w:val="22"/>
          <w:szCs w:val="22"/>
        </w:rPr>
        <w:t xml:space="preserve">ForecastAI solves a problem that inherently mixes several distinct kinds of work: understanding user intent, retrieving and cleaning real-world data, performing deterministic calculation, judging edge cases (niche or low-data skills), generating a constrained recommendation, and validating the result before it reaches the user. Each of these is a genuinely different skill, the same way a research-heavy task splits naturally into a planner, a researcher, and a writer. A single LLM handling all of it in one pass would conflate research, computation, and validation into an unauditable black box, which directly undermines the product’s core promise: a defensible, explainable percentage rather than a fluent guess. A multi-agent design is therefore not optional — it is what makes the output governable at all.</w:t>
      </w:r>
    </w:p>
    <w:p>
      <w:pPr>
        <w:pStyle w:val="Heading2"/>
        <w:spacing w:after="120" w:before="240"/>
      </w:pPr>
      <w:r>
        <w:t xml:space="preserve">Agent count and rationale</w:t>
      </w:r>
    </w:p>
    <w:p>
      <w:pPr>
        <w:spacing w:after="160"/>
        <w:jc w:val="both"/>
      </w:pPr>
      <w:r>
        <w:rPr>
          <w:sz w:val="22"/>
          <w:szCs w:val="22"/>
        </w:rPr>
        <w:t xml:space="preserve">The system uses seven core agents, plus two conditional extension agents that activate only when a specific trigger condition is met (insufficient standard job data for a skill). The count follows a role-separation test: an agent earns its place only if it has a genuinely distinct tool profile, failure mode, and thing it could get wrong. Splitting further — for example, separate agents for skill-synonym matching versus skill normalization — would add coordination overhead without meaningfully improving accuracy or auditability, since those steps share the same data and the same failure mode. That is the diminishing-returns line: past seven core agents, added coordination cost outgrows added clarity.</w:t>
      </w:r>
    </w:p>
    <w:p>
      <w:pPr>
        <w:spacing w:after="160"/>
        <w:jc w:val="both"/>
      </w:pPr>
      <w:r>
        <w:rPr>
          <w:sz w:val="22"/>
          <w:szCs w:val="22"/>
        </w:rPr>
        <w:t xml:space="preserve">The two extension agents are deliberately conditional rather than always-on. This keeps the default request path lean, since most queries never pay their coordination cost, while still giving the system a defined path to handle the edge case that would otherwise silently fail.</w:t>
      </w:r>
    </w:p>
    <w:p>
      <w:pPr>
        <w:pStyle w:val="Heading2"/>
        <w:spacing w:after="120" w:before="240"/>
      </w:pPr>
      <w:r>
        <w:t xml:space="preserve">Agent roles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1EFE8" w:val="clear"/>
          </w:tcPr>
          <w:p>
            <w:r>
              <w:rPr>
                <w:b/>
                <w:bCs/>
                <w:sz w:val="20"/>
                <w:szCs w:val="20"/>
              </w:rPr>
              <w:t xml:space="preserve">Career Advisor Bot</w:t>
            </w:r>
          </w:p>
        </w:tc>
        <w:tc>
          <w:tcPr>
            <w:tcW w:type="dxa" w:w="6800"/>
          </w:tcPr>
          <w:p>
            <w:r>
              <w:rPr>
                <w:sz w:val="20"/>
                <w:szCs w:val="20"/>
              </w:rPr>
              <w:t xml:space="preserve">Collects user intent (skill, location, goal, constraints); presents the final explainable response.</w:t>
            </w:r>
          </w:p>
        </w:tc>
      </w:tr>
      <w:tr>
        <w:tc>
          <w:tcPr>
            <w:tcW w:type="dxa" w:w="2200"/>
            <w:shd w:fill="F1EFE8" w:val="clear"/>
          </w:tcPr>
          <w:p>
            <w:r>
              <w:rPr>
                <w:b/>
                <w:bCs/>
                <w:sz w:val="20"/>
                <w:szCs w:val="20"/>
              </w:rPr>
              <w:t xml:space="preserve">Supervisor / Orchestrator Bot</w:t>
            </w:r>
          </w:p>
        </w:tc>
        <w:tc>
          <w:tcPr>
            <w:tcW w:type="dxa" w:w="6800"/>
          </w:tcPr>
          <w:p>
            <w:r>
              <w:rPr>
                <w:sz w:val="20"/>
                <w:szCs w:val="20"/>
              </w:rPr>
              <w:t xml:space="preserve">Plans, delegates, manages dependencies, combines results, holds session memory.</w:t>
            </w:r>
          </w:p>
        </w:tc>
      </w:tr>
      <w:tr>
        <w:tc>
          <w:tcPr>
            <w:tcW w:type="dxa" w:w="2200"/>
            <w:shd w:fill="F1EFE8" w:val="clear"/>
          </w:tcPr>
          <w:p>
            <w:r>
              <w:rPr>
                <w:b/>
                <w:bCs/>
                <w:sz w:val="20"/>
                <w:szCs w:val="20"/>
              </w:rPr>
              <w:t xml:space="preserve">Skill Intelligence Bot</w:t>
            </w:r>
          </w:p>
        </w:tc>
        <w:tc>
          <w:tcPr>
            <w:tcW w:type="dxa" w:w="6800"/>
          </w:tcPr>
          <w:p>
            <w:r>
              <w:rPr>
                <w:sz w:val="20"/>
                <w:szCs w:val="20"/>
              </w:rPr>
              <w:t xml:space="preserve">Normalizes skill names and resolves synonyms.</w:t>
            </w:r>
          </w:p>
        </w:tc>
      </w:tr>
      <w:tr>
        <w:tc>
          <w:tcPr>
            <w:tcW w:type="dxa" w:w="2200"/>
            <w:shd w:fill="F1EFE8" w:val="clear"/>
          </w:tcPr>
          <w:p>
            <w:r>
              <w:rPr>
                <w:b/>
                <w:bCs/>
                <w:sz w:val="20"/>
                <w:szCs w:val="20"/>
              </w:rPr>
              <w:t xml:space="preserve">Job Market Research Bot</w:t>
            </w:r>
          </w:p>
        </w:tc>
        <w:tc>
          <w:tcPr>
            <w:tcW w:type="dxa" w:w="6800"/>
          </w:tcPr>
          <w:p>
            <w:r>
              <w:rPr>
                <w:sz w:val="20"/>
                <w:szCs w:val="20"/>
              </w:rPr>
              <w:t xml:space="preserve">Retrieves, filters, and deduplicates postings and labor data.</w:t>
            </w:r>
          </w:p>
        </w:tc>
      </w:tr>
      <w:tr>
        <w:tc>
          <w:tcPr>
            <w:tcW w:type="dxa" w:w="2200"/>
            <w:shd w:fill="F1EFE8" w:val="clear"/>
          </w:tcPr>
          <w:p>
            <w:r>
              <w:rPr>
                <w:b/>
                <w:bCs/>
                <w:sz w:val="20"/>
                <w:szCs w:val="20"/>
              </w:rPr>
              <w:t xml:space="preserve">Forecast and Analytics Bot</w:t>
            </w:r>
          </w:p>
        </w:tc>
        <w:tc>
          <w:tcPr>
            <w:tcW w:type="dxa" w:w="6800"/>
          </w:tcPr>
          <w:p>
            <w:r>
              <w:rPr>
                <w:sz w:val="20"/>
                <w:szCs w:val="20"/>
              </w:rPr>
              <w:t xml:space="preserve">Calculates the demand percentage step by step (chain-of-thought) and assigns confidence.</w:t>
            </w:r>
          </w:p>
        </w:tc>
      </w:tr>
      <w:tr>
        <w:tc>
          <w:tcPr>
            <w:tcW w:type="dxa" w:w="2200"/>
            <w:shd w:fill="F1EFE8" w:val="clear"/>
          </w:tcPr>
          <w:p>
            <w:r>
              <w:rPr>
                <w:b/>
                <w:bCs/>
                <w:sz w:val="20"/>
                <w:szCs w:val="20"/>
              </w:rPr>
              <w:t xml:space="preserve">Upskilling Bot</w:t>
            </w:r>
          </w:p>
        </w:tc>
        <w:tc>
          <w:tcPr>
            <w:tcW w:type="dxa" w:w="6800"/>
          </w:tcPr>
          <w:p>
            <w:r>
              <w:rPr>
                <w:sz w:val="20"/>
                <w:szCs w:val="20"/>
              </w:rPr>
              <w:t xml:space="preserve">Builds a staged learning roadmap when demand is below threshold, internally using Tree-of-Thought to compare candidate roadmaps.</w:t>
            </w:r>
          </w:p>
        </w:tc>
      </w:tr>
      <w:tr>
        <w:tc>
          <w:tcPr>
            <w:tcW w:type="dxa" w:w="2200"/>
            <w:shd w:fill="F1EFE8" w:val="clear"/>
          </w:tcPr>
          <w:p>
            <w:r>
              <w:rPr>
                <w:b/>
                <w:bCs/>
                <w:sz w:val="20"/>
                <w:szCs w:val="20"/>
              </w:rPr>
              <w:t xml:space="preserve">Governance and QA Bot</w:t>
            </w:r>
          </w:p>
        </w:tc>
        <w:tc>
          <w:tcPr>
            <w:tcW w:type="dxa" w:w="6800"/>
          </w:tcPr>
          <w:p>
            <w:r>
              <w:rPr>
                <w:sz w:val="20"/>
                <w:szCs w:val="20"/>
              </w:rPr>
              <w:t xml:space="preserve">Validates arithmetic, sources, and claims; runs a reflection pass; can trigger recalculation.</w:t>
            </w:r>
          </w:p>
        </w:tc>
      </w:tr>
      <w:tr>
        <w:tc>
          <w:tcPr>
            <w:tcW w:type="dxa" w:w="2200"/>
            <w:shd w:fill="F1EFE8" w:val="clear"/>
          </w:tcPr>
          <w:p>
            <w:r>
              <w:rPr>
                <w:b/>
                <w:bCs/>
                <w:sz w:val="20"/>
                <w:szCs w:val="20"/>
              </w:rPr>
              <w:t xml:space="preserve">Niche Skill Governance &amp; Benchmarking (conditional)</w:t>
            </w:r>
          </w:p>
        </w:tc>
        <w:tc>
          <w:tcPr>
            <w:tcW w:type="dxa" w:w="6800"/>
          </w:tcPr>
          <w:p>
            <w:r>
              <w:rPr>
                <w:sz w:val="20"/>
                <w:szCs w:val="20"/>
              </w:rPr>
              <w:t xml:space="preserve">Classifies a skill as niche versus incomplete-data and sets a context-based benchmark.</w:t>
            </w:r>
          </w:p>
        </w:tc>
      </w:tr>
      <w:tr>
        <w:tc>
          <w:tcPr>
            <w:tcW w:type="dxa" w:w="2200"/>
            <w:shd w:fill="F1EFE8" w:val="clear"/>
          </w:tcPr>
          <w:p>
            <w:r>
              <w:rPr>
                <w:b/>
                <w:bCs/>
                <w:sz w:val="20"/>
                <w:szCs w:val="20"/>
              </w:rPr>
              <w:t xml:space="preserve">Local and Niche Skill Intelligence (conditional)</w:t>
            </w:r>
          </w:p>
        </w:tc>
        <w:tc>
          <w:tcPr>
            <w:tcW w:type="dxa" w:w="6800"/>
          </w:tcPr>
          <w:p>
            <w:r>
              <w:rPr>
                <w:sz w:val="20"/>
                <w:szCs w:val="20"/>
              </w:rPr>
              <w:t xml:space="preserve">Collects and normalizes alternative local employment signals.</w:t>
            </w:r>
          </w:p>
        </w:tc>
      </w:tr>
    </w:tbl>
    <w:p>
      <w:pPr>
        <w:pStyle w:val="Heading2"/>
        <w:spacing w:after="120" w:before="240"/>
      </w:pPr>
      <w:r>
        <w:t xml:space="preserve">Coordination and communication strategy</w:t>
      </w:r>
    </w:p>
    <w:p>
      <w:pPr>
        <w:spacing w:after="160"/>
        <w:jc w:val="both"/>
      </w:pPr>
      <w:r>
        <w:rPr>
          <w:sz w:val="22"/>
          <w:szCs w:val="22"/>
        </w:rPr>
        <w:t xml:space="preserve">This is a hybrid strategy rather than a single pattern, because no one pattern fits every part of the workflow well. A hierarchical backbone keeps the Supervisor at the center as a star topology, dispatching work and combining results, which keeps the system easy to reason about and audit since one place holds the plan and the state. A parallel fan-out runs Skill Intelligence and Job Market Research concurrently, since neither depends on the other’s output — a purely sequential, assembly-line design would waste latency here for no reason. A conditional graph branch brings the niche extension pair into the workflow only when Job Market Research reports insufficient data, so the workflow’s shape actually changes based on what it finds, which a rigid sequential pipeline cannot express cleanly. A targeted iterative feedback loop lets Governance send a correction back to one specific specialist rather than restarting the whole pipeline, keeping the loop narrow and bounded rather than open-ended.</w:t>
      </w:r>
    </w:p>
    <w:p>
      <w:pPr>
        <w:spacing w:after="160"/>
        <w:jc w:val="both"/>
      </w:pPr>
      <w:r>
        <w:rPr>
          <w:sz w:val="22"/>
          <w:szCs w:val="22"/>
        </w:rPr>
        <w:t xml:space="preserve">Communication is mostly one-way dispatch and structured return (Supervisor to specialist and back) for efficiency on the common path. Two-way validation communication is reserved specifically for the Governance feedback loop, used only when confidence is low or a result looks anomalous, since two-way exchange costs latency and is not the default. Brainstorming-style exchange, where multiple agents propose and critique alternatives, appears in exactly one place: the Upskilling Bot’s internal Tree-of-Thought search, because that is the only step in the system where multiple genuinely valid answers exist and need comparing. Everywhere else there is one correct derivation, so brainstorming would only add cost without adding value.</w:t>
      </w:r>
    </w:p>
    <w:p>
      <w:pPr>
        <w:pStyle w:val="Heading2"/>
        <w:spacing w:after="120" w:before="240"/>
      </w:pPr>
      <w:r>
        <w:t xml:space="preserve">Trade-offs considered</w:t>
      </w:r>
    </w:p>
    <w:p>
      <w:pPr>
        <w:spacing w:after="160"/>
        <w:jc w:val="both"/>
      </w:pPr>
      <w:r>
        <w:rPr>
          <w:sz w:val="22"/>
          <w:szCs w:val="22"/>
        </w:rPr>
        <w:t xml:space="preserve">A central Supervisor makes the system easier to audit and keeps state consistent, but creates a coordination bottleneck. This is mitigated by keeping the Supervisor’s own job lightweight (orchestration and memory only, no heavy computation), and by letting Governance issue targeted recalculation rather than a full restart, which reduces the blast radius when something does go wrong.</w:t>
      </w:r>
    </w:p>
    <w:p>
      <w:pPr>
        <w:spacing w:after="160"/>
        <w:jc w:val="both"/>
      </w:pPr>
      <w:r>
        <w:rPr>
          <w:sz w:val="22"/>
          <w:szCs w:val="22"/>
        </w:rPr>
        <w:t xml:space="preserve">Feedback loops improve reliability but add latency; this was accepted deliberately, since the loop only fires on low-confidence or anomalous cases, so the average-case path stays fast while the edge case stays safe. Parallel fan-out reduces latency but adds failure-handling complexity, since the Supervisor must now handle partial failures or timeouts per branch independently; this is justified because those two calls dominate the request’s total latency budget. Keeping the niche pair conditional rather than always-on avoids paying multi-agent coordination overhead on every request, at the cost of a slightly more complex Supervisor that has to know when to branch — worthwhile given how rarely the trigger fires relative to standard requests.</w:t>
      </w:r>
    </w:p>
    <w:p>
      <w:pPr>
        <w:pStyle w:val="Heading2"/>
        <w:spacing w:after="120" w:before="240"/>
      </w:pPr>
      <w:r>
        <w:t xml:space="preserve">Scalability</w:t>
      </w:r>
    </w:p>
    <w:p>
      <w:pPr>
        <w:spacing w:after="160"/>
        <w:jc w:val="both"/>
      </w:pPr>
      <w:r>
        <w:rPr>
          <w:sz w:val="22"/>
          <w:szCs w:val="22"/>
        </w:rPr>
        <w:t xml:space="preserve">Because specialists are stateless and tool-bound, with only the Supervisor holding session memory, individual specialists can be scaled or replaced independently without touching orchestration logic. New data sources extend Job Market Research or Skill Intelligence rather than requiring changes across every agent. Because the niche extension pair attaches through the same trigger-and-merge pattern already used for the Governance feedback loop, future extensions, such as a salary-forecasting agent, can be added the same way: as a new node attached to an existing trigger point, rather than by increasing the complexity of any single agent.</w:t>
      </w:r>
    </w:p>
    <w:p>
      <w:r>
        <w:br w:type="page"/>
      </w:r>
    </w:p>
    <w:p>
      <w:pPr>
        <w:pStyle w:val="Heading1"/>
        <w:spacing w:after="150" w:before="300"/>
      </w:pPr>
      <w:r>
        <w:t xml:space="preserve">12. Safety and Intervention Plan</w:t>
      </w:r>
    </w:p>
    <w:p>
      <w:pPr>
        <w:spacing w:after="160"/>
        <w:jc w:val="both"/>
      </w:pPr>
      <w:r>
        <w:rPr>
          <w:sz w:val="22"/>
          <w:szCs w:val="22"/>
        </w:rPr>
        <w:t xml:space="preserve">ForecastAI (SKILLKARTZ) tells a user what percentage of job postings in a chosen sector and location mention a target skill, and — when that figure falls below a threshold (35%, or a niche-adjusted benchmark) — recommends a staged upskilling roadmap. Because the output directly informs a real decision about a person’s time and money, wrong or fabricated answers are not cosmetic failures; they cause real harm. This plan defines the risks in the workflow, the guardrails that constrain each agent, the metrics used to check the system is behaving as intended, and the specific conditions under which the system must stop and hand off to a human rather than proceed on its own.</w:t>
      </w:r>
    </w:p>
    <w:p>
      <w:pPr>
        <w:pStyle w:val="Heading2"/>
        <w:spacing w:after="120" w:before="240"/>
      </w:pPr>
      <w:r>
        <w:t xml:space="preserve">1. Capstone agent purpose and safety risks</w:t>
      </w:r>
    </w:p>
    <w:p>
      <w:pPr>
        <w:spacing w:after="160"/>
        <w:jc w:val="both"/>
      </w:pPr>
      <w:r>
        <w:rPr>
          <w:sz w:val="22"/>
          <w:szCs w:val="22"/>
        </w:rPr>
        <w:t xml:space="preserve">Each stage of the ForecastAI pipeline carries a distinct risk profile, summarized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rPr>
          <w:tblHeader/>
        </w:trPr>
        <w:tc>
          <w:tcPr>
            <w:tcW w:type="dxa" w:w="2600"/>
            <w:shd w:fill="26215C" w:val="clear"/>
          </w:tcPr>
          <w:p>
            <w:r>
              <w:rPr>
                <w:b/>
                <w:bCs/>
                <w:color w:val="FFFFFF"/>
                <w:sz w:val="19"/>
                <w:szCs w:val="19"/>
              </w:rPr>
              <w:t xml:space="preserve">Workflow stage</w:t>
            </w:r>
          </w:p>
        </w:tc>
        <w:tc>
          <w:tcPr>
            <w:tcW w:type="dxa" w:w="3000"/>
            <w:shd w:fill="26215C" w:val="clear"/>
          </w:tcPr>
          <w:p>
            <w:r>
              <w:rPr>
                <w:b/>
                <w:bCs/>
                <w:color w:val="FFFFFF"/>
                <w:sz w:val="19"/>
                <w:szCs w:val="19"/>
              </w:rPr>
              <w:t xml:space="preserve">Agent(s)</w:t>
            </w:r>
          </w:p>
        </w:tc>
        <w:tc>
          <w:tcPr>
            <w:tcW w:type="dxa" w:w="3400"/>
            <w:shd w:fill="26215C" w:val="clear"/>
          </w:tcPr>
          <w:p>
            <w:r>
              <w:rPr>
                <w:b/>
                <w:bCs/>
                <w:color w:val="FFFFFF"/>
                <w:sz w:val="19"/>
                <w:szCs w:val="19"/>
              </w:rPr>
              <w:t xml:space="preserve">Risk</w:t>
            </w:r>
          </w:p>
        </w:tc>
      </w:tr>
      <w:tr>
        <w:tc>
          <w:tcPr>
            <w:tcW w:type="dxa" w:w="2600"/>
            <w:shd w:fill="F1EFE8" w:val="clear"/>
          </w:tcPr>
          <w:p>
            <w:r>
              <w:rPr>
                <w:b/>
                <w:bCs/>
                <w:sz w:val="19"/>
                <w:szCs w:val="19"/>
              </w:rPr>
              <w:t xml:space="preserve">Intent capture</w:t>
            </w:r>
          </w:p>
        </w:tc>
        <w:tc>
          <w:tcPr>
            <w:tcW w:type="dxa" w:w="3000"/>
          </w:tcPr>
          <w:p>
            <w:r>
              <w:rPr>
                <w:b w:val="false"/>
                <w:bCs w:val="false"/>
                <w:sz w:val="19"/>
                <w:szCs w:val="19"/>
              </w:rPr>
              <w:t xml:space="preserve">Career Advisor Bot</w:t>
            </w:r>
          </w:p>
        </w:tc>
        <w:tc>
          <w:tcPr>
            <w:tcW w:type="dxa" w:w="3400"/>
          </w:tcPr>
          <w:p>
            <w:r>
              <w:rPr>
                <w:b w:val="false"/>
                <w:bCs w:val="false"/>
                <w:sz w:val="19"/>
                <w:szCs w:val="19"/>
              </w:rPr>
              <w:t xml:space="preserve">Misunderstood or incomplete input (wrong skill, wrong location) leads to a confident answer to the wrong question.</w:t>
            </w:r>
          </w:p>
        </w:tc>
      </w:tr>
      <w:tr>
        <w:tc>
          <w:tcPr>
            <w:tcW w:type="dxa" w:w="2600"/>
            <w:shd w:fill="F1EFE8" w:val="clear"/>
          </w:tcPr>
          <w:p>
            <w:r>
              <w:rPr>
                <w:b/>
                <w:bCs/>
                <w:sz w:val="19"/>
                <w:szCs w:val="19"/>
              </w:rPr>
              <w:t xml:space="preserve">Data retrieval</w:t>
            </w:r>
          </w:p>
        </w:tc>
        <w:tc>
          <w:tcPr>
            <w:tcW w:type="dxa" w:w="3000"/>
          </w:tcPr>
          <w:p>
            <w:r>
              <w:rPr>
                <w:b w:val="false"/>
                <w:bCs w:val="false"/>
                <w:sz w:val="19"/>
                <w:szCs w:val="19"/>
              </w:rPr>
              <w:t xml:space="preserve">Skill Intelligence Bot, Job Market Research Bot</w:t>
            </w:r>
          </w:p>
        </w:tc>
        <w:tc>
          <w:tcPr>
            <w:tcW w:type="dxa" w:w="3400"/>
          </w:tcPr>
          <w:p>
            <w:r>
              <w:rPr>
                <w:b w:val="false"/>
                <w:bCs w:val="false"/>
                <w:sz w:val="19"/>
                <w:szCs w:val="19"/>
              </w:rPr>
              <w:t xml:space="preserve">Stale or unrepresentative postings; semantic drift / over-matching pulling irrelevant postings into the count; duplicate postings inflating or deflating the percentage.</w:t>
            </w:r>
          </w:p>
        </w:tc>
      </w:tr>
      <w:tr>
        <w:tc>
          <w:tcPr>
            <w:tcW w:type="dxa" w:w="2600"/>
            <w:shd w:fill="F1EFE8" w:val="clear"/>
          </w:tcPr>
          <w:p>
            <w:r>
              <w:rPr>
                <w:b/>
                <w:bCs/>
                <w:sz w:val="19"/>
                <w:szCs w:val="19"/>
              </w:rPr>
              <w:t xml:space="preserve">Calculation</w:t>
            </w:r>
          </w:p>
        </w:tc>
        <w:tc>
          <w:tcPr>
            <w:tcW w:type="dxa" w:w="3000"/>
          </w:tcPr>
          <w:p>
            <w:r>
              <w:rPr>
                <w:b w:val="false"/>
                <w:bCs w:val="false"/>
                <w:sz w:val="19"/>
                <w:szCs w:val="19"/>
              </w:rPr>
              <w:t xml:space="preserve">Forecast and Analytics Bot</w:t>
            </w:r>
          </w:p>
        </w:tc>
        <w:tc>
          <w:tcPr>
            <w:tcW w:type="dxa" w:w="3400"/>
          </w:tcPr>
          <w:p>
            <w:r>
              <w:rPr>
                <w:b w:val="false"/>
                <w:bCs w:val="false"/>
                <w:sz w:val="19"/>
                <w:szCs w:val="19"/>
              </w:rPr>
              <w:t xml:space="preserve">Arithmetic errors; small-sample percentages that look precise but are not statistically meaningful (e.g., 1 of 3 postings = 33%); mis-attributed confidence.</w:t>
            </w:r>
          </w:p>
        </w:tc>
      </w:tr>
      <w:tr>
        <w:tc>
          <w:tcPr>
            <w:tcW w:type="dxa" w:w="2600"/>
            <w:shd w:fill="F1EFE8" w:val="clear"/>
          </w:tcPr>
          <w:p>
            <w:r>
              <w:rPr>
                <w:b/>
                <w:bCs/>
                <w:sz w:val="19"/>
                <w:szCs w:val="19"/>
              </w:rPr>
              <w:t xml:space="preserve">Niche extension</w:t>
            </w:r>
          </w:p>
        </w:tc>
        <w:tc>
          <w:tcPr>
            <w:tcW w:type="dxa" w:w="3000"/>
          </w:tcPr>
          <w:p>
            <w:r>
              <w:rPr>
                <w:b w:val="false"/>
                <w:bCs w:val="false"/>
                <w:sz w:val="19"/>
                <w:szCs w:val="19"/>
              </w:rPr>
              <w:t xml:space="preserve">Niche Skill Governance &amp; Benchmarking, Local and Niche Skill Intelligence</w:t>
            </w:r>
          </w:p>
        </w:tc>
        <w:tc>
          <w:tcPr>
            <w:tcW w:type="dxa" w:w="3400"/>
          </w:tcPr>
          <w:p>
            <w:r>
              <w:rPr>
                <w:b w:val="false"/>
                <w:bCs w:val="false"/>
                <w:sz w:val="19"/>
                <w:szCs w:val="19"/>
              </w:rPr>
              <w:t xml:space="preserve">Low-quality or unverifiable offline sources (OCR errors, unlicensed scraping); a fabricated-feeling benchmark built on thin evidence; licensing or privacy violations from source collection.</w:t>
            </w:r>
          </w:p>
        </w:tc>
      </w:tr>
      <w:tr>
        <w:tc>
          <w:tcPr>
            <w:tcW w:type="dxa" w:w="2600"/>
            <w:shd w:fill="F1EFE8" w:val="clear"/>
          </w:tcPr>
          <w:p>
            <w:r>
              <w:rPr>
                <w:b/>
                <w:bCs/>
                <w:sz w:val="19"/>
                <w:szCs w:val="19"/>
              </w:rPr>
              <w:t xml:space="preserve">Roadmap generation</w:t>
            </w:r>
          </w:p>
        </w:tc>
        <w:tc>
          <w:tcPr>
            <w:tcW w:type="dxa" w:w="3000"/>
          </w:tcPr>
          <w:p>
            <w:r>
              <w:rPr>
                <w:b w:val="false"/>
                <w:bCs w:val="false"/>
                <w:sz w:val="19"/>
                <w:szCs w:val="19"/>
              </w:rPr>
              <w:t xml:space="preserve">Upskilling Bot</w:t>
            </w:r>
          </w:p>
        </w:tc>
        <w:tc>
          <w:tcPr>
            <w:tcW w:type="dxa" w:w="3400"/>
          </w:tcPr>
          <w:p>
            <w:r>
              <w:rPr>
                <w:b w:val="false"/>
                <w:bCs w:val="false"/>
                <w:sz w:val="19"/>
                <w:szCs w:val="19"/>
              </w:rPr>
              <w:t xml:space="preserve">Recommending a course or provider that is low quality, discontinued, unaffordable, or does not actually exist (a hallucinated course name), causing the user to waste money or time.</w:t>
            </w:r>
          </w:p>
        </w:tc>
      </w:tr>
      <w:tr>
        <w:tc>
          <w:tcPr>
            <w:tcW w:type="dxa" w:w="2600"/>
            <w:shd w:fill="F1EFE8" w:val="clear"/>
          </w:tcPr>
          <w:p>
            <w:r>
              <w:rPr>
                <w:b/>
                <w:bCs/>
                <w:sz w:val="19"/>
                <w:szCs w:val="19"/>
              </w:rPr>
              <w:t xml:space="preserve">Response delivery</w:t>
            </w:r>
          </w:p>
        </w:tc>
        <w:tc>
          <w:tcPr>
            <w:tcW w:type="dxa" w:w="3000"/>
          </w:tcPr>
          <w:p>
            <w:r>
              <w:rPr>
                <w:b w:val="false"/>
                <w:bCs w:val="false"/>
                <w:sz w:val="19"/>
                <w:szCs w:val="19"/>
              </w:rPr>
              <w:t xml:space="preserve">Career Advisor Bot</w:t>
            </w:r>
          </w:p>
        </w:tc>
        <w:tc>
          <w:tcPr>
            <w:tcW w:type="dxa" w:w="3400"/>
          </w:tcPr>
          <w:p>
            <w:r>
              <w:rPr>
                <w:b w:val="false"/>
                <w:bCs w:val="false"/>
                <w:sz w:val="19"/>
                <w:szCs w:val="19"/>
              </w:rPr>
              <w:t xml:space="preserve">Overstating certainty (implying a guarantee of employment) or omitting confidence and limitations from the final answer.</w:t>
            </w:r>
          </w:p>
        </w:tc>
      </w:tr>
      <w:tr>
        <w:tc>
          <w:tcPr>
            <w:tcW w:type="dxa" w:w="2600"/>
            <w:shd w:fill="F1EFE8" w:val="clear"/>
          </w:tcPr>
          <w:p>
            <w:r>
              <w:rPr>
                <w:b/>
                <w:bCs/>
                <w:sz w:val="19"/>
                <w:szCs w:val="19"/>
              </w:rPr>
              <w:t xml:space="preserve">Systemic</w:t>
            </w:r>
          </w:p>
        </w:tc>
        <w:tc>
          <w:tcPr>
            <w:tcW w:type="dxa" w:w="3000"/>
          </w:tcPr>
          <w:p>
            <w:r>
              <w:rPr>
                <w:b w:val="false"/>
                <w:bCs w:val="false"/>
                <w:sz w:val="19"/>
                <w:szCs w:val="19"/>
              </w:rPr>
              <w:t xml:space="preserve">All agents</w:t>
            </w:r>
          </w:p>
        </w:tc>
        <w:tc>
          <w:tcPr>
            <w:tcW w:type="dxa" w:w="3400"/>
          </w:tcPr>
          <w:p>
            <w:r>
              <w:rPr>
                <w:b w:val="false"/>
                <w:bCs w:val="false"/>
                <w:sz w:val="19"/>
                <w:szCs w:val="19"/>
              </w:rPr>
              <w:t xml:space="preserve">Hallucinating a plausible number when evidence is actually insufficient, rather than admitting the gap; automation bias, where the user over-trusts a number without understanding what it does and does not mean.</w:t>
            </w:r>
          </w:p>
        </w:tc>
      </w:tr>
    </w:tbl>
    <w:p>
      <w:pPr>
        <w:pStyle w:val="Heading2"/>
        <w:spacing w:after="120" w:before="240"/>
      </w:pPr>
      <w:r>
        <w:t xml:space="preserve">2. Guardrails</w:t>
      </w:r>
    </w:p>
    <w:p>
      <w:pPr>
        <w:spacing w:after="160"/>
        <w:jc w:val="both"/>
      </w:pPr>
      <w:r>
        <w:rPr>
          <w:sz w:val="22"/>
          <w:szCs w:val="22"/>
        </w:rPr>
        <w:t xml:space="preserve">Guardrails are mapped to the specific mechanism already present in the architecture, so each one is enforceable rather than aspirational.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26215C" w:val="clear"/>
          </w:tcPr>
          <w:p>
            <w:r>
              <w:rPr>
                <w:b/>
                <w:bCs/>
                <w:color w:val="FFFFFF"/>
                <w:sz w:val="19"/>
                <w:szCs w:val="19"/>
              </w:rPr>
              <w:t xml:space="preserve">Guardrail type</w:t>
            </w:r>
          </w:p>
        </w:tc>
        <w:tc>
          <w:tcPr>
            <w:tcW w:type="dxa" w:w="6600"/>
            <w:shd w:fill="26215C" w:val="clear"/>
          </w:tcPr>
          <w:p>
            <w:r>
              <w:rPr>
                <w:b/>
                <w:bCs/>
                <w:color w:val="FFFFFF"/>
                <w:sz w:val="19"/>
                <w:szCs w:val="19"/>
              </w:rPr>
              <w:t xml:space="preserve">How it is implemented in ForecastAI</w:t>
            </w:r>
          </w:p>
        </w:tc>
      </w:tr>
      <w:tr>
        <w:tc>
          <w:tcPr>
            <w:tcW w:type="dxa" w:w="2400"/>
            <w:shd w:fill="F1EFE8" w:val="clear"/>
          </w:tcPr>
          <w:p>
            <w:r>
              <w:rPr>
                <w:b/>
                <w:bCs/>
                <w:sz w:val="19"/>
                <w:szCs w:val="19"/>
              </w:rPr>
              <w:t xml:space="preserve">Input checks</w:t>
            </w:r>
          </w:p>
        </w:tc>
        <w:tc>
          <w:tcPr>
            <w:tcW w:type="dxa" w:w="6600"/>
          </w:tcPr>
          <w:p>
            <w:r>
              <w:rPr>
                <w:b w:val="false"/>
                <w:bCs w:val="false"/>
                <w:sz w:val="19"/>
                <w:szCs w:val="19"/>
              </w:rPr>
              <w:t xml:space="preserve">The Career Advisor Bot validates that skill, location, and other required fields are resolvable before dispatching to the Supervisor; incomplete or ambiguous input triggers a clarification turn rather than a best-guess pass-through.</w:t>
            </w:r>
          </w:p>
        </w:tc>
      </w:tr>
      <w:tr>
        <w:tc>
          <w:tcPr>
            <w:tcW w:type="dxa" w:w="2400"/>
            <w:shd w:fill="F1EFE8" w:val="clear"/>
          </w:tcPr>
          <w:p>
            <w:r>
              <w:rPr>
                <w:b/>
                <w:bCs/>
                <w:sz w:val="19"/>
                <w:szCs w:val="19"/>
              </w:rPr>
              <w:t xml:space="preserve">Output constraints</w:t>
            </w:r>
          </w:p>
        </w:tc>
        <w:tc>
          <w:tcPr>
            <w:tcW w:type="dxa" w:w="6600"/>
          </w:tcPr>
          <w:p>
            <w:r>
              <w:rPr>
                <w:b w:val="false"/>
                <w:bCs w:val="false"/>
                <w:sz w:val="19"/>
                <w:szCs w:val="19"/>
              </w:rPr>
              <w:t xml:space="preserve">Every response is template-enforced to include the non-guarantee disclaimer, the source period and coverage, and the confidence level — a percentage can never be presented without its confidence attached.</w:t>
            </w:r>
          </w:p>
        </w:tc>
      </w:tr>
      <w:tr>
        <w:tc>
          <w:tcPr>
            <w:tcW w:type="dxa" w:w="2400"/>
            <w:shd w:fill="F1EFE8" w:val="clear"/>
          </w:tcPr>
          <w:p>
            <w:r>
              <w:rPr>
                <w:b/>
                <w:bCs/>
                <w:sz w:val="19"/>
                <w:szCs w:val="19"/>
              </w:rPr>
              <w:t xml:space="preserve">Source verification</w:t>
            </w:r>
          </w:p>
        </w:tc>
        <w:tc>
          <w:tcPr>
            <w:tcW w:type="dxa" w:w="6600"/>
          </w:tcPr>
          <w:p>
            <w:r>
              <w:rPr>
                <w:b w:val="false"/>
                <w:bCs w:val="false"/>
                <w:sz w:val="19"/>
                <w:szCs w:val="19"/>
              </w:rPr>
              <w:t xml:space="preserve">Only approved, licensed sources are embedded into the retrieval index. The Local and Niche Skill Intelligence Agent must assign a minimum source-reliability score before a record can be used in a benchmark, and licensing or privacy status is checked before any source is ingested.</w:t>
            </w:r>
          </w:p>
        </w:tc>
      </w:tr>
      <w:tr>
        <w:tc>
          <w:tcPr>
            <w:tcW w:type="dxa" w:w="2400"/>
            <w:shd w:fill="F1EFE8" w:val="clear"/>
          </w:tcPr>
          <w:p>
            <w:r>
              <w:rPr>
                <w:b/>
                <w:bCs/>
                <w:sz w:val="19"/>
                <w:szCs w:val="19"/>
              </w:rPr>
              <w:t xml:space="preserve">Tool access limits</w:t>
            </w:r>
          </w:p>
        </w:tc>
        <w:tc>
          <w:tcPr>
            <w:tcW w:type="dxa" w:w="6600"/>
          </w:tcPr>
          <w:p>
            <w:r>
              <w:rPr>
                <w:b w:val="false"/>
                <w:bCs w:val="false"/>
                <w:sz w:val="19"/>
                <w:szCs w:val="19"/>
              </w:rPr>
              <w:t xml:space="preserve">Each bot is restricted to only the tools and data it needs (least privilege): Skill Intelligence cannot write to the postings index; Upskilling cannot alter Forecast’s calculation; Local Skill Intelligence is limited to an approved-domain list rather than open crawling.</w:t>
            </w:r>
          </w:p>
        </w:tc>
      </w:tr>
      <w:tr>
        <w:tc>
          <w:tcPr>
            <w:tcW w:type="dxa" w:w="2400"/>
            <w:shd w:fill="F1EFE8" w:val="clear"/>
          </w:tcPr>
          <w:p>
            <w:r>
              <w:rPr>
                <w:b/>
                <w:bCs/>
                <w:sz w:val="19"/>
                <w:szCs w:val="19"/>
              </w:rPr>
              <w:t xml:space="preserve">Escalation rules</w:t>
            </w:r>
          </w:p>
        </w:tc>
        <w:tc>
          <w:tcPr>
            <w:tcW w:type="dxa" w:w="6600"/>
          </w:tcPr>
          <w:p>
            <w:r>
              <w:rPr>
                <w:b w:val="false"/>
                <w:bCs w:val="false"/>
                <w:sz w:val="19"/>
                <w:szCs w:val="19"/>
              </w:rPr>
              <w:t xml:space="preserve">The Governance Bot’s reflection loop triggers a targeted recalculation on anomaly. If confidence remains below the defined floor after recalculation, or a skill is classified “insufficient evidence,” the system escalates to human review rather than presenting a number.</w:t>
            </w:r>
          </w:p>
        </w:tc>
      </w:tr>
      <w:tr>
        <w:tc>
          <w:tcPr>
            <w:tcW w:type="dxa" w:w="2400"/>
            <w:shd w:fill="F1EFE8" w:val="clear"/>
          </w:tcPr>
          <w:p>
            <w:r>
              <w:rPr>
                <w:b/>
                <w:bCs/>
                <w:sz w:val="19"/>
                <w:szCs w:val="19"/>
              </w:rPr>
              <w:t xml:space="preserve">Runtime monitoring</w:t>
            </w:r>
          </w:p>
        </w:tc>
        <w:tc>
          <w:tcPr>
            <w:tcW w:type="dxa" w:w="6600"/>
          </w:tcPr>
          <w:p>
            <w:r>
              <w:rPr>
                <w:b w:val="false"/>
                <w:bCs w:val="false"/>
                <w:sz w:val="19"/>
                <w:szCs w:val="19"/>
              </w:rPr>
              <w:t xml:space="preserve">Confidence scores, source counts, and recalculation triggers are written to the audit log for every response, enabling after-the-fact review and drift detection rather than relying on guardrails alone to catch every case in the moment.</w:t>
            </w:r>
          </w:p>
        </w:tc>
      </w:tr>
    </w:tbl>
    <w:p>
      <w:pPr>
        <w:pStyle w:val="Heading2"/>
        <w:spacing w:after="120" w:before="240"/>
      </w:pPr>
      <w:r>
        <w:t xml:space="preserve">3. Evaluation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26215C" w:val="clear"/>
          </w:tcPr>
          <w:p>
            <w:r>
              <w:rPr>
                <w:b/>
                <w:bCs/>
                <w:color w:val="FFFFFF"/>
                <w:sz w:val="19"/>
                <w:szCs w:val="19"/>
              </w:rPr>
              <w:t xml:space="preserve">Metric</w:t>
            </w:r>
          </w:p>
        </w:tc>
        <w:tc>
          <w:tcPr>
            <w:tcW w:type="dxa" w:w="6600"/>
            <w:shd w:fill="26215C" w:val="clear"/>
          </w:tcPr>
          <w:p>
            <w:r>
              <w:rPr>
                <w:b/>
                <w:bCs/>
                <w:color w:val="FFFFFF"/>
                <w:sz w:val="19"/>
                <w:szCs w:val="19"/>
              </w:rPr>
              <w:t xml:space="preserve">Definition for ForecastAI</w:t>
            </w:r>
          </w:p>
        </w:tc>
      </w:tr>
      <w:tr>
        <w:tc>
          <w:tcPr>
            <w:tcW w:type="dxa" w:w="2400"/>
            <w:shd w:fill="F1EFE8" w:val="clear"/>
          </w:tcPr>
          <w:p>
            <w:r>
              <w:rPr>
                <w:b/>
                <w:bCs/>
                <w:sz w:val="19"/>
                <w:szCs w:val="19"/>
              </w:rPr>
              <w:t xml:space="preserve">Correctness</w:t>
            </w:r>
          </w:p>
        </w:tc>
        <w:tc>
          <w:tcPr>
            <w:tcW w:type="dxa" w:w="6600"/>
          </w:tcPr>
          <w:p>
            <w:r>
              <w:rPr>
                <w:b w:val="false"/>
                <w:bCs w:val="false"/>
                <w:sz w:val="19"/>
                <w:szCs w:val="19"/>
              </w:rPr>
              <w:t xml:space="preserve">Agreement between the Forecast Bot’s calculated percentage and a manually verified sample, spot-checked against the underlying source postings.</w:t>
            </w:r>
          </w:p>
        </w:tc>
      </w:tr>
      <w:tr>
        <w:tc>
          <w:tcPr>
            <w:tcW w:type="dxa" w:w="2400"/>
            <w:shd w:fill="F1EFE8" w:val="clear"/>
          </w:tcPr>
          <w:p>
            <w:r>
              <w:rPr>
                <w:b/>
                <w:bCs/>
                <w:sz w:val="19"/>
                <w:szCs w:val="19"/>
              </w:rPr>
              <w:t xml:space="preserve">Groundedness</w:t>
            </w:r>
          </w:p>
        </w:tc>
        <w:tc>
          <w:tcPr>
            <w:tcW w:type="dxa" w:w="6600"/>
          </w:tcPr>
          <w:p>
            <w:r>
              <w:rPr>
                <w:b w:val="false"/>
                <w:bCs w:val="false"/>
                <w:sz w:val="19"/>
                <w:szCs w:val="19"/>
              </w:rPr>
              <w:t xml:space="preserve">Share of factual claims in a response (percentages, course names, providers) that trace to a retrieved source record; target is zero ungrounded claims in any delivered response.</w:t>
            </w:r>
          </w:p>
        </w:tc>
      </w:tr>
      <w:tr>
        <w:tc>
          <w:tcPr>
            <w:tcW w:type="dxa" w:w="2400"/>
            <w:shd w:fill="F1EFE8" w:val="clear"/>
          </w:tcPr>
          <w:p>
            <w:r>
              <w:rPr>
                <w:b/>
                <w:bCs/>
                <w:sz w:val="19"/>
                <w:szCs w:val="19"/>
              </w:rPr>
              <w:t xml:space="preserve">Calibration</w:t>
            </w:r>
          </w:p>
        </w:tc>
        <w:tc>
          <w:tcPr>
            <w:tcW w:type="dxa" w:w="6600"/>
          </w:tcPr>
          <w:p>
            <w:r>
              <w:rPr>
                <w:b w:val="false"/>
                <w:bCs w:val="false"/>
                <w:sz w:val="19"/>
                <w:szCs w:val="19"/>
              </w:rPr>
              <w:t xml:space="preserve">Correlation between the stated confidence score and actual accuracy across many queries — an “80% confidence” result should be correct roughly 80% of the time, tracked with a calibration curve or Brier score.</w:t>
            </w:r>
          </w:p>
        </w:tc>
      </w:tr>
      <w:tr>
        <w:tc>
          <w:tcPr>
            <w:tcW w:type="dxa" w:w="2400"/>
            <w:shd w:fill="F1EFE8" w:val="clear"/>
          </w:tcPr>
          <w:p>
            <w:r>
              <w:rPr>
                <w:b/>
                <w:bCs/>
                <w:sz w:val="19"/>
                <w:szCs w:val="19"/>
              </w:rPr>
              <w:t xml:space="preserve">Safety</w:t>
            </w:r>
          </w:p>
        </w:tc>
        <w:tc>
          <w:tcPr>
            <w:tcW w:type="dxa" w:w="6600"/>
          </w:tcPr>
          <w:p>
            <w:r>
              <w:rPr>
                <w:b w:val="false"/>
                <w:bCs w:val="false"/>
                <w:sz w:val="19"/>
                <w:szCs w:val="19"/>
              </w:rPr>
              <w:t xml:space="preserve">Rate of responses that overstate certainty or omit the required disclaimer (target: 0%), and rate of licensing or privacy violations in source use.</w:t>
            </w:r>
          </w:p>
        </w:tc>
      </w:tr>
      <w:tr>
        <w:tc>
          <w:tcPr>
            <w:tcW w:type="dxa" w:w="2400"/>
            <w:shd w:fill="F1EFE8" w:val="clear"/>
          </w:tcPr>
          <w:p>
            <w:r>
              <w:rPr>
                <w:b/>
                <w:bCs/>
                <w:sz w:val="19"/>
                <w:szCs w:val="19"/>
              </w:rPr>
              <w:t xml:space="preserve">Latency</w:t>
            </w:r>
          </w:p>
        </w:tc>
        <w:tc>
          <w:tcPr>
            <w:tcW w:type="dxa" w:w="6600"/>
          </w:tcPr>
          <w:p>
            <w:r>
              <w:rPr>
                <w:b w:val="false"/>
                <w:bCs w:val="false"/>
                <w:sz w:val="19"/>
                <w:szCs w:val="19"/>
              </w:rPr>
              <w:t xml:space="preserve">End-to-end response time against a defined budget for standard queries, with a wider allowance for queries that trigger the niche extension path.</w:t>
            </w:r>
          </w:p>
        </w:tc>
      </w:tr>
      <w:tr>
        <w:tc>
          <w:tcPr>
            <w:tcW w:type="dxa" w:w="2400"/>
            <w:shd w:fill="F1EFE8" w:val="clear"/>
          </w:tcPr>
          <w:p>
            <w:r>
              <w:rPr>
                <w:b/>
                <w:bCs/>
                <w:sz w:val="19"/>
                <w:szCs w:val="19"/>
              </w:rPr>
              <w:t xml:space="preserve">Fallback success</w:t>
            </w:r>
          </w:p>
        </w:tc>
        <w:tc>
          <w:tcPr>
            <w:tcW w:type="dxa" w:w="6600"/>
          </w:tcPr>
          <w:p>
            <w:r>
              <w:rPr>
                <w:b w:val="false"/>
                <w:bCs w:val="false"/>
                <w:sz w:val="19"/>
                <w:szCs w:val="19"/>
              </w:rPr>
              <w:t xml:space="preserve">Share of Governance-triggered recalculations that resolve to an accepted result versus escalating further.</w:t>
            </w:r>
          </w:p>
        </w:tc>
      </w:tr>
      <w:tr>
        <w:tc>
          <w:tcPr>
            <w:tcW w:type="dxa" w:w="2400"/>
            <w:shd w:fill="F1EFE8" w:val="clear"/>
          </w:tcPr>
          <w:p>
            <w:r>
              <w:rPr>
                <w:b/>
                <w:bCs/>
                <w:sz w:val="19"/>
                <w:szCs w:val="19"/>
              </w:rPr>
              <w:t xml:space="preserve">Escalation rate</w:t>
            </w:r>
          </w:p>
        </w:tc>
        <w:tc>
          <w:tcPr>
            <w:tcW w:type="dxa" w:w="6600"/>
          </w:tcPr>
          <w:p>
            <w:r>
              <w:rPr>
                <w:b w:val="false"/>
                <w:bCs w:val="false"/>
                <w:sz w:val="19"/>
                <w:szCs w:val="19"/>
              </w:rPr>
              <w:t xml:space="preserve">Share of queries that require human review out of total queries, tracked over time; it should trend down as data coverage improves, and a spike is itself a signal worth investigating.</w:t>
            </w:r>
          </w:p>
        </w:tc>
      </w:tr>
      <w:tr>
        <w:tc>
          <w:tcPr>
            <w:tcW w:type="dxa" w:w="2400"/>
            <w:shd w:fill="F1EFE8" w:val="clear"/>
          </w:tcPr>
          <w:p>
            <w:r>
              <w:rPr>
                <w:b/>
                <w:bCs/>
                <w:sz w:val="19"/>
                <w:szCs w:val="19"/>
              </w:rPr>
              <w:t xml:space="preserve">Roadmap quality</w:t>
            </w:r>
          </w:p>
        </w:tc>
        <w:tc>
          <w:tcPr>
            <w:tcW w:type="dxa" w:w="6600"/>
          </w:tcPr>
          <w:p>
            <w:r>
              <w:rPr>
                <w:b w:val="false"/>
                <w:bCs w:val="false"/>
                <w:sz w:val="19"/>
                <w:szCs w:val="19"/>
              </w:rPr>
              <w:t xml:space="preserve">Share of Upskilling Bot recommendations verified to be currently offered, at the stated cost, by the named provider.</w:t>
            </w:r>
          </w:p>
        </w:tc>
      </w:tr>
    </w:tbl>
    <w:p>
      <w:pPr>
        <w:pStyle w:val="Heading2"/>
        <w:spacing w:after="120" w:before="240"/>
      </w:pPr>
      <w:r>
        <w:t xml:space="preserve">4. Conditions requiring human intervention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26215C" w:val="clear"/>
          </w:tcPr>
          <w:p>
            <w:r>
              <w:rPr>
                <w:b/>
                <w:bCs/>
                <w:color w:val="FFFFFF"/>
                <w:sz w:val="19"/>
                <w:szCs w:val="19"/>
              </w:rPr>
              <w:t xml:space="preserve">Condition</w:t>
            </w:r>
          </w:p>
        </w:tc>
        <w:tc>
          <w:tcPr>
            <w:tcW w:type="dxa" w:w="6600"/>
            <w:shd w:fill="26215C" w:val="clear"/>
          </w:tcPr>
          <w:p>
            <w:r>
              <w:rPr>
                <w:b/>
                <w:bCs/>
                <w:color w:val="FFFFFF"/>
                <w:sz w:val="19"/>
                <w:szCs w:val="19"/>
              </w:rPr>
              <w:t xml:space="preserve">Trigger in ForecastAI</w:t>
            </w:r>
          </w:p>
        </w:tc>
      </w:tr>
      <w:tr>
        <w:tc>
          <w:tcPr>
            <w:tcW w:type="dxa" w:w="2400"/>
            <w:shd w:fill="F1EFE8" w:val="clear"/>
          </w:tcPr>
          <w:p>
            <w:r>
              <w:rPr>
                <w:b/>
                <w:bCs/>
                <w:sz w:val="19"/>
                <w:szCs w:val="19"/>
              </w:rPr>
              <w:t xml:space="preserve">Ambiguity</w:t>
            </w:r>
          </w:p>
        </w:tc>
        <w:tc>
          <w:tcPr>
            <w:tcW w:type="dxa" w:w="6600"/>
          </w:tcPr>
          <w:p>
            <w:r>
              <w:rPr>
                <w:b w:val="false"/>
                <w:bCs w:val="false"/>
                <w:sz w:val="19"/>
                <w:szCs w:val="19"/>
              </w:rPr>
              <w:t xml:space="preserve">User intent cannot be resolved after one clarification round (skill or location still unresolved); the system hands off to human-assisted intake rather than guessing.</w:t>
            </w:r>
          </w:p>
        </w:tc>
      </w:tr>
      <w:tr>
        <w:tc>
          <w:tcPr>
            <w:tcW w:type="dxa" w:w="2400"/>
            <w:shd w:fill="F1EFE8" w:val="clear"/>
          </w:tcPr>
          <w:p>
            <w:r>
              <w:rPr>
                <w:b/>
                <w:bCs/>
                <w:sz w:val="19"/>
                <w:szCs w:val="19"/>
              </w:rPr>
              <w:t xml:space="preserve">Low confidence</w:t>
            </w:r>
          </w:p>
        </w:tc>
        <w:tc>
          <w:tcPr>
            <w:tcW w:type="dxa" w:w="6600"/>
          </w:tcPr>
          <w:p>
            <w:r>
              <w:rPr>
                <w:b w:val="false"/>
                <w:bCs w:val="false"/>
                <w:sz w:val="19"/>
                <w:szCs w:val="19"/>
              </w:rPr>
              <w:t xml:space="preserve">The Forecast Bot’s confidence score remains below the defined floor even after a Governance-triggered recalculation.</w:t>
            </w:r>
          </w:p>
        </w:tc>
      </w:tr>
      <w:tr>
        <w:tc>
          <w:tcPr>
            <w:tcW w:type="dxa" w:w="2400"/>
            <w:shd w:fill="F1EFE8" w:val="clear"/>
          </w:tcPr>
          <w:p>
            <w:r>
              <w:rPr>
                <w:b/>
                <w:bCs/>
                <w:sz w:val="19"/>
                <w:szCs w:val="19"/>
              </w:rPr>
              <w:t xml:space="preserve">High-impact / first-time decision</w:t>
            </w:r>
          </w:p>
        </w:tc>
        <w:tc>
          <w:tcPr>
            <w:tcW w:type="dxa" w:w="6600"/>
          </w:tcPr>
          <w:p>
            <w:r>
              <w:rPr>
                <w:b w:val="false"/>
                <w:bCs w:val="false"/>
                <w:sz w:val="19"/>
                <w:szCs w:val="19"/>
              </w:rPr>
              <w:t xml:space="preserve">A niche benchmark is being created for a skill with no prior benchmark history; because future users will be measured against it, this requires human sign-off before it becomes standing policy, not just an approval for the one query in front of it.</w:t>
            </w:r>
          </w:p>
        </w:tc>
      </w:tr>
      <w:tr>
        <w:tc>
          <w:tcPr>
            <w:tcW w:type="dxa" w:w="2400"/>
            <w:shd w:fill="F1EFE8" w:val="clear"/>
          </w:tcPr>
          <w:p>
            <w:r>
              <w:rPr>
                <w:b/>
                <w:bCs/>
                <w:sz w:val="19"/>
                <w:szCs w:val="19"/>
              </w:rPr>
              <w:t xml:space="preserve">Policy sensitivity</w:t>
            </w:r>
          </w:p>
        </w:tc>
        <w:tc>
          <w:tcPr>
            <w:tcW w:type="dxa" w:w="6600"/>
          </w:tcPr>
          <w:p>
            <w:r>
              <w:rPr>
                <w:b w:val="false"/>
                <w:bCs w:val="false"/>
                <w:sz w:val="19"/>
                <w:szCs w:val="19"/>
              </w:rPr>
              <w:t xml:space="preserve">Any data source flagged as uncertain on licensing or privacy grounds is held for human review before ingestion; it is never auto-approved.</w:t>
            </w:r>
          </w:p>
        </w:tc>
      </w:tr>
      <w:tr>
        <w:tc>
          <w:tcPr>
            <w:tcW w:type="dxa" w:w="2400"/>
            <w:shd w:fill="F1EFE8" w:val="clear"/>
          </w:tcPr>
          <w:p>
            <w:r>
              <w:rPr>
                <w:b/>
                <w:bCs/>
                <w:sz w:val="19"/>
                <w:szCs w:val="19"/>
              </w:rPr>
              <w:t xml:space="preserve">Conflicting evidence</w:t>
            </w:r>
          </w:p>
        </w:tc>
        <w:tc>
          <w:tcPr>
            <w:tcW w:type="dxa" w:w="6600"/>
          </w:tcPr>
          <w:p>
            <w:r>
              <w:rPr>
                <w:b w:val="false"/>
                <w:bCs w:val="false"/>
                <w:sz w:val="19"/>
                <w:szCs w:val="19"/>
              </w:rPr>
              <w:t xml:space="preserve">Standard job-portal data and niche or local data materially disagree (for example, one signals mainstream and the other signals niche); the system escalates for adjudication rather than silently picking one source.</w:t>
            </w:r>
          </w:p>
        </w:tc>
      </w:tr>
      <w:tr>
        <w:tc>
          <w:tcPr>
            <w:tcW w:type="dxa" w:w="2400"/>
            <w:shd w:fill="F1EFE8" w:val="clear"/>
          </w:tcPr>
          <w:p>
            <w:r>
              <w:rPr>
                <w:b/>
                <w:bCs/>
                <w:sz w:val="19"/>
                <w:szCs w:val="19"/>
              </w:rPr>
              <w:t xml:space="preserve">User dispute</w:t>
            </w:r>
          </w:p>
        </w:tc>
        <w:tc>
          <w:tcPr>
            <w:tcW w:type="dxa" w:w="6600"/>
          </w:tcPr>
          <w:p>
            <w:r>
              <w:rPr>
                <w:b w:val="false"/>
                <w:bCs w:val="false"/>
                <w:sz w:val="19"/>
                <w:szCs w:val="19"/>
              </w:rPr>
              <w:t xml:space="preserve">The user explicitly rejects or challenges a result twice in the same session; the system routes to a human-reviewable support path rather than re-running the same automated pipeline again.</w:t>
            </w:r>
          </w:p>
        </w:tc>
      </w:tr>
    </w:tbl>
    <w:p>
      <w:pPr>
        <w:pStyle w:val="Heading2"/>
        <w:spacing w:after="120" w:before="240"/>
      </w:pPr>
      <w:r>
        <w:t xml:space="preserve">5. How guardrails, evaluation, and human intervention work together</w:t>
      </w:r>
    </w:p>
    <w:p>
      <w:pPr>
        <w:spacing w:after="160"/>
        <w:jc w:val="both"/>
      </w:pPr>
      <w:r>
        <w:rPr>
          <w:sz w:val="22"/>
          <w:szCs w:val="22"/>
        </w:rPr>
        <w:t xml:space="preserve">The three layers are deliberately complementary rather than redundant. Guardrails are the preventive layer: they stop a bad input or an unsupported output before it reaches the user. Evaluation metrics are the detective layer: they measure whether the preventive layer is actually working over time and catch the kind of slow drift — a calibration curve quietly getting worse, an escalation rate creeping up — that no single guardrail would notice on its own. Human intervention is the corrective backstop for whatever falls outside both: genuinely novel ambiguity, a high-impact first-time decision, or a result the user actively disputes. Patterns observed in escalations and in the evaluation metrics feed back into guardrail thresholds — for example, a rising escalation rate for a particular sector is a signal to review that sector’s source coverage, closing the loop between what the system measures and how it is constrained.</w:t>
      </w:r>
    </w:p>
    <w:p>
      <w:pPr>
        <w:pStyle w:val="Heading2"/>
        <w:spacing w:after="120" w:before="240"/>
      </w:pPr>
      <w:r>
        <w:t xml:space="preserve">6. Trade-offs considered</w:t>
      </w:r>
    </w:p>
    <w:p>
      <w:pPr>
        <w:spacing w:after="160"/>
        <w:jc w:val="both"/>
      </w:pPr>
      <w:r>
        <w:rPr>
          <w:sz w:val="22"/>
          <w:szCs w:val="22"/>
        </w:rPr>
        <w:t xml:space="preserve">More guardrails and lower escalation thresholds increase reliability and safety, but they also raise the escalation rate, which reduces full autonomy and slows the average handling time across the whole system, since some queries wait on human review. Setting the confidence floor too high causes excessive escalation and defeats much of the point of automating the workflow; setting it too low risks presenting an unreliable number as settled fact. The calibration metric is what allows that floor to be tuned empirically against observed accuracy rather than guessed at design time.</w:t>
      </w:r>
    </w:p>
    <w:p>
      <w:pPr>
        <w:spacing w:after="160"/>
        <w:jc w:val="both"/>
      </w:pPr>
      <w:r>
        <w:rPr>
          <w:sz w:val="22"/>
          <w:szCs w:val="22"/>
        </w:rPr>
        <w:t xml:space="preserve">Requiring human sign-off for first-time niche benchmarks adds friction and latency to a narrow class of decisions, but this is accepted deliberately: the downstream impact of a bad benchmark is disproportionate to the cost of one review, since every future user measured against that benchmark inherits the error. Runtime monitoring and audit logging add engineering overhead, but they are what make calibration and drift detection possible at all — without them, the system would be unverifiably safe rather than actually safe, which is not an acceptable trade for a tool that informs real financial and career decisions.</w:t>
      </w:r>
    </w:p>
    <w:p>
      <w:pPr>
        <w:pStyle w:val="Heading2"/>
        <w:spacing w:after="120" w:before="240"/>
      </w:pPr>
      <w:r>
        <w:t xml:space="preserve">7. Supporting safer, dependable deployment</w:t>
      </w:r>
    </w:p>
    <w:p>
      <w:pPr>
        <w:spacing w:after="160"/>
        <w:jc w:val="both"/>
      </w:pPr>
      <w:r>
        <w:rPr>
          <w:sz w:val="22"/>
          <w:szCs w:val="22"/>
        </w:rPr>
        <w:t xml:space="preserve">Because ForecastAI’s outputs feed real decisions about time and money spent on a skill, this plan is built so that wrong or fabricated answers fail loudly — by escalating to a human — rather than failing silently by looking confident. The system’s own confidence claims are continuously checked against reality through calibration rather than trusted at face value, and every guardrail is tied to a specific, auditable mechanism rather than a general policy statement. That combination is what allows the system to scale its autonomy responsibly over time: as evaluation data accumulates and calibration improves, escalation thresholds can be relaxed with evidence behind the change, rather than by simply assuming the system has become trustworthy.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167362258565bf2a7fd0dad78bddcfe95fc3a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2026-08-31T02:32:21.250Z</dcterms:created>
  <dcterms:modified xsi:type="dcterms:W3CDTF">2026-08-31T02:32:21.264Z</dcterms:modified>
</cp:coreProperties>
</file>

<file path=docProps/custom.xml><?xml version="1.0" encoding="utf-8"?>
<Properties xmlns="http://schemas.openxmlformats.org/officeDocument/2006/custom-properties" xmlns:vt="http://schemas.openxmlformats.org/officeDocument/2006/docPropsVTypes"/>
</file>