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19a59b291e1217aa7634128e26b1735f8223856"/>
    <w:p>
      <w:pPr>
        <w:pStyle w:val="Heading1"/>
      </w:pPr>
      <w:r>
        <w:t xml:space="preserve">Pre-Market Scanner Module (PS60 Trading System)</w:t>
      </w:r>
    </w:p>
    <w:p>
      <w:pPr>
        <w:pStyle w:val="FirstParagraph"/>
      </w:pPr>
      <w:r>
        <w:t xml:space="preserve">The</w:t>
      </w:r>
      <w:r>
        <w:t xml:space="preserve"> </w:t>
      </w:r>
      <w:r>
        <w:rPr>
          <w:b/>
          <w:bCs/>
        </w:rPr>
        <w:t xml:space="preserve">Pre-Market Scanner</w:t>
      </w:r>
      <w:r>
        <w:t xml:space="preserve"> </w:t>
      </w:r>
      <w:r>
        <w:t xml:space="preserve">runs each day before the market open to build a “pivot watchlist” of candidate stocks and to assess market context</w:t>
      </w:r>
      <w:hyperlink r:id="rId21">
        <w:r>
          <w:rPr>
            <w:rStyle w:val="Hyperlink"/>
          </w:rPr>
          <w:t xml:space="preserve">[1]</w:t>
        </w:r>
      </w:hyperlink>
      <w:r>
        <w:t xml:space="preserve">. Its purpose is to identify which stocks to monitor for PS60 breakout trades and to set key trigger prices (pivots) and notes in advance. This module is typically scheduled for early morning (for example, 8:00–9:30 AM ET) so the output is available by market open</w:t>
      </w:r>
      <w:hyperlink r:id="rId22">
        <w:r>
          <w:rPr>
            <w:rStyle w:val="Hyperlink"/>
          </w:rPr>
          <w:t xml:space="preserve">[2]</w:t>
        </w:r>
      </w:hyperlink>
      <w:hyperlink r:id="rId21">
        <w:r>
          <w:rPr>
            <w:rStyle w:val="Hyperlink"/>
          </w:rPr>
          <w:t xml:space="preserve">[1]</w:t>
        </w:r>
      </w:hyperlink>
      <w:r>
        <w:t xml:space="preserve">. It may also optionally rerun shortly after the open (e.g. around 10:00 AM) to catch any late-breaking movers</w:t>
      </w:r>
      <w:hyperlink r:id="rId23">
        <w:r>
          <w:rPr>
            <w:rStyle w:val="Hyperlink"/>
          </w:rPr>
          <w:t xml:space="preserve">[3]</w:t>
        </w:r>
      </w:hyperlink>
      <w:r>
        <w:t xml:space="preserve">. Before each scan, the system checks that the Interactive Brokers (IBKR) data feed is connected and that necessary market-data subscriptions (e.g. NASDAQ stocks, futures) are active</w:t>
      </w:r>
      <w:hyperlink r:id="rId22">
        <w:r>
          <w:rPr>
            <w:rStyle w:val="Hyperlink"/>
          </w:rPr>
          <w:t xml:space="preserve">[2]</w:t>
        </w:r>
      </w:hyperlink>
      <w:r>
        <w:t xml:space="preserve">. This ensures that real-time and historical data (price, volume, news) will be available for all symbols to be scanned.</w:t>
      </w:r>
    </w:p>
    <w:bookmarkStart w:id="27" w:name="stock-universe"/>
    <w:p>
      <w:pPr>
        <w:pStyle w:val="Heading2"/>
      </w:pPr>
      <w:r>
        <w:t xml:space="preserve">Stock Universe</w:t>
      </w:r>
    </w:p>
    <w:p>
      <w:pPr>
        <w:pStyle w:val="FirstParagraph"/>
      </w:pPr>
      <w:r>
        <w:t xml:space="preserve">The scanner works on a</w:t>
      </w:r>
      <w:r>
        <w:t xml:space="preserve"> </w:t>
      </w:r>
      <w:r>
        <w:rPr>
          <w:b/>
          <w:bCs/>
        </w:rPr>
        <w:t xml:space="preserve">configurable universe of symbols</w:t>
      </w:r>
      <w:r>
        <w:t xml:space="preserve">. By default this could be a major index’s components (e.g. NASDAQ 100 or S&amp;P 500) or any list of liquid stocks, since the PS60 strategy is designed for highly traded equities</w:t>
      </w:r>
      <w:hyperlink r:id="rId24">
        <w:r>
          <w:rPr>
            <w:rStyle w:val="Hyperlink"/>
          </w:rPr>
          <w:t xml:space="preserve">[4]</w:t>
        </w:r>
      </w:hyperlink>
      <w:r>
        <w:t xml:space="preserve">. The user can override this list, for example to focus on “mega-cap tech plus personal favorites,” or to apply filters such as a minimum price or average volume</w:t>
      </w:r>
      <w:hyperlink r:id="rId24">
        <w:r>
          <w:rPr>
            <w:rStyle w:val="Hyperlink"/>
          </w:rPr>
          <w:t xml:space="preserve">[4]</w:t>
        </w:r>
      </w:hyperlink>
      <w:r>
        <w:t xml:space="preserve">. For instance, one might restrict the universe to stocks above \$5 in price with average daily volume over 200,000 shares to ensure liquidity</w:t>
      </w:r>
      <w:hyperlink r:id="rId25">
        <w:r>
          <w:rPr>
            <w:rStyle w:val="Hyperlink"/>
          </w:rPr>
          <w:t xml:space="preserve">[5]</w:t>
        </w:r>
      </w:hyperlink>
      <w:hyperlink r:id="rId26">
        <w:r>
          <w:rPr>
            <w:rStyle w:val="Hyperlink"/>
          </w:rPr>
          <w:t xml:space="preserve">[6]</w:t>
        </w:r>
      </w:hyperlink>
      <w:r>
        <w:t xml:space="preserve">. In summary, the scanner iterates through each ticker in this universe (as defined by configuration) to gather data and apply filters.</w:t>
      </w:r>
    </w:p>
    <w:bookmarkEnd w:id="27"/>
    <w:bookmarkStart w:id="32" w:name="data-collection"/>
    <w:p>
      <w:pPr>
        <w:pStyle w:val="Heading2"/>
      </w:pPr>
      <w:r>
        <w:t xml:space="preserve">Data Collection</w:t>
      </w:r>
    </w:p>
    <w:p>
      <w:pPr>
        <w:pStyle w:val="FirstParagraph"/>
      </w:pPr>
      <w:r>
        <w:t xml:space="preserve">For each stock in the universe, the scanner gathers both</w:t>
      </w:r>
      <w:r>
        <w:t xml:space="preserve"> </w:t>
      </w:r>
      <w:r>
        <w:rPr>
          <w:b/>
          <w:bCs/>
        </w:rPr>
        <w:t xml:space="preserve">pre-market data</w:t>
      </w:r>
      <w:r>
        <w:t xml:space="preserve"> </w:t>
      </w:r>
      <w:r>
        <w:t xml:space="preserve">and</w:t>
      </w:r>
      <w:r>
        <w:t xml:space="preserve"> </w:t>
      </w:r>
      <w:r>
        <w:rPr>
          <w:b/>
          <w:bCs/>
        </w:rPr>
        <w:t xml:space="preserve">recent historical data</w:t>
      </w:r>
      <w:r>
        <w:t xml:space="preserve">. Required data includes:</w:t>
      </w:r>
    </w:p>
    <w:p>
      <w:pPr>
        <w:pStyle w:val="Compact"/>
        <w:numPr>
          <w:ilvl w:val="0"/>
          <w:numId w:val="1001"/>
        </w:numPr>
      </w:pPr>
      <w:r>
        <w:rPr>
          <w:b/>
          <w:bCs/>
        </w:rPr>
        <w:t xml:space="preserve">Pre-market/Opening Price and Volume:</w:t>
      </w:r>
      <w:r>
        <w:t xml:space="preserve"> </w:t>
      </w:r>
      <w:r>
        <w:t xml:space="preserve">The last traded price and total volume in pre-market trading (if available) or early morning.</w:t>
      </w:r>
    </w:p>
    <w:p>
      <w:pPr>
        <w:pStyle w:val="Compact"/>
        <w:numPr>
          <w:ilvl w:val="0"/>
          <w:numId w:val="1001"/>
        </w:numPr>
      </w:pPr>
      <w:r>
        <w:rPr>
          <w:b/>
          <w:bCs/>
        </w:rPr>
        <w:t xml:space="preserve">Gap Percentage:</w:t>
      </w:r>
      <w:r>
        <w:t xml:space="preserve"> </w:t>
      </w:r>
      <w:r>
        <w:t xml:space="preserve">Compute the percentage change from yesterday’s official close to the current (pre-market or opening) price. For example, if a stock closed yesterday at \$50.00 and is trading at \$52.00 before the open, that is a</w:t>
      </w:r>
      <w:r>
        <w:t xml:space="preserve"> </w:t>
      </w:r>
      <w:r>
        <w:rPr>
          <w:b/>
          <w:bCs/>
        </w:rPr>
        <w:t xml:space="preserve">+4% gap</w:t>
      </w:r>
      <w:r>
        <w:t xml:space="preserve"> </w:t>
      </w:r>
      <w:r>
        <w:t xml:space="preserve">up</w:t>
      </w:r>
      <w:hyperlink r:id="rId26">
        <w:r>
          <w:rPr>
            <w:rStyle w:val="Hyperlink"/>
          </w:rPr>
          <w:t xml:space="preserve">[6]</w:t>
        </w:r>
      </w:hyperlink>
      <w:r>
        <w:t xml:space="preserve">. Gaps (especially beyond ±2%) often indicate overnight news or momentum.</w:t>
      </w:r>
    </w:p>
    <w:p>
      <w:pPr>
        <w:pStyle w:val="Compact"/>
        <w:numPr>
          <w:ilvl w:val="0"/>
          <w:numId w:val="1001"/>
        </w:numPr>
      </w:pPr>
      <w:r>
        <w:rPr>
          <w:b/>
          <w:bCs/>
        </w:rPr>
        <w:t xml:space="preserve">Previous Day’s Key Levels:</w:t>
      </w:r>
      <w:r>
        <w:t xml:space="preserve"> </w:t>
      </w:r>
      <w:r>
        <w:t xml:space="preserve">Yesterday’s closing price, high, and low. These levels serve as reference points. For instance, yesterday’s high is a natural pivot for bullish breakouts, and yesterday’s low for bearish breakdowns</w:t>
      </w:r>
      <w:hyperlink r:id="rId28">
        <w:r>
          <w:rPr>
            <w:rStyle w:val="Hyperlink"/>
          </w:rPr>
          <w:t xml:space="preserve">[7]</w:t>
        </w:r>
      </w:hyperlink>
      <w:hyperlink r:id="rId29">
        <w:r>
          <w:rPr>
            <w:rStyle w:val="Hyperlink"/>
          </w:rPr>
          <w:t xml:space="preserve">[8]</w:t>
        </w:r>
      </w:hyperlink>
      <w:r>
        <w:t xml:space="preserve">.</w:t>
      </w:r>
    </w:p>
    <w:p>
      <w:pPr>
        <w:pStyle w:val="Compact"/>
        <w:numPr>
          <w:ilvl w:val="0"/>
          <w:numId w:val="1001"/>
        </w:numPr>
      </w:pPr>
      <w:r>
        <w:rPr>
          <w:b/>
          <w:bCs/>
        </w:rPr>
        <w:t xml:space="preserve">Technical Indicator Values:</w:t>
      </w:r>
      <w:r>
        <w:t xml:space="preserve"> </w:t>
      </w:r>
      <w:r>
        <w:t xml:space="preserve">The latest values of relevant moving averages (e.g. 5-, 10-, 20-, 50-, 100-, 200-day SMAs) and any other key indicators on both the daily and intraday charts (60-min bars). These can be pre-calculated or computed from the recent price history. They help identify supply/demand zones (see below) and any chart patterns (like bases) from the prior session</w:t>
      </w:r>
      <w:hyperlink r:id="rId30">
        <w:r>
          <w:rPr>
            <w:rStyle w:val="Hyperlink"/>
          </w:rPr>
          <w:t xml:space="preserve">[9]</w:t>
        </w:r>
      </w:hyperlink>
      <w:hyperlink r:id="rId29">
        <w:r>
          <w:rPr>
            <w:rStyle w:val="Hyperlink"/>
          </w:rPr>
          <w:t xml:space="preserve">[10]</w:t>
        </w:r>
      </w:hyperlink>
      <w:r>
        <w:t xml:space="preserve">.</w:t>
      </w:r>
    </w:p>
    <w:p>
      <w:pPr>
        <w:pStyle w:val="Compact"/>
        <w:numPr>
          <w:ilvl w:val="0"/>
          <w:numId w:val="1001"/>
        </w:numPr>
      </w:pPr>
      <w:r>
        <w:rPr>
          <w:b/>
          <w:bCs/>
        </w:rPr>
        <w:t xml:space="preserve">News and Events:</w:t>
      </w:r>
      <w:r>
        <w:t xml:space="preserve"> </w:t>
      </w:r>
      <w:r>
        <w:t xml:space="preserve">Any scheduled or just-released fundamental events (especially earnings reports, guidance, analyst upgrades/downgrades, or M&amp;A news) for the stock. The scanner should query a news/earnings feed (e.g. IBKR news API or another data source) for significant items in the past day or announced overnight</w:t>
      </w:r>
      <w:hyperlink r:id="rId31">
        <w:r>
          <w:rPr>
            <w:rStyle w:val="Hyperlink"/>
          </w:rPr>
          <w:t xml:space="preserve">[11]</w:t>
        </w:r>
      </w:hyperlink>
      <w:r>
        <w:t xml:space="preserve">.</w:t>
      </w:r>
    </w:p>
    <w:p>
      <w:pPr>
        <w:pStyle w:val="FirstParagraph"/>
      </w:pPr>
      <w:r>
        <w:t xml:space="preserve">With this data, the scanner has the context needed to evaluate whether the stock meets criteria for being “in play” today.</w:t>
      </w:r>
    </w:p>
    <w:bookmarkEnd w:id="32"/>
    <w:bookmarkStart w:id="38" w:name="filtering-criteria"/>
    <w:p>
      <w:pPr>
        <w:pStyle w:val="Heading2"/>
      </w:pPr>
      <w:r>
        <w:t xml:space="preserve">Filtering Criteria</w:t>
      </w:r>
    </w:p>
    <w:p>
      <w:pPr>
        <w:pStyle w:val="FirstParagraph"/>
      </w:pPr>
      <w:r>
        <w:t xml:space="preserve">The scanner applies a series of</w:t>
      </w:r>
      <w:r>
        <w:t xml:space="preserve"> </w:t>
      </w:r>
      <w:r>
        <w:rPr>
          <w:b/>
          <w:bCs/>
        </w:rPr>
        <w:t xml:space="preserve">filters</w:t>
      </w:r>
      <w:r>
        <w:t xml:space="preserve"> </w:t>
      </w:r>
      <w:r>
        <w:t xml:space="preserve">(based on PS60 methodology and trading best practices) to decide which stocks to include on the watchlist. Each filter is a logical condition or a scoring factor. Typical criteria include:</w:t>
      </w:r>
    </w:p>
    <w:p>
      <w:pPr>
        <w:numPr>
          <w:ilvl w:val="0"/>
          <w:numId w:val="1002"/>
        </w:numPr>
      </w:pPr>
      <w:r>
        <w:rPr>
          <w:b/>
          <w:bCs/>
        </w:rPr>
        <w:t xml:space="preserve">Price Gap and Volume:</w:t>
      </w:r>
      <w:r>
        <w:t xml:space="preserve"> </w:t>
      </w:r>
      <w:r>
        <w:t xml:space="preserve">Stocks with significant pre-market gaps and/or unusually high volume often reflect a catalyst or emerging trend</w:t>
      </w:r>
      <w:hyperlink r:id="rId26">
        <w:r>
          <w:rPr>
            <w:rStyle w:val="Hyperlink"/>
          </w:rPr>
          <w:t xml:space="preserve">[6]</w:t>
        </w:r>
      </w:hyperlink>
      <w:r>
        <w:t xml:space="preserve">. For example, if a stock’s pre-market price is more than</w:t>
      </w:r>
      <w:r>
        <w:t xml:space="preserve"> </w:t>
      </w:r>
      <w:r>
        <w:rPr>
          <w:b/>
          <w:bCs/>
        </w:rPr>
        <w:t xml:space="preserve">±2%</w:t>
      </w:r>
      <w:r>
        <w:t xml:space="preserve"> </w:t>
      </w:r>
      <w:r>
        <w:t xml:space="preserve">from the prior close, and its pre-market volume is several times its normal early-morning volume, it is flagged. A practical implementation is to use a screener condition like “Top Gainers/Losers, average volume &gt;200k, pre-market volume &gt;2× normal” to find active names</w:t>
      </w:r>
      <w:hyperlink r:id="rId26">
        <w:r>
          <w:rPr>
            <w:rStyle w:val="Hyperlink"/>
          </w:rPr>
          <w:t xml:space="preserve">[6]</w:t>
        </w:r>
      </w:hyperlink>
      <w:r>
        <w:t xml:space="preserve">.</w:t>
      </w:r>
      <w:r>
        <w:br/>
      </w:r>
      <w:r>
        <w:rPr>
          <w:i/>
          <w:iCs/>
        </w:rPr>
        <w:t xml:space="preserve">Use case:</w:t>
      </w:r>
      <w:r>
        <w:t xml:space="preserve"> </w:t>
      </w:r>
      <w:r>
        <w:t xml:space="preserve">Company</w:t>
      </w:r>
      <w:r>
        <w:t xml:space="preserve"> </w:t>
      </w:r>
      <w:r>
        <w:rPr>
          <w:b/>
          <w:bCs/>
        </w:rPr>
        <w:t xml:space="preserve">ABC</w:t>
      </w:r>
      <w:r>
        <w:t xml:space="preserve"> </w:t>
      </w:r>
      <w:r>
        <w:t xml:space="preserve">closed at \$20.00 yesterday. An earnings beat overnight causes it to open at \$21.00 (+5%). Its pre-market volume is 3× typical. The scanner notes the +5% gap with heavy volume and marks ABC as a candidate for a long trade</w:t>
      </w:r>
      <w:hyperlink r:id="rId26">
        <w:r>
          <w:rPr>
            <w:rStyle w:val="Hyperlink"/>
          </w:rPr>
          <w:t xml:space="preserve">[6]</w:t>
        </w:r>
      </w:hyperlink>
      <w:r>
        <w:t xml:space="preserve">.</w:t>
      </w:r>
    </w:p>
    <w:p>
      <w:pPr>
        <w:numPr>
          <w:ilvl w:val="0"/>
          <w:numId w:val="1002"/>
        </w:numPr>
      </w:pPr>
      <w:r>
        <w:rPr>
          <w:b/>
          <w:bCs/>
        </w:rPr>
        <w:t xml:space="preserve">Prior-Day Chart Patterns:</w:t>
      </w:r>
      <w:r>
        <w:t xml:space="preserve"> </w:t>
      </w:r>
      <w:r>
        <w:t xml:space="preserve">The scanner examines the</w:t>
      </w:r>
      <w:r>
        <w:t xml:space="preserve"> </w:t>
      </w:r>
      <w:r>
        <w:rPr>
          <w:b/>
          <w:bCs/>
        </w:rPr>
        <w:t xml:space="preserve">daily chart</w:t>
      </w:r>
      <w:r>
        <w:t xml:space="preserve"> </w:t>
      </w:r>
      <w:r>
        <w:t xml:space="preserve">to identify meaningful patterns from the previous day(s). Examples include tight consolidations (bases) and recent breakouts of multi-day highs or lows</w:t>
      </w:r>
      <w:hyperlink r:id="rId29">
        <w:r>
          <w:rPr>
            <w:rStyle w:val="Hyperlink"/>
          </w:rPr>
          <w:t xml:space="preserve">[10]</w:t>
        </w:r>
      </w:hyperlink>
      <w:r>
        <w:t xml:space="preserve">. A “multi-week base” means the stock spent several days or weeks trading in a horizontal range (a consolidation) between clear support and resistance levels</w:t>
      </w:r>
      <w:hyperlink r:id="rId33">
        <w:r>
          <w:rPr>
            <w:rStyle w:val="Hyperlink"/>
          </w:rPr>
          <w:t xml:space="preserve">[12]</w:t>
        </w:r>
      </w:hyperlink>
      <w:r>
        <w:t xml:space="preserve">. If yesterday or recently the price was near the top of that base, today could see a continuation breakout. The scanner can detect this by checking if yesterday’s high is a breakout point on increasing volume. Common patterns to flag are</w:t>
      </w:r>
      <w:r>
        <w:t xml:space="preserve"> </w:t>
      </w:r>
      <w:r>
        <w:rPr>
          <w:i/>
          <w:iCs/>
        </w:rPr>
        <w:t xml:space="preserve">winding bases</w:t>
      </w:r>
      <w:r>
        <w:t xml:space="preserve"> </w:t>
      </w:r>
      <w:r>
        <w:t xml:space="preserve">or</w:t>
      </w:r>
      <w:r>
        <w:t xml:space="preserve"> </w:t>
      </w:r>
      <w:r>
        <w:rPr>
          <w:i/>
          <w:iCs/>
        </w:rPr>
        <w:t xml:space="preserve">double/triple tops</w:t>
      </w:r>
      <w:r>
        <w:t xml:space="preserve"> </w:t>
      </w:r>
      <w:r>
        <w:t xml:space="preserve">on the daily chart</w:t>
      </w:r>
      <w:hyperlink r:id="rId29">
        <w:r>
          <w:rPr>
            <w:rStyle w:val="Hyperlink"/>
          </w:rPr>
          <w:t xml:space="preserve">[10]</w:t>
        </w:r>
      </w:hyperlink>
      <w:r>
        <w:t xml:space="preserve">.</w:t>
      </w:r>
      <w:r>
        <w:br/>
      </w:r>
      <w:r>
        <w:rPr>
          <w:i/>
          <w:iCs/>
        </w:rPr>
        <w:t xml:space="preserve">Use case:</w:t>
      </w:r>
      <w:r>
        <w:t xml:space="preserve"> </w:t>
      </w:r>
      <w:r>
        <w:t xml:space="preserve">Stock</w:t>
      </w:r>
      <w:r>
        <w:t xml:space="preserve"> </w:t>
      </w:r>
      <w:r>
        <w:rPr>
          <w:b/>
          <w:bCs/>
        </w:rPr>
        <w:t xml:space="preserve">XYZ</w:t>
      </w:r>
      <w:r>
        <w:t xml:space="preserve"> </w:t>
      </w:r>
      <w:r>
        <w:t xml:space="preserve">has traded between \$30.00 and \$32.00 for the last two weeks, forming a base. Yesterday it closed at \$31.50 on higher-than-normal volume. The scanner identifies that</w:t>
      </w:r>
      <w:r>
        <w:t xml:space="preserve"> </w:t>
      </w:r>
      <w:r>
        <w:rPr>
          <w:i/>
          <w:iCs/>
        </w:rPr>
        <w:t xml:space="preserve">“yesterday’s high \$32.00”</w:t>
      </w:r>
      <w:r>
        <w:t xml:space="preserve"> </w:t>
      </w:r>
      <w:r>
        <w:t xml:space="preserve">is the pivot (breakout trigger) for XYZ. It will note a rationale like “approaching multi-week base breakout” for XYZ</w:t>
      </w:r>
      <w:hyperlink r:id="rId29">
        <w:r>
          <w:rPr>
            <w:rStyle w:val="Hyperlink"/>
          </w:rPr>
          <w:t xml:space="preserve">[10]</w:t>
        </w:r>
      </w:hyperlink>
      <w:hyperlink r:id="rId34">
        <w:r>
          <w:rPr>
            <w:rStyle w:val="Hyperlink"/>
          </w:rPr>
          <w:t xml:space="preserve">[13]</w:t>
        </w:r>
      </w:hyperlink>
      <w:r>
        <w:t xml:space="preserve">. If XYZ moves above \$32.00 today, that would confirm a bullish breakout from the base</w:t>
      </w:r>
      <w:hyperlink r:id="rId33">
        <w:r>
          <w:rPr>
            <w:rStyle w:val="Hyperlink"/>
          </w:rPr>
          <w:t xml:space="preserve">[12]</w:t>
        </w:r>
      </w:hyperlink>
      <w:r>
        <w:t xml:space="preserve">.</w:t>
      </w:r>
    </w:p>
    <w:p>
      <w:pPr>
        <w:numPr>
          <w:ilvl w:val="0"/>
          <w:numId w:val="1002"/>
        </w:numPr>
      </w:pPr>
      <w:r>
        <w:rPr>
          <w:b/>
          <w:bCs/>
        </w:rPr>
        <w:t xml:space="preserve">Technical Barriers (“No Room to Run” Check):</w:t>
      </w:r>
      <w:r>
        <w:t xml:space="preserve"> </w:t>
      </w:r>
      <w:r>
        <w:t xml:space="preserve">The PS60 rules emphasize that a candidate should have “room to run” before hitting major resistance</w:t>
      </w:r>
      <w:hyperlink r:id="rId28">
        <w:r>
          <w:rPr>
            <w:rStyle w:val="Hyperlink"/>
          </w:rPr>
          <w:t xml:space="preserve">[7]</w:t>
        </w:r>
      </w:hyperlink>
      <w:hyperlink r:id="rId35">
        <w:r>
          <w:rPr>
            <w:rStyle w:val="Hyperlink"/>
          </w:rPr>
          <w:t xml:space="preserve">[14]</w:t>
        </w:r>
      </w:hyperlink>
      <w:r>
        <w:t xml:space="preserve">. The scanner checks if any significant technical level (on the daily or intraday chart) lies very close above (for longs) or below (for shorts) the current price. Typical examples are daily moving averages like the 50-day or 200-day SMA. For instance, if</w:t>
      </w:r>
      <w:r>
        <w:t xml:space="preserve"> </w:t>
      </w:r>
      <w:r>
        <w:rPr>
          <w:b/>
          <w:bCs/>
        </w:rPr>
        <w:t xml:space="preserve">Stock MNO</w:t>
      </w:r>
      <w:r>
        <w:t xml:space="preserve"> </w:t>
      </w:r>
      <w:r>
        <w:t xml:space="preserve">is at \$49.70 pre-market and its daily 200-day SMA is at \$50.00, that is only \$0.30 (0.6%) above</w:t>
      </w:r>
      <w:hyperlink r:id="rId35">
        <w:r>
          <w:rPr>
            <w:rStyle w:val="Hyperlink"/>
          </w:rPr>
          <w:t xml:space="preserve">[14]</w:t>
        </w:r>
      </w:hyperlink>
      <w:r>
        <w:t xml:space="preserve">. This is likely too tight, so MNO would be de-prioritized. The scanner would “flag” this obstacle in the notes (e.g.</w:t>
      </w:r>
      <w:r>
        <w:t xml:space="preserve"> </w:t>
      </w:r>
      <w:r>
        <w:rPr>
          <w:i/>
          <w:iCs/>
        </w:rPr>
        <w:t xml:space="preserve">“200-day SMA at \$50.00, only \$0.30 above”</w:t>
      </w:r>
      <w:r>
        <w:t xml:space="preserve">) and possibly exclude the stock from the active watchlist</w:t>
      </w:r>
      <w:hyperlink r:id="rId35">
        <w:r>
          <w:rPr>
            <w:rStyle w:val="Hyperlink"/>
          </w:rPr>
          <w:t xml:space="preserve">[14]</w:t>
        </w:r>
      </w:hyperlink>
      <w:r>
        <w:t xml:space="preserve">. In general, symbols with “clear air” (no close-by resistance/support) are preferred.</w:t>
      </w:r>
      <w:r>
        <w:br/>
      </w:r>
      <w:r>
        <w:rPr>
          <w:i/>
          <w:iCs/>
        </w:rPr>
        <w:t xml:space="preserve">Use case:</w:t>
      </w:r>
      <w:r>
        <w:t xml:space="preserve"> </w:t>
      </w:r>
      <w:r>
        <w:rPr>
          <w:b/>
          <w:bCs/>
        </w:rPr>
        <w:t xml:space="preserve">ABC</w:t>
      </w:r>
      <w:r>
        <w:t xml:space="preserve"> </w:t>
      </w:r>
      <w:r>
        <w:t xml:space="preserve">(from above) also has a 50-day SMA at \$22.00. Since its pivot was \$21.00, it notes</w:t>
      </w:r>
      <w:r>
        <w:t xml:space="preserve"> </w:t>
      </w:r>
      <w:r>
        <w:rPr>
          <w:i/>
          <w:iCs/>
        </w:rPr>
        <w:t xml:space="preserve">“next resistance ~\$22.00 (daily 50-SMA)”</w:t>
      </w:r>
      <w:r>
        <w:t xml:space="preserve">. Because there is \$1.00 of headroom, ABC still qualifies; but if the SMA were at \$21.10, it would warn that a breakout has very little profit margin.</w:t>
      </w:r>
    </w:p>
    <w:p>
      <w:pPr>
        <w:numPr>
          <w:ilvl w:val="0"/>
          <w:numId w:val="1002"/>
        </w:numPr>
      </w:pPr>
      <w:r>
        <w:rPr>
          <w:b/>
          <w:bCs/>
        </w:rPr>
        <w:t xml:space="preserve">News Catalysts:</w:t>
      </w:r>
      <w:r>
        <w:t xml:space="preserve"> </w:t>
      </w:r>
      <w:r>
        <w:t xml:space="preserve">Although PS60 is technically oriented, known catalysts like earnings reports or other news can be important. The scanner should highlight any stock with a major news event (e.g. earnings announced overnight, a merger, or an analyst upgrade)</w:t>
      </w:r>
      <w:hyperlink r:id="rId31">
        <w:r>
          <w:rPr>
            <w:rStyle w:val="Hyperlink"/>
          </w:rPr>
          <w:t xml:space="preserve">[11]</w:t>
        </w:r>
      </w:hyperlink>
      <w:r>
        <w:t xml:space="preserve">. For such a stock, even if technical signals are muted, one should be aware of the added volatility and possible moves. For example, a stock that announced an earnings</w:t>
      </w:r>
      <w:r>
        <w:t xml:space="preserve"> </w:t>
      </w:r>
      <w:r>
        <w:rPr>
          <w:i/>
          <w:iCs/>
        </w:rPr>
        <w:t xml:space="preserve">beat</w:t>
      </w:r>
      <w:r>
        <w:t xml:space="preserve"> </w:t>
      </w:r>
      <w:r>
        <w:t xml:space="preserve">might gap up significantly. The scanner will include that in the rationale (e.g.</w:t>
      </w:r>
      <w:r>
        <w:t xml:space="preserve"> </w:t>
      </w:r>
      <w:r>
        <w:rPr>
          <w:i/>
          <w:iCs/>
        </w:rPr>
        <w:t xml:space="preserve">“earnings beat; gap up 6%”</w:t>
      </w:r>
      <w:r>
        <w:t xml:space="preserve">). Likewise, an analyst downgrade might produce a large gap down.</w:t>
      </w:r>
      <w:r>
        <w:br/>
      </w:r>
      <w:r>
        <w:rPr>
          <w:i/>
          <w:iCs/>
        </w:rPr>
        <w:t xml:space="preserve">Use case:</w:t>
      </w:r>
      <w:r>
        <w:t xml:space="preserve"> </w:t>
      </w:r>
      <w:r>
        <w:rPr>
          <w:b/>
          <w:bCs/>
        </w:rPr>
        <w:t xml:space="preserve">DEF</w:t>
      </w:r>
      <w:r>
        <w:t xml:space="preserve"> </w:t>
      </w:r>
      <w:r>
        <w:t xml:space="preserve">closed at \$40.00 yesterday and announced better-than-expected earnings after hours. Today it opens at \$42.00 (+5%). The scanner sees the earnings news and 5% gap, and includes DEF on the list with rationale</w:t>
      </w:r>
      <w:r>
        <w:t xml:space="preserve"> </w:t>
      </w:r>
      <w:r>
        <w:rPr>
          <w:i/>
          <w:iCs/>
        </w:rPr>
        <w:t xml:space="preserve">“earnings beat, +5% gap up”</w:t>
      </w:r>
      <w:r>
        <w:t xml:space="preserve">. (Internally, gap % is computed as</w:t>
      </w:r>
      <w:r>
        <w:t xml:space="preserve"> </w:t>
      </w:r>
      <w:r>
        <w:rPr>
          <w:rStyle w:val="VerbatimChar"/>
        </w:rPr>
        <w:t xml:space="preserve">(Open - PrevClose)/PrevClose × 100</w:t>
      </w:r>
      <w:r>
        <w:t xml:space="preserve">.)</w:t>
      </w:r>
    </w:p>
    <w:p>
      <w:pPr>
        <w:numPr>
          <w:ilvl w:val="0"/>
          <w:numId w:val="1002"/>
        </w:numPr>
      </w:pPr>
      <w:r>
        <w:rPr>
          <w:b/>
          <w:bCs/>
        </w:rPr>
        <w:t xml:space="preserve">Market Trend and Leaders:</w:t>
      </w:r>
      <w:r>
        <w:t xml:space="preserve"> </w:t>
      </w:r>
      <w:r>
        <w:t xml:space="preserve">The scanner also assesses the overall market backdrop. It checks major index futures (e.g. Nasdaq or S&amp;P 500 futures) in the pre-market and notes their direction (e.g.</w:t>
      </w:r>
      <w:r>
        <w:t xml:space="preserve"> </w:t>
      </w:r>
      <w:r>
        <w:rPr>
          <w:i/>
          <w:iCs/>
        </w:rPr>
        <w:t xml:space="preserve">“Nasdaq futures +1.2%”</w:t>
      </w:r>
      <w:r>
        <w:t xml:space="preserve">). If the major indexes are strongly up or down, that indicates bullish or bearish bias for the day</w:t>
      </w:r>
      <w:hyperlink r:id="rId36">
        <w:r>
          <w:rPr>
            <w:rStyle w:val="Hyperlink"/>
          </w:rPr>
          <w:t xml:space="preserve">[15]</w:t>
        </w:r>
      </w:hyperlink>
      <w:r>
        <w:t xml:space="preserve">. Additionally, if large-cap “leader” stocks (e.g. the FAANG stocks) are showing big moves, they can set the tone. The scanner may flag these leaders or simply use them to characterize the day (bullish/bearish/mixed). This context is reported in the summary for the trader</w:t>
      </w:r>
      <w:hyperlink r:id="rId36">
        <w:r>
          <w:rPr>
            <w:rStyle w:val="Hyperlink"/>
          </w:rPr>
          <w:t xml:space="preserve">[15]</w:t>
        </w:r>
      </w:hyperlink>
      <w:hyperlink r:id="rId37">
        <w:r>
          <w:rPr>
            <w:rStyle w:val="Hyperlink"/>
          </w:rPr>
          <w:t xml:space="preserve">[16]</w:t>
        </w:r>
      </w:hyperlink>
      <w:r>
        <w:t xml:space="preserve">.</w:t>
      </w:r>
      <w:r>
        <w:br/>
      </w:r>
      <w:r>
        <w:rPr>
          <w:i/>
          <w:iCs/>
        </w:rPr>
        <w:t xml:space="preserve">Use case:</w:t>
      </w:r>
      <w:r>
        <w:t xml:space="preserve"> </w:t>
      </w:r>
      <w:r>
        <w:t xml:space="preserve">The scanner sees that S&amp;P futures are flat, Nasdaq futures are up +0.5%, and Apple (AAPL) is up 1% in pre-market. It reports</w:t>
      </w:r>
      <w:r>
        <w:t xml:space="preserve"> </w:t>
      </w:r>
      <w:r>
        <w:rPr>
          <w:i/>
          <w:iCs/>
        </w:rPr>
        <w:t xml:space="preserve">“Market context: Nasdaq futures +0.5%, mixed signals from leaders – bias neutral”</w:t>
      </w:r>
      <w:r>
        <w:t xml:space="preserve">.</w:t>
      </w:r>
    </w:p>
    <w:p>
      <w:pPr>
        <w:pStyle w:val="FirstParagraph"/>
      </w:pPr>
      <w:r>
        <w:t xml:space="preserve">Each of these criteria yields a score or flag. In practice, the scanner might</w:t>
      </w:r>
      <w:r>
        <w:t xml:space="preserve"> </w:t>
      </w:r>
      <w:r>
        <w:rPr>
          <w:b/>
          <w:bCs/>
        </w:rPr>
        <w:t xml:space="preserve">score or rank</w:t>
      </w:r>
      <w:r>
        <w:t xml:space="preserve"> </w:t>
      </w:r>
      <w:r>
        <w:t xml:space="preserve">symbols (e.g. high gap</w:t>
      </w:r>
      <w:r>
        <w:t xml:space="preserve"> </w:t>
      </w:r>
      <w:r>
        <w:rPr>
          <w:i/>
          <w:iCs/>
        </w:rPr>
        <w:t xml:space="preserve">and</w:t>
      </w:r>
      <w:r>
        <w:t xml:space="preserve"> </w:t>
      </w:r>
      <w:r>
        <w:t xml:space="preserve">strong pattern = high priority). Only those passing the key filters (e.g. gap &gt;2% or obvious base pattern) are placed on the final watchlist. Symbols failing major criteria (like “no room to run” or extremely weak volume) are dropped.</w:t>
      </w:r>
    </w:p>
    <w:bookmarkEnd w:id="38"/>
    <w:bookmarkStart w:id="43" w:name="X81466c74239ff72e968d93506dd609b9a920a54"/>
    <w:p>
      <w:pPr>
        <w:pStyle w:val="Heading2"/>
      </w:pPr>
      <w:r>
        <w:t xml:space="preserve">Pivot Identification and Watchlist Output</w:t>
      </w:r>
    </w:p>
    <w:p>
      <w:pPr>
        <w:pStyle w:val="FirstParagraph"/>
      </w:pPr>
      <w:r>
        <w:t xml:space="preserve">For every stock that passes the filters, the scanner computes a</w:t>
      </w:r>
      <w:r>
        <w:t xml:space="preserve"> </w:t>
      </w:r>
      <w:r>
        <w:rPr>
          <w:b/>
          <w:bCs/>
        </w:rPr>
        <w:t xml:space="preserve">pivot level</w:t>
      </w:r>
      <w:r>
        <w:t xml:space="preserve"> </w:t>
      </w:r>
      <w:r>
        <w:t xml:space="preserve">(or two) and produces a summary entry. The pivot price is the threshold at which a breakout trade would be triggered:</w:t>
      </w:r>
    </w:p>
    <w:p>
      <w:pPr>
        <w:pStyle w:val="Compact"/>
        <w:numPr>
          <w:ilvl w:val="0"/>
          <w:numId w:val="1003"/>
        </w:numPr>
      </w:pPr>
      <w:r>
        <w:rPr>
          <w:b/>
          <w:bCs/>
        </w:rPr>
        <w:t xml:space="preserve">Pivot High (Long Entry Trigger):</w:t>
      </w:r>
      <w:r>
        <w:t xml:space="preserve"> </w:t>
      </w:r>
      <w:r>
        <w:t xml:space="preserve">Usually set to</w:t>
      </w:r>
      <w:r>
        <w:t xml:space="preserve"> </w:t>
      </w:r>
      <w:r>
        <w:rPr>
          <w:b/>
          <w:bCs/>
        </w:rPr>
        <w:t xml:space="preserve">yesterday’s high</w:t>
      </w:r>
      <w:r>
        <w:t xml:space="preserve"> </w:t>
      </w:r>
      <w:r>
        <w:t xml:space="preserve">price. If the stock’s price</w:t>
      </w:r>
      <w:r>
        <w:t xml:space="preserve"> </w:t>
      </w:r>
      <w:r>
        <w:rPr>
          <w:i/>
          <w:iCs/>
        </w:rPr>
        <w:t xml:space="preserve">breaks above</w:t>
      </w:r>
      <w:r>
        <w:t xml:space="preserve"> </w:t>
      </w:r>
      <w:r>
        <w:t xml:space="preserve">this pivot and is confirmed by the next 60-minute candle, it signals a long entry (per PS60 rules</w:t>
      </w:r>
      <w:hyperlink r:id="rId28">
        <w:r>
          <w:rPr>
            <w:rStyle w:val="Hyperlink"/>
          </w:rPr>
          <w:t xml:space="preserve">[7]</w:t>
        </w:r>
      </w:hyperlink>
      <w:r>
        <w:t xml:space="preserve">). However, if the stock has already traded above yesterday’s high in pre-market or on an early gap, that pivot is considered invalid</w:t>
      </w:r>
      <w:hyperlink r:id="rId28">
        <w:r>
          <w:rPr>
            <w:rStyle w:val="Hyperlink"/>
          </w:rPr>
          <w:t xml:space="preserve">[7]</w:t>
        </w:r>
      </w:hyperlink>
      <w:r>
        <w:t xml:space="preserve">. In that case, a new pivot is set at the high of the first hour (9:30–10:30 AM, including pre-market data up to 10:00 AM)</w:t>
      </w:r>
      <w:hyperlink r:id="rId28">
        <w:r>
          <w:rPr>
            <w:rStyle w:val="Hyperlink"/>
          </w:rPr>
          <w:t xml:space="preserve">[7]</w:t>
        </w:r>
      </w:hyperlink>
      <w:hyperlink r:id="rId39">
        <w:r>
          <w:rPr>
            <w:rStyle w:val="Hyperlink"/>
          </w:rPr>
          <w:t xml:space="preserve">[17]</w:t>
        </w:r>
      </w:hyperlink>
      <w:r>
        <w:t xml:space="preserve">. For example, if</w:t>
      </w:r>
      <w:r>
        <w:t xml:space="preserve"> </w:t>
      </w:r>
      <w:r>
        <w:rPr>
          <w:b/>
          <w:bCs/>
        </w:rPr>
        <w:t xml:space="preserve">GHI</w:t>
      </w:r>
      <w:r>
        <w:t xml:space="preserve"> </w:t>
      </w:r>
      <w:r>
        <w:t xml:space="preserve">had yesterday’s high \$50.00 but this morning opened at \$51.00 (already above it), then \$50.00 is no longer used; instead, the highest price reached between 9:30–10:30 becomes the pivot.</w:t>
      </w:r>
    </w:p>
    <w:p>
      <w:pPr>
        <w:pStyle w:val="Compact"/>
        <w:numPr>
          <w:ilvl w:val="0"/>
          <w:numId w:val="1003"/>
        </w:numPr>
      </w:pPr>
      <w:r>
        <w:rPr>
          <w:b/>
          <w:bCs/>
        </w:rPr>
        <w:t xml:space="preserve">Pivot Low (Short Entry Trigger):</w:t>
      </w:r>
      <w:r>
        <w:t xml:space="preserve"> </w:t>
      </w:r>
      <w:r>
        <w:t xml:space="preserve">Analogous to Pivot High but on the downside. By default it is yesterday’s low price. If the stock gaps below that or trades under it before the open, then use the low of the first trading hour as the pivot for a potential short entry</w:t>
      </w:r>
      <w:hyperlink r:id="rId28">
        <w:r>
          <w:rPr>
            <w:rStyle w:val="Hyperlink"/>
          </w:rPr>
          <w:t xml:space="preserve">[7]</w:t>
        </w:r>
      </w:hyperlink>
      <w:r>
        <w:t xml:space="preserve">.</w:t>
      </w:r>
    </w:p>
    <w:p>
      <w:pPr>
        <w:pStyle w:val="FirstParagraph"/>
      </w:pPr>
      <w:r>
        <w:t xml:space="preserve">The scanner then outputs a</w:t>
      </w:r>
      <w:r>
        <w:t xml:space="preserve"> </w:t>
      </w:r>
      <w:r>
        <w:rPr>
          <w:b/>
          <w:bCs/>
        </w:rPr>
        <w:t xml:space="preserve">watchlist entry</w:t>
      </w:r>
      <w:r>
        <w:t xml:space="preserve"> </w:t>
      </w:r>
      <w:r>
        <w:t xml:space="preserve">for each candidate, containing at least: the symbol, Pivot High, Pivot Low, and a brief rationale/comment. For example, a list item might read:</w:t>
      </w:r>
    </w:p>
    <w:p>
      <w:pPr>
        <w:pStyle w:val="BlockText"/>
      </w:pPr>
      <w:r>
        <w:rPr>
          <w:b/>
          <w:bCs/>
        </w:rPr>
        <w:t xml:space="preserve">AAPL –</w:t>
      </w:r>
      <w:r>
        <w:t xml:space="preserve"> </w:t>
      </w:r>
      <w:r>
        <w:t xml:space="preserve">Pivot High \$150.00 (yesterday’s high);</w:t>
      </w:r>
      <w:r>
        <w:t xml:space="preserve"> </w:t>
      </w:r>
      <w:r>
        <w:rPr>
          <w:i/>
          <w:iCs/>
        </w:rPr>
        <w:t xml:space="preserve">rationale:</w:t>
      </w:r>
      <w:r>
        <w:t xml:space="preserve"> </w:t>
      </w:r>
      <w:r>
        <w:t xml:space="preserve">“Long base breakout. Formed a 3-week base between \$140–\$150; closes near resistance. Next resistance at ~\$152 (daily 50-SMA)”.</w:t>
      </w:r>
    </w:p>
    <w:p>
      <w:pPr>
        <w:pStyle w:val="FirstParagraph"/>
      </w:pPr>
      <w:r>
        <w:t xml:space="preserve">This says Apple’s pivot for a long entry is \$150.00. It notes that Apple has been in a long consolidation (base) and that the breakout above \$150 has room up to about \$152 where the 50-day moving average lies</w:t>
      </w:r>
      <w:hyperlink r:id="rId40">
        <w:r>
          <w:rPr>
            <w:rStyle w:val="Hyperlink"/>
          </w:rPr>
          <w:t xml:space="preserve">[18]</w:t>
        </w:r>
      </w:hyperlink>
      <w:r>
        <w:t xml:space="preserve">. (Traders often regard the 50-day simple moving average – the average closing price of the last 50 trading days – as a key dynamic resistance level</w:t>
      </w:r>
      <w:hyperlink r:id="rId41">
        <w:r>
          <w:rPr>
            <w:rStyle w:val="Hyperlink"/>
          </w:rPr>
          <w:t xml:space="preserve">[19]</w:t>
        </w:r>
      </w:hyperlink>
      <w:hyperlink r:id="rId42">
        <w:r>
          <w:rPr>
            <w:rStyle w:val="Hyperlink"/>
          </w:rPr>
          <w:t xml:space="preserve">[20]</w:t>
        </w:r>
      </w:hyperlink>
      <w:r>
        <w:t xml:space="preserve">.) In contrast, if a stock appears primed for a short, the entry might list Pivot Low and a bearish rationale (e.g.</w:t>
      </w:r>
      <w:r>
        <w:t xml:space="preserve"> </w:t>
      </w:r>
      <w:r>
        <w:rPr>
          <w:i/>
          <w:iCs/>
        </w:rPr>
        <w:t xml:space="preserve">“gap down on earnings”</w:t>
      </w:r>
      <w:r>
        <w:t xml:space="preserve"> </w:t>
      </w:r>
      <w:r>
        <w:t xml:space="preserve">or</w:t>
      </w:r>
      <w:r>
        <w:t xml:space="preserve"> </w:t>
      </w:r>
      <w:r>
        <w:rPr>
          <w:i/>
          <w:iCs/>
        </w:rPr>
        <w:t xml:space="preserve">“breaking below multi-month support”</w:t>
      </w:r>
      <w:r>
        <w:t xml:space="preserve">).</w:t>
      </w:r>
    </w:p>
    <w:p>
      <w:pPr>
        <w:pStyle w:val="BodyText"/>
      </w:pPr>
      <w:r>
        <w:t xml:space="preserve">In the rationale text,</w:t>
      </w:r>
      <w:r>
        <w:t xml:space="preserve"> </w:t>
      </w:r>
      <w:r>
        <w:rPr>
          <w:b/>
          <w:bCs/>
        </w:rPr>
        <w:t xml:space="preserve">no shorthand is used</w:t>
      </w:r>
      <w:r>
        <w:t xml:space="preserve">. For example:</w:t>
      </w:r>
      <w:r>
        <w:t xml:space="preserve"> </w:t>
      </w:r>
      <w:r>
        <w:t xml:space="preserve">- Instead of “+4% gap”, say</w:t>
      </w:r>
      <w:r>
        <w:t xml:space="preserve"> </w:t>
      </w:r>
      <w:r>
        <w:rPr>
          <w:i/>
          <w:iCs/>
        </w:rPr>
        <w:t xml:space="preserve">“stock is up 4% from yesterday’s close in pre-market”</w:t>
      </w:r>
      <w:r>
        <w:t xml:space="preserve">.</w:t>
      </w:r>
      <w:r>
        <w:br/>
      </w:r>
      <w:r>
        <w:t xml:space="preserve">- Instead of “earnings beat”, write</w:t>
      </w:r>
      <w:r>
        <w:t xml:space="preserve"> </w:t>
      </w:r>
      <w:r>
        <w:rPr>
          <w:i/>
          <w:iCs/>
        </w:rPr>
        <w:t xml:space="preserve">“company reported better-than-expected earnings after market close, driving the gap up”</w:t>
      </w:r>
      <w:r>
        <w:t xml:space="preserve">.</w:t>
      </w:r>
      <w:r>
        <w:br/>
      </w:r>
      <w:r>
        <w:t xml:space="preserve">- Instead of “multi-week base breakout”, describe</w:t>
      </w:r>
      <w:r>
        <w:t xml:space="preserve"> </w:t>
      </w:r>
      <w:r>
        <w:rPr>
          <w:i/>
          <w:iCs/>
        </w:rPr>
        <w:t xml:space="preserve">“the stock had traded sideways in a horizontal range for several weeks; approaching the top of that base”</w:t>
      </w:r>
      <w:r>
        <w:t xml:space="preserve">.</w:t>
      </w:r>
    </w:p>
    <w:p>
      <w:pPr>
        <w:pStyle w:val="BodyText"/>
      </w:pPr>
      <w:r>
        <w:t xml:space="preserve">Each watchlist line should also mention any</w:t>
      </w:r>
      <w:r>
        <w:t xml:space="preserve"> </w:t>
      </w:r>
      <w:r>
        <w:rPr>
          <w:b/>
          <w:bCs/>
        </w:rPr>
        <w:t xml:space="preserve">immediate technical zones</w:t>
      </w:r>
      <w:r>
        <w:t xml:space="preserve">. Commonly this includes any moving average or prior high/low near the pivot. For example,</w:t>
      </w:r>
      <w:r>
        <w:t xml:space="preserve"> </w:t>
      </w:r>
      <w:r>
        <w:rPr>
          <w:i/>
          <w:iCs/>
        </w:rPr>
        <w:t xml:space="preserve">“next resistance ~\$X (50-day SMA)”</w:t>
      </w:r>
      <w:r>
        <w:t xml:space="preserve"> </w:t>
      </w:r>
      <w:r>
        <w:t xml:space="preserve">or</w:t>
      </w:r>
      <w:r>
        <w:t xml:space="preserve"> </w:t>
      </w:r>
      <w:r>
        <w:rPr>
          <w:i/>
          <w:iCs/>
        </w:rPr>
        <w:t xml:space="preserve">“support at \$Y (previous 20-day low)”</w:t>
      </w:r>
      <w:r>
        <w:t xml:space="preserve">. These notes help the trader and strategy engine understand potential “room to run” before hitting the next barrier</w:t>
      </w:r>
      <w:hyperlink r:id="rId34">
        <w:r>
          <w:rPr>
            <w:rStyle w:val="Hyperlink"/>
          </w:rPr>
          <w:t xml:space="preserve">[13]</w:t>
        </w:r>
      </w:hyperlink>
      <w:hyperlink r:id="rId41">
        <w:r>
          <w:rPr>
            <w:rStyle w:val="Hyperlink"/>
          </w:rPr>
          <w:t xml:space="preserve">[19]</w:t>
        </w:r>
      </w:hyperlink>
      <w:r>
        <w:t xml:space="preserve">.</w:t>
      </w:r>
    </w:p>
    <w:p>
      <w:pPr>
        <w:pStyle w:val="BodyText"/>
      </w:pPr>
      <w:r>
        <w:t xml:space="preserve">Finally, the scanner provides a</w:t>
      </w:r>
      <w:r>
        <w:t xml:space="preserve"> </w:t>
      </w:r>
      <w:r>
        <w:rPr>
          <w:b/>
          <w:bCs/>
        </w:rPr>
        <w:t xml:space="preserve">market context summary</w:t>
      </w:r>
      <w:r>
        <w:t xml:space="preserve">. This is a short note (e.g. “Nasdaq futures +1%, elevated volatility; bullish bias”) that describes overall conditions (index moves, volatility, news tone)</w:t>
      </w:r>
      <w:hyperlink r:id="rId37">
        <w:r>
          <w:rPr>
            <w:rStyle w:val="Hyperlink"/>
          </w:rPr>
          <w:t xml:space="preserve">[16]</w:t>
        </w:r>
      </w:hyperlink>
      <w:r>
        <w:t xml:space="preserve">. This helps the trader quickly grasp whether the day is likely bullish, bearish, or choppy.</w:t>
      </w:r>
    </w:p>
    <w:bookmarkEnd w:id="43"/>
    <w:bookmarkStart w:id="44" w:name="intraday-updates"/>
    <w:p>
      <w:pPr>
        <w:pStyle w:val="Heading2"/>
      </w:pPr>
      <w:r>
        <w:t xml:space="preserve">Intraday Updates</w:t>
      </w:r>
    </w:p>
    <w:p>
      <w:pPr>
        <w:pStyle w:val="FirstParagraph"/>
      </w:pPr>
      <w:r>
        <w:t xml:space="preserve">Optionally, the scanning module can</w:t>
      </w:r>
      <w:r>
        <w:t xml:space="preserve"> </w:t>
      </w:r>
      <w:r>
        <w:rPr>
          <w:b/>
          <w:bCs/>
        </w:rPr>
        <w:t xml:space="preserve">rerun or update</w:t>
      </w:r>
      <w:r>
        <w:t xml:space="preserve"> </w:t>
      </w:r>
      <w:r>
        <w:t xml:space="preserve">after the market opens (e.g. at 10:00 AM) to catch opportunities that weren’t evident pre-open</w:t>
      </w:r>
      <w:hyperlink r:id="rId23">
        <w:r>
          <w:rPr>
            <w:rStyle w:val="Hyperlink"/>
          </w:rPr>
          <w:t xml:space="preserve">[3]</w:t>
        </w:r>
      </w:hyperlink>
      <w:r>
        <w:t xml:space="preserve">. For instance, if a stock begins surging on fresh news or a breakout only after the open, an intraday scan (or a continuous scan thread) can add that stock to the active watchlist for potential execution. The same filter logic applies: look for sudden volume spikes, breakouts of intraday ranges, or newly significant news. Any new candidates discovered mid-day are fed into the PS60 engine with their pivots and context, just as in the pre-market list</w:t>
      </w:r>
      <w:hyperlink r:id="rId23">
        <w:r>
          <w:rPr>
            <w:rStyle w:val="Hyperlink"/>
          </w:rPr>
          <w:t xml:space="preserve">[3]</w:t>
        </w:r>
      </w:hyperlink>
      <w:r>
        <w:t xml:space="preserve">.</w:t>
      </w:r>
    </w:p>
    <w:bookmarkEnd w:id="44"/>
    <w:bookmarkStart w:id="47" w:name="configuration-and-performance"/>
    <w:p>
      <w:pPr>
        <w:pStyle w:val="Heading2"/>
      </w:pPr>
      <w:r>
        <w:t xml:space="preserve">Configuration and Performance</w:t>
      </w:r>
    </w:p>
    <w:p>
      <w:pPr>
        <w:pStyle w:val="FirstParagraph"/>
      </w:pPr>
      <w:r>
        <w:t xml:space="preserve">All scanning parameters should be user-configurable (via a settings file or UI). This includes scan times (e.g. start at 7:00 or 8:00), the stock universe list or screens (e.g. which indexes or custom symbols), and filter thresholds (gap %, volume multiplier, etc.)</w:t>
      </w:r>
      <w:hyperlink r:id="rId45">
        <w:r>
          <w:rPr>
            <w:rStyle w:val="Hyperlink"/>
          </w:rPr>
          <w:t xml:space="preserve">[21]</w:t>
        </w:r>
      </w:hyperlink>
      <w:r>
        <w:t xml:space="preserve">. Reasonable defaults might scan 8:00–9:30 on the S&amp;P500, looking for gaps &gt;2% and bases, yielding on the order of 5–15 candidates each day</w:t>
      </w:r>
      <w:hyperlink r:id="rId45">
        <w:r>
          <w:rPr>
            <w:rStyle w:val="Hyperlink"/>
          </w:rPr>
          <w:t xml:space="preserve">[21]</w:t>
        </w:r>
      </w:hyperlink>
      <w:r>
        <w:t xml:space="preserve">.</w:t>
      </w:r>
    </w:p>
    <w:p>
      <w:pPr>
        <w:pStyle w:val="BodyText"/>
      </w:pPr>
      <w:r>
        <w:t xml:space="preserve">Performance is critical: the scan must complete before market open so the strategy engine has time to load the watchlist. It should use efficient data access – for example, IBKR’s API for market snapshots/quotes and possibly a lightweight stock screener (like Yahoo or Finviz) for bulk queries. If external screener APIs are used, handle their latency gracefully (e.g. by caching or running in parallel). The scanning can run in its own thread or process to avoid blocking the main trading system</w:t>
      </w:r>
      <w:hyperlink r:id="rId46">
        <w:r>
          <w:rPr>
            <w:rStyle w:val="Hyperlink"/>
          </w:rPr>
          <w:t xml:space="preserve">[22]</w:t>
        </w:r>
      </w:hyperlink>
      <w:r>
        <w:t xml:space="preserve">. In all cases, the scanner simply needs to gather the data and apply the filters quickly; it is not an HFT activity, but it should finish within a few minutes at most.</w:t>
      </w:r>
    </w:p>
    <w:p>
      <w:pPr>
        <w:pStyle w:val="BodyText"/>
      </w:pPr>
      <w:r>
        <w:t xml:space="preserve">If the scanner relies on IBKR’s streaming data, it must check that the data subscriptions are active before scanning. If IBKR cannot provide live quotes (e.g. missing subscription), the system should log a warning and either skip those symbols or use delayed data (knowing the limitations)</w:t>
      </w:r>
      <w:hyperlink r:id="rId22">
        <w:r>
          <w:rPr>
            <w:rStyle w:val="Hyperlink"/>
          </w:rPr>
          <w:t xml:space="preserve">[2]</w:t>
        </w:r>
      </w:hyperlink>
      <w:hyperlink r:id="rId46">
        <w:r>
          <w:rPr>
            <w:rStyle w:val="Hyperlink"/>
          </w:rPr>
          <w:t xml:space="preserve">[22]</w:t>
        </w:r>
      </w:hyperlink>
      <w:r>
        <w:t xml:space="preserve">.</w:t>
      </w:r>
    </w:p>
    <w:bookmarkEnd w:id="47"/>
    <w:bookmarkStart w:id="51" w:name="summary"/>
    <w:p>
      <w:pPr>
        <w:pStyle w:val="Heading2"/>
      </w:pPr>
      <w:r>
        <w:t xml:space="preserve">Summary</w:t>
      </w:r>
    </w:p>
    <w:p>
      <w:pPr>
        <w:pStyle w:val="FirstParagraph"/>
      </w:pPr>
      <w:r>
        <w:t xml:space="preserve">In summary, the Pre-Market Scanner is the “game plan” preparation step for the PS60 strategy</w:t>
      </w:r>
      <w:hyperlink r:id="rId21">
        <w:r>
          <w:rPr>
            <w:rStyle w:val="Hyperlink"/>
          </w:rPr>
          <w:t xml:space="preserve">[1]</w:t>
        </w:r>
      </w:hyperlink>
      <w:r>
        <w:t xml:space="preserve">. It systematically identifies which stocks have interesting setups (gaps, patterns, etc.), calculates their pivot breakout prices, and presents human-readable rationale and context. This output – essentially a detailed pivot watchlist – is then fed to the PS60 Strategy Engine and shown on the trader’s dashboard before market open. By codifying this process (which a manual trader might do by hand each morning), the system ensures a consistent, transparent, and data-driven selection of only high-probability, “room-to-run” breakouts</w:t>
      </w:r>
      <w:hyperlink r:id="rId28">
        <w:r>
          <w:rPr>
            <w:rStyle w:val="Hyperlink"/>
          </w:rPr>
          <w:t xml:space="preserve">[7]</w:t>
        </w:r>
      </w:hyperlink>
      <w:hyperlink r:id="rId21">
        <w:r>
          <w:rPr>
            <w:rStyle w:val="Hyperlink"/>
          </w:rPr>
          <w:t xml:space="preserve">[1]</w:t>
        </w:r>
      </w:hyperlink>
      <w:r>
        <w:t xml:space="preserve">. All choices and thresholds are documented in the config, and every watchlist entry includes enough explanation (without shorthand) that an experienced trader or developer can understand why each stock was selected or skipped.</w:t>
      </w:r>
    </w:p>
    <w:p>
      <w:pPr>
        <w:pStyle w:val="BodyText"/>
      </w:pPr>
      <w:r>
        <w:rPr>
          <w:b/>
          <w:bCs/>
        </w:rPr>
        <w:t xml:space="preserve">References:</w:t>
      </w:r>
      <w:r>
        <w:t xml:space="preserve"> </w:t>
      </w:r>
      <w:r>
        <w:t xml:space="preserve">The scanner logic follows PS60 trading principles and best practices</w:t>
      </w:r>
      <w:hyperlink r:id="rId48">
        <w:r>
          <w:rPr>
            <w:rStyle w:val="Hyperlink"/>
          </w:rPr>
          <w:t xml:space="preserve">[23]</w:t>
        </w:r>
      </w:hyperlink>
      <w:hyperlink r:id="rId49">
        <w:r>
          <w:rPr>
            <w:rStyle w:val="Hyperlink"/>
          </w:rPr>
          <w:t xml:space="preserve">[24]</w:t>
        </w:r>
      </w:hyperlink>
      <w:r>
        <w:t xml:space="preserve">, including guidelines from sources such as [Dan Shapiro’s PS60 methodology] and general technical analysis knowledge (e.g. definitions of moving averages and chart patterns</w:t>
      </w:r>
      <w:hyperlink r:id="rId50">
        <w:r>
          <w:rPr>
            <w:rStyle w:val="Hyperlink"/>
          </w:rPr>
          <w:t xml:space="preserve">[25]</w:t>
        </w:r>
      </w:hyperlink>
      <w:hyperlink r:id="rId33">
        <w:r>
          <w:rPr>
            <w:rStyle w:val="Hyperlink"/>
          </w:rPr>
          <w:t xml:space="preserve">[12]</w:t>
        </w:r>
      </w:hyperlink>
      <w:r>
        <w:t xml:space="preserve">). These principles are implemented in code (e.g. via IBKR API) according to this specification.</w:t>
      </w:r>
    </w:p>
    <w:bookmarkEnd w:id="51"/>
    <w:bookmarkEnd w:id="52"/>
    <w:bookmarkEnd w:id="53"/>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29">
        <w:r>
          <w:rPr>
            <w:rStyle w:val="Hyperlink"/>
          </w:rPr>
          <w:t xml:space="preserve">[10]</w:t>
        </w:r>
      </w:hyperlink>
      <w:r>
        <w:t xml:space="preserve"> </w:t>
      </w:r>
      <w:hyperlink r:id="rId31">
        <w:r>
          <w:rPr>
            <w:rStyle w:val="Hyperlink"/>
          </w:rPr>
          <w:t xml:space="preserve">[11]</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r>
        <w:t xml:space="preserve">Real-Time Day Trading System – PS60 Algorithm (Requirements Specification) (1).docx</w:t>
      </w:r>
    </w:p>
    <w:p>
      <w:pPr>
        <w:pStyle w:val="BodyText"/>
      </w:pPr>
      <w:hyperlink r:id="rId54">
        <w:r>
          <w:rPr>
            <w:rStyle w:val="Hyperlink"/>
          </w:rPr>
          <w:t xml:space="preserve">file://file-LWG9dXNyiP5FGfXTzm33bc</w:t>
        </w:r>
      </w:hyperlink>
    </w:p>
    <w:p>
      <w:pPr>
        <w:pStyle w:val="BodyText"/>
      </w:pPr>
      <w:hyperlink r:id="rId33">
        <w:r>
          <w:rPr>
            <w:rStyle w:val="Hyperlink"/>
          </w:rPr>
          <w:t xml:space="preserve">[12]</w:t>
        </w:r>
      </w:hyperlink>
      <w:r>
        <w:t xml:space="preserve"> </w:t>
      </w:r>
      <w:r>
        <w:t xml:space="preserve">Consolidation: Meaning, How It Works, and Example</w:t>
      </w:r>
    </w:p>
    <w:p>
      <w:pPr>
        <w:pStyle w:val="BodyText"/>
      </w:pPr>
      <w:hyperlink r:id="rId55">
        <w:r>
          <w:rPr>
            <w:rStyle w:val="Hyperlink"/>
          </w:rPr>
          <w:t xml:space="preserve">https://www.investopedia.com/terms/c/consolidation.asp</w:t>
        </w:r>
      </w:hyperlink>
    </w:p>
    <w:p>
      <w:pPr>
        <w:pStyle w:val="BodyText"/>
      </w:pPr>
      <w:hyperlink r:id="rId42">
        <w:r>
          <w:rPr>
            <w:rStyle w:val="Hyperlink"/>
          </w:rPr>
          <w:t xml:space="preserve">[20]</w:t>
        </w:r>
      </w:hyperlink>
      <w:r>
        <w:t xml:space="preserve"> </w:t>
      </w:r>
      <w:hyperlink r:id="rId50">
        <w:r>
          <w:rPr>
            <w:rStyle w:val="Hyperlink"/>
          </w:rPr>
          <w:t xml:space="preserve">[25]</w:t>
        </w:r>
      </w:hyperlink>
      <w:r>
        <w:t xml:space="preserve"> </w:t>
      </w:r>
      <w:r>
        <w:t xml:space="preserve">Moving Average (MA): Purpose, Uses, Formula, and Examples</w:t>
      </w:r>
    </w:p>
    <w:p>
      <w:pPr>
        <w:pStyle w:val="BodyText"/>
      </w:pPr>
      <w:hyperlink r:id="rId56">
        <w:r>
          <w:rPr>
            <w:rStyle w:val="Hyperlink"/>
          </w:rPr>
          <w:t xml:space="preserve">https://www.investopedia.com/terms/m/movingaverage.asp</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file://file-LWG9dXNyiP5FGfXTzm33bc" TargetMode="External" /><Relationship Type="http://schemas.openxmlformats.org/officeDocument/2006/relationships/hyperlink" Id="rId45" Target="file://file-LWG9dXNyiP5FGfXTzm33bc#:~:text=Configuration%3A%20The%20user%20can%20configure,system%20with%20too%20many%20symbols" TargetMode="External" /><Relationship Type="http://schemas.openxmlformats.org/officeDocument/2006/relationships/hyperlink" Id="rId25" Target="file://file-LWG9dXNyiP5FGfXTzm33bc#:~:text=For%20instance%2C%20using%20a%20screener,17" TargetMode="External" /><Relationship Type="http://schemas.openxmlformats.org/officeDocument/2006/relationships/hyperlink" Id="rId48" Target="file://file-LWG9dXNyiP5FGfXTzm33bc#:~:text=Gap%20and%20Relative%20Volume%3A%20Stocks,17" TargetMode="External" /><Relationship Type="http://schemas.openxmlformats.org/officeDocument/2006/relationships/hyperlink" Id="rId26" Target="file://file-LWG9dXNyiP5FGfXTzm33bc#:~:text=Gap%20and%20Relative%20Volume%3A%20Stocks,potential%20trend%20for%20the%20day" TargetMode="External" /><Relationship Type="http://schemas.openxmlformats.org/officeDocument/2006/relationships/hyperlink" Id="rId41" Target="file://file-LWG9dXNyiP5FGfXTzm33bc#:~:text=Identify%20short,a%20cluster%20of%20SMA%20lines" TargetMode="External" /><Relationship Type="http://schemas.openxmlformats.org/officeDocument/2006/relationships/hyperlink" Id="rId36" Target="file://file-LWG9dXNyiP5FGfXTzm33bc#:~:text=Market%20Trend%2FIndex%20Leaders%3A%20The%20scanner,they%20often%20set%20the%20tone" TargetMode="External" /><Relationship Type="http://schemas.openxmlformats.org/officeDocument/2006/relationships/hyperlink" Id="rId31" Target="file://file-LWG9dXNyiP5FGfXTzm33bc#:~:text=News%20Catalyst%20,if%20available%20for%20this%20purpose" TargetMode="External" /><Relationship Type="http://schemas.openxmlformats.org/officeDocument/2006/relationships/hyperlink" Id="rId35" Target="file://file-LWG9dXNyiP5FGfXTzm33bc#:~:text=No%20Immediate%20Obstacles%3A%20As%20per,clear%20air%20above%2Fbelow%20are%20preferred" TargetMode="External" /><Relationship Type="http://schemas.openxmlformats.org/officeDocument/2006/relationships/hyperlink" Id="rId21" Target="file://file-LWG9dXNyiP5FGfXTzm33bc#:~:text=Overall%2C%20the%20Pre,aligned%20with%20the%20PS60%20process" TargetMode="External" /><Relationship Type="http://schemas.openxmlformats.org/officeDocument/2006/relationships/hyperlink" Id="rId46" Target="file://file-LWG9dXNyiP5FGfXTzm33bc#:~:text=Performance%20Considerations%3A%20The%20scanning%20should,is%20not%20blocked" TargetMode="External" /><Relationship Type="http://schemas.openxmlformats.org/officeDocument/2006/relationships/hyperlink" Id="rId28" Target="file://file-LWG9dXNyiP5FGfXTzm33bc#:~:text=Pre,a%20stock%20opens%20above%20yesterday%E2%80%99s" TargetMode="External" /><Relationship Type="http://schemas.openxmlformats.org/officeDocument/2006/relationships/hyperlink" Id="rId39" Target="file://file-LWG9dXNyiP5FGfXTzm33bc#:~:text=Pre,g" TargetMode="External" /><Relationship Type="http://schemas.openxmlformats.org/officeDocument/2006/relationships/hyperlink" Id="rId22" Target="file://file-LWG9dXNyiP5FGfXTzm33bc#:~:text=Scan%20Timing%3A%20The%20scanner%20will,the%20target%20instruments%20are%20active" TargetMode="External" /><Relationship Type="http://schemas.openxmlformats.org/officeDocument/2006/relationships/hyperlink" Id="rId30" Target="file://file-LWG9dXNyiP5FGfXTzm33bc#:~:text=Simple%20Moving%20Averages%20" TargetMode="External" /><Relationship Type="http://schemas.openxmlformats.org/officeDocument/2006/relationships/hyperlink" Id="rId29" Target="file://file-LWG9dXNyiP5FGfXTzm33bc#:~:text=Technical%20Setup%20from%20Prior%20Day%3A,20" TargetMode="External" /><Relationship Type="http://schemas.openxmlformats.org/officeDocument/2006/relationships/hyperlink" Id="rId34" Target="file://file-LWG9dXNyiP5FGfXTzm33bc#:~:text=Today%E2%80%99s%20Watchlist%3A%201.%20,00%20%3D%20100MA%2C%20so%20cautious" TargetMode="External" /><Relationship Type="http://schemas.openxmlformats.org/officeDocument/2006/relationships/hyperlink" Id="rId40" Target="file://file-LWG9dXNyiP5FGfXTzm33bc#:~:text=Today%E2%80%99s%20Watchlist%3A%201.%20,680" TargetMode="External" /><Relationship Type="http://schemas.openxmlformats.org/officeDocument/2006/relationships/hyperlink" Id="rId24" Target="file://file-LWG9dXNyiP5FGfXTzm33bc#:~:text=Universe%20of%20Stocks%3A%20The%20scanner,a%20certain%20price%20or%20volume" TargetMode="External" /><Relationship Type="http://schemas.openxmlformats.org/officeDocument/2006/relationships/hyperlink" Id="rId23" Target="file://file-LWG9dXNyiP5FGfXTzm33bc#:~:text=Updates%20After%20Open%3A%20Optionally%2C%20the,the%20same%20filtering%20rules%20applied" TargetMode="External" /><Relationship Type="http://schemas.openxmlformats.org/officeDocument/2006/relationships/hyperlink" Id="rId49" Target="file://file-LWG9dXNyiP5FGfXTzm33bc#:~:text=Watchlist%20%26%20Context%20Output%3A%20The,%E2%80%9CNasdaq" TargetMode="External" /><Relationship Type="http://schemas.openxmlformats.org/officeDocument/2006/relationships/hyperlink" Id="rId37" Target="file://file-LWG9dXNyiP5FGfXTzm33bc#:~:text=focus%20on,trader%20understand%20the%20day%E2%80%99s%20setup" TargetMode="External" /><Relationship Type="http://schemas.openxmlformats.org/officeDocument/2006/relationships/hyperlink" Id="rId55" Target="https://www.investopedia.com/terms/c/consolidation.asp" TargetMode="External" /><Relationship Type="http://schemas.openxmlformats.org/officeDocument/2006/relationships/hyperlink" Id="rId33" Target="https://www.investopedia.com/terms/c/consolidation.asp#:~:text=resistance%20levels%20within%20a%20consolidation,level%20is%20the%20lower%20end" TargetMode="External" /><Relationship Type="http://schemas.openxmlformats.org/officeDocument/2006/relationships/hyperlink" Id="rId56" Target="https://www.investopedia.com/terms/m/movingaverage.asp" TargetMode="External" /><Relationship Type="http://schemas.openxmlformats.org/officeDocument/2006/relationships/hyperlink" Id="rId50" Target="https://www.investopedia.com/terms/m/movingaverage.asp#:~:text=A%20simple%20moving%20average%20,a%20security%20is%20as%20follows" TargetMode="External" /><Relationship Type="http://schemas.openxmlformats.org/officeDocument/2006/relationships/hyperlink" Id="rId42" Target="https://www.investopedia.com/terms/m/movingaverage.asp#:~:text=The%20longer%20the%20period%20for,to%20be%20important%20trading%20signals" TargetMode="External" /></Relationships>
</file>

<file path=word/_rels/footnotes.xml.rels><?xml version="1.0" encoding="UTF-8"?><Relationships xmlns="http://schemas.openxmlformats.org/package/2006/relationships"><Relationship Type="http://schemas.openxmlformats.org/officeDocument/2006/relationships/hyperlink" Id="rId54" Target="file://file-LWG9dXNyiP5FGfXTzm33bc" TargetMode="External" /><Relationship Type="http://schemas.openxmlformats.org/officeDocument/2006/relationships/hyperlink" Id="rId45" Target="file://file-LWG9dXNyiP5FGfXTzm33bc#:~:text=Configuration%3A%20The%20user%20can%20configure,system%20with%20too%20many%20symbols" TargetMode="External" /><Relationship Type="http://schemas.openxmlformats.org/officeDocument/2006/relationships/hyperlink" Id="rId25" Target="file://file-LWG9dXNyiP5FGfXTzm33bc#:~:text=For%20instance%2C%20using%20a%20screener,17" TargetMode="External" /><Relationship Type="http://schemas.openxmlformats.org/officeDocument/2006/relationships/hyperlink" Id="rId48" Target="file://file-LWG9dXNyiP5FGfXTzm33bc#:~:text=Gap%20and%20Relative%20Volume%3A%20Stocks,17" TargetMode="External" /><Relationship Type="http://schemas.openxmlformats.org/officeDocument/2006/relationships/hyperlink" Id="rId26" Target="file://file-LWG9dXNyiP5FGfXTzm33bc#:~:text=Gap%20and%20Relative%20Volume%3A%20Stocks,potential%20trend%20for%20the%20day" TargetMode="External" /><Relationship Type="http://schemas.openxmlformats.org/officeDocument/2006/relationships/hyperlink" Id="rId41" Target="file://file-LWG9dXNyiP5FGfXTzm33bc#:~:text=Identify%20short,a%20cluster%20of%20SMA%20lines" TargetMode="External" /><Relationship Type="http://schemas.openxmlformats.org/officeDocument/2006/relationships/hyperlink" Id="rId36" Target="file://file-LWG9dXNyiP5FGfXTzm33bc#:~:text=Market%20Trend%2FIndex%20Leaders%3A%20The%20scanner,they%20often%20set%20the%20tone" TargetMode="External" /><Relationship Type="http://schemas.openxmlformats.org/officeDocument/2006/relationships/hyperlink" Id="rId31" Target="file://file-LWG9dXNyiP5FGfXTzm33bc#:~:text=News%20Catalyst%20,if%20available%20for%20this%20purpose" TargetMode="External" /><Relationship Type="http://schemas.openxmlformats.org/officeDocument/2006/relationships/hyperlink" Id="rId35" Target="file://file-LWG9dXNyiP5FGfXTzm33bc#:~:text=No%20Immediate%20Obstacles%3A%20As%20per,clear%20air%20above%2Fbelow%20are%20preferred" TargetMode="External" /><Relationship Type="http://schemas.openxmlformats.org/officeDocument/2006/relationships/hyperlink" Id="rId21" Target="file://file-LWG9dXNyiP5FGfXTzm33bc#:~:text=Overall%2C%20the%20Pre,aligned%20with%20the%20PS60%20process" TargetMode="External" /><Relationship Type="http://schemas.openxmlformats.org/officeDocument/2006/relationships/hyperlink" Id="rId46" Target="file://file-LWG9dXNyiP5FGfXTzm33bc#:~:text=Performance%20Considerations%3A%20The%20scanning%20should,is%20not%20blocked" TargetMode="External" /><Relationship Type="http://schemas.openxmlformats.org/officeDocument/2006/relationships/hyperlink" Id="rId28" Target="file://file-LWG9dXNyiP5FGfXTzm33bc#:~:text=Pre,a%20stock%20opens%20above%20yesterday%E2%80%99s" TargetMode="External" /><Relationship Type="http://schemas.openxmlformats.org/officeDocument/2006/relationships/hyperlink" Id="rId39" Target="file://file-LWG9dXNyiP5FGfXTzm33bc#:~:text=Pre,g" TargetMode="External" /><Relationship Type="http://schemas.openxmlformats.org/officeDocument/2006/relationships/hyperlink" Id="rId22" Target="file://file-LWG9dXNyiP5FGfXTzm33bc#:~:text=Scan%20Timing%3A%20The%20scanner%20will,the%20target%20instruments%20are%20active" TargetMode="External" /><Relationship Type="http://schemas.openxmlformats.org/officeDocument/2006/relationships/hyperlink" Id="rId30" Target="file://file-LWG9dXNyiP5FGfXTzm33bc#:~:text=Simple%20Moving%20Averages%20" TargetMode="External" /><Relationship Type="http://schemas.openxmlformats.org/officeDocument/2006/relationships/hyperlink" Id="rId29" Target="file://file-LWG9dXNyiP5FGfXTzm33bc#:~:text=Technical%20Setup%20from%20Prior%20Day%3A,20" TargetMode="External" /><Relationship Type="http://schemas.openxmlformats.org/officeDocument/2006/relationships/hyperlink" Id="rId34" Target="file://file-LWG9dXNyiP5FGfXTzm33bc#:~:text=Today%E2%80%99s%20Watchlist%3A%201.%20,00%20%3D%20100MA%2C%20so%20cautious" TargetMode="External" /><Relationship Type="http://schemas.openxmlformats.org/officeDocument/2006/relationships/hyperlink" Id="rId40" Target="file://file-LWG9dXNyiP5FGfXTzm33bc#:~:text=Today%E2%80%99s%20Watchlist%3A%201.%20,680" TargetMode="External" /><Relationship Type="http://schemas.openxmlformats.org/officeDocument/2006/relationships/hyperlink" Id="rId24" Target="file://file-LWG9dXNyiP5FGfXTzm33bc#:~:text=Universe%20of%20Stocks%3A%20The%20scanner,a%20certain%20price%20or%20volume" TargetMode="External" /><Relationship Type="http://schemas.openxmlformats.org/officeDocument/2006/relationships/hyperlink" Id="rId23" Target="file://file-LWG9dXNyiP5FGfXTzm33bc#:~:text=Updates%20After%20Open%3A%20Optionally%2C%20the,the%20same%20filtering%20rules%20applied" TargetMode="External" /><Relationship Type="http://schemas.openxmlformats.org/officeDocument/2006/relationships/hyperlink" Id="rId49" Target="file://file-LWG9dXNyiP5FGfXTzm33bc#:~:text=Watchlist%20%26%20Context%20Output%3A%20The,%E2%80%9CNasdaq" TargetMode="External" /><Relationship Type="http://schemas.openxmlformats.org/officeDocument/2006/relationships/hyperlink" Id="rId37" Target="file://file-LWG9dXNyiP5FGfXTzm33bc#:~:text=focus%20on,trader%20understand%20the%20day%E2%80%99s%20setup" TargetMode="External" /><Relationship Type="http://schemas.openxmlformats.org/officeDocument/2006/relationships/hyperlink" Id="rId55" Target="https://www.investopedia.com/terms/c/consolidation.asp" TargetMode="External" /><Relationship Type="http://schemas.openxmlformats.org/officeDocument/2006/relationships/hyperlink" Id="rId33" Target="https://www.investopedia.com/terms/c/consolidation.asp#:~:text=resistance%20levels%20within%20a%20consolidation,level%20is%20the%20lower%20end" TargetMode="External" /><Relationship Type="http://schemas.openxmlformats.org/officeDocument/2006/relationships/hyperlink" Id="rId56" Target="https://www.investopedia.com/terms/m/movingaverage.asp" TargetMode="External" /><Relationship Type="http://schemas.openxmlformats.org/officeDocument/2006/relationships/hyperlink" Id="rId50" Target="https://www.investopedia.com/terms/m/movingaverage.asp#:~:text=A%20simple%20moving%20average%20,a%20security%20is%20as%20follows" TargetMode="External" /><Relationship Type="http://schemas.openxmlformats.org/officeDocument/2006/relationships/hyperlink" Id="rId42" Target="https://www.investopedia.com/terms/m/movingaverage.asp#:~:text=The%20longer%20the%20period%20for,to%20be%20important%20trading%20sign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2025-09-27T18:52:00Z</dcterms:created>
  <dcterms:modified xsi:type="dcterms:W3CDTF">2025-09-27T18:52:00Z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