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6a5789cee231ae5ab7b9fcbabba20a50371c250"/>
    <w:p>
      <w:pPr>
        <w:pStyle w:val="Heading1"/>
      </w:pPr>
      <w:r>
        <w:t xml:space="preserve">Pre-Market Scanner for PS60 – Requirements &amp; Implementation Plan</w:t>
      </w:r>
    </w:p>
    <w:p>
      <w:pPr>
        <w:pStyle w:val="FirstParagraph"/>
      </w:pPr>
      <w:r>
        <w:t xml:space="preserve">The</w:t>
      </w:r>
      <w:r>
        <w:t xml:space="preserve"> </w:t>
      </w:r>
      <w:r>
        <w:rPr>
          <w:b/>
          <w:bCs/>
        </w:rPr>
        <w:t xml:space="preserve">Pre-Market Scanner</w:t>
      </w:r>
      <w:r>
        <w:t xml:space="preserve"> </w:t>
      </w:r>
      <w:r>
        <w:t xml:space="preserve">is a crucial PS60 subsystem run before market open each trading day. Its purpose is to assemble the day’s</w:t>
      </w:r>
      <w:r>
        <w:t xml:space="preserve"> </w:t>
      </w:r>
      <w:r>
        <w:rPr>
          <w:b/>
          <w:bCs/>
        </w:rPr>
        <w:t xml:space="preserve">watchlist</w:t>
      </w:r>
      <w:r>
        <w:t xml:space="preserve"> </w:t>
      </w:r>
      <w:r>
        <w:t xml:space="preserve">of candidate stocks and summarize the market context. In practice, it simulates the “homework” a PS60 trader does each morning: gathering pre-market quotes, identifying breakout pivot levels (from prior daily charts), noting any news catalysts or heavy moves, and assessing overall market bias. The scanner must run during pre-market hours (e.g. ~8:00–9:30 AM ET) and potentially once more shortly after the open</w:t>
      </w:r>
      <w:hyperlink r:id="rId21">
        <w:r>
          <w:rPr>
            <w:rStyle w:val="Hyperlink"/>
          </w:rPr>
          <w:t xml:space="preserve">[1]</w:t>
        </w:r>
      </w:hyperlink>
      <w:r>
        <w:t xml:space="preserve">. By delivering a curated list of symbols, pivot prices, and rationale (e.g. “earnings beat, gapping +5%”), along with a brief market summary (e.g. futures +1%, bullish bias), it provides the PS60 Strategy Engine with a clear game plan for the day</w:t>
      </w:r>
      <w:hyperlink r:id="rId22">
        <w:r>
          <w:rPr>
            <w:rStyle w:val="Hyperlink"/>
          </w:rPr>
          <w:t xml:space="preserve">[2]</w:t>
        </w:r>
      </w:hyperlink>
      <w:r>
        <w:t xml:space="preserve">.</w:t>
      </w:r>
    </w:p>
    <w:bookmarkStart w:id="37" w:name="X9eebfc401a65faa70a67c38efd4192016b93ac3"/>
    <w:p>
      <w:pPr>
        <w:pStyle w:val="Heading2"/>
      </w:pPr>
      <w:r>
        <w:t xml:space="preserve">Functional Requirements (Restated &amp; Enhanced)</w:t>
      </w:r>
    </w:p>
    <w:p>
      <w:pPr>
        <w:pStyle w:val="FirstParagraph"/>
      </w:pPr>
      <w:r>
        <w:t xml:space="preserve">The original requirements (PS60 doc §2.2</w:t>
      </w:r>
      <w:hyperlink r:id="rId23">
        <w:r>
          <w:rPr>
            <w:rStyle w:val="Hyperlink"/>
          </w:rPr>
          <w:t xml:space="preserve">[3]</w:t>
        </w:r>
      </w:hyperlink>
      <w:r>
        <w:t xml:space="preserve">) can be organized into key capabilities:</w:t>
      </w:r>
    </w:p>
    <w:p>
      <w:pPr>
        <w:numPr>
          <w:ilvl w:val="0"/>
          <w:numId w:val="1001"/>
        </w:numPr>
      </w:pPr>
      <w:r>
        <w:rPr>
          <w:b/>
          <w:bCs/>
        </w:rPr>
        <w:t xml:space="preserve">Scan Timing:</w:t>
      </w:r>
      <w:r>
        <w:t xml:space="preserve"> </w:t>
      </w:r>
      <w:r>
        <w:t xml:space="preserve">The scan runs in pre-market (e.g. 8:00–9:30 ET) and may optionally repeat after the market opens (e.g. 10:00 AM) to catch new movers</w:t>
      </w:r>
      <w:hyperlink r:id="rId21">
        <w:r>
          <w:rPr>
            <w:rStyle w:val="Hyperlink"/>
          </w:rPr>
          <w:t xml:space="preserve">[1]</w:t>
        </w:r>
      </w:hyperlink>
      <w:hyperlink r:id="rId24">
        <w:r>
          <w:rPr>
            <w:rStyle w:val="Hyperlink"/>
          </w:rPr>
          <w:t xml:space="preserve">[4]</w:t>
        </w:r>
      </w:hyperlink>
      <w:r>
        <w:t xml:space="preserve">. It can be scheduled automatically or triggered manually via the UI. Before scanning, the system verifies the IBKR connection is live and all needed market data subscriptions are active</w:t>
      </w:r>
      <w:hyperlink r:id="rId25">
        <w:r>
          <w:rPr>
            <w:rStyle w:val="Hyperlink"/>
          </w:rPr>
          <w:t xml:space="preserve">[5]</w:t>
        </w:r>
      </w:hyperlink>
      <w:r>
        <w:t xml:space="preserve">.</w:t>
      </w:r>
    </w:p>
    <w:p>
      <w:pPr>
        <w:numPr>
          <w:ilvl w:val="0"/>
          <w:numId w:val="1001"/>
        </w:numPr>
      </w:pPr>
      <w:r>
        <w:rPr>
          <w:b/>
          <w:bCs/>
        </w:rPr>
        <w:t xml:space="preserve">Stock Universe:</w:t>
      </w:r>
      <w:r>
        <w:t xml:space="preserve"> </w:t>
      </w:r>
      <w:r>
        <w:t xml:space="preserve">The scanner operates on a</w:t>
      </w:r>
      <w:r>
        <w:t xml:space="preserve"> </w:t>
      </w:r>
      <w:r>
        <w:rPr>
          <w:b/>
          <w:bCs/>
        </w:rPr>
        <w:t xml:space="preserve">configurable universe</w:t>
      </w:r>
      <w:r>
        <w:t xml:space="preserve"> </w:t>
      </w:r>
      <w:r>
        <w:t xml:space="preserve">of tickers</w:t>
      </w:r>
      <w:hyperlink r:id="rId26">
        <w:r>
          <w:rPr>
            <w:rStyle w:val="Hyperlink"/>
          </w:rPr>
          <w:t xml:space="preserve">[6]</w:t>
        </w:r>
      </w:hyperlink>
      <w:r>
        <w:t xml:space="preserve">. By default this might be a broad index (e.g. NASDAQ-100, S&amp;P 500) or a watchlist of popular liquid stocks. The user can override or filter this list – for example, limiting to symbols above a certain price/volume or including personal favorites</w:t>
      </w:r>
      <w:hyperlink r:id="rId26">
        <w:r>
          <w:rPr>
            <w:rStyle w:val="Hyperlink"/>
          </w:rPr>
          <w:t xml:space="preserve">[6]</w:t>
        </w:r>
      </w:hyperlink>
      <w:r>
        <w:t xml:space="preserve">. (Implementation note: this list can be read from a config file or database.)</w:t>
      </w:r>
    </w:p>
    <w:p>
      <w:pPr>
        <w:numPr>
          <w:ilvl w:val="0"/>
          <w:numId w:val="1001"/>
        </w:numPr>
      </w:pPr>
      <w:r>
        <w:rPr>
          <w:b/>
          <w:bCs/>
        </w:rPr>
        <w:t xml:space="preserve">Data Gathering:</w:t>
      </w:r>
      <w:r>
        <w:t xml:space="preserve"> </w:t>
      </w:r>
      <w:r>
        <w:t xml:space="preserve">For each symbol, the scanner fetches relevant pre-market and historical data</w:t>
      </w:r>
      <w:hyperlink r:id="rId27">
        <w:r>
          <w:rPr>
            <w:rStyle w:val="Hyperlink"/>
          </w:rPr>
          <w:t xml:space="preserve">[7]</w:t>
        </w:r>
      </w:hyperlink>
      <w:r>
        <w:t xml:space="preserve">. This includes pre-market last price and volume (e.g. via IBKR Level I quotes or an external API), the gap percentage from prior close, and any scheduled events (earnings, guidance). It also retrieves</w:t>
      </w:r>
      <w:r>
        <w:t xml:space="preserve"> </w:t>
      </w:r>
      <w:r>
        <w:rPr>
          <w:b/>
          <w:bCs/>
        </w:rPr>
        <w:t xml:space="preserve">prior-day key levels</w:t>
      </w:r>
      <w:r>
        <w:t xml:space="preserve"> </w:t>
      </w:r>
      <w:r>
        <w:t xml:space="preserve">(previous close, high, low) and necessary chart data to compute indicators. Specifically, recent daily and 60-minute bar data will be obtained to calculate the PS60 technical levels (moving averages, Bollinger Bands, regression lines, etc.)</w:t>
      </w:r>
      <w:hyperlink r:id="rId27">
        <w:r>
          <w:rPr>
            <w:rStyle w:val="Hyperlink"/>
          </w:rPr>
          <w:t xml:space="preserve">[7]</w:t>
        </w:r>
      </w:hyperlink>
      <w:r>
        <w:t xml:space="preserve">. (Some data like gap% or news flags may come from feeds; other info, like chart patterns or technical levels, is computed from the price series.)</w:t>
      </w:r>
    </w:p>
    <w:p>
      <w:pPr>
        <w:numPr>
          <w:ilvl w:val="0"/>
          <w:numId w:val="1001"/>
        </w:numPr>
      </w:pPr>
      <w:r>
        <w:rPr>
          <w:b/>
          <w:bCs/>
        </w:rPr>
        <w:t xml:space="preserve">Filtering Criteria:</w:t>
      </w:r>
      <w:r>
        <w:t xml:space="preserve"> </w:t>
      </w:r>
      <w:r>
        <w:t xml:space="preserve">The scanner applies PS60-aligned filters to shortlist</w:t>
      </w:r>
      <w:r>
        <w:t xml:space="preserve"> </w:t>
      </w:r>
      <w:r>
        <w:rPr>
          <w:i/>
          <w:iCs/>
        </w:rPr>
        <w:t xml:space="preserve">interesting</w:t>
      </w:r>
      <w:r>
        <w:t xml:space="preserve"> </w:t>
      </w:r>
      <w:r>
        <w:t xml:space="preserve">stocks</w:t>
      </w:r>
      <w:hyperlink r:id="rId28">
        <w:r>
          <w:rPr>
            <w:rStyle w:val="Hyperlink"/>
          </w:rPr>
          <w:t xml:space="preserve">[8]</w:t>
        </w:r>
      </w:hyperlink>
      <w:r>
        <w:t xml:space="preserve">:</w:t>
      </w:r>
    </w:p>
    <w:p>
      <w:pPr>
        <w:pStyle w:val="Compact"/>
        <w:numPr>
          <w:ilvl w:val="0"/>
          <w:numId w:val="1001"/>
        </w:numPr>
      </w:pPr>
      <w:r>
        <w:rPr>
          <w:b/>
          <w:bCs/>
        </w:rPr>
        <w:t xml:space="preserve">Gap and Relative Volume:</w:t>
      </w:r>
      <w:r>
        <w:t xml:space="preserve"> </w:t>
      </w:r>
      <w:r>
        <w:t xml:space="preserve">Identify stocks gapping significantly (e.g. &gt;±2%) with pre-market volume well above average</w:t>
      </w:r>
      <w:hyperlink r:id="rId29">
        <w:r>
          <w:rPr>
            <w:rStyle w:val="Hyperlink"/>
          </w:rPr>
          <w:t xml:space="preserve">[9]</w:t>
        </w:r>
      </w:hyperlink>
      <w:r>
        <w:t xml:space="preserve">. Such breakouts often signal a catalyst. In practice, one might use screener rules like “Price change &gt;2% &amp; pre-market volume &gt;2× normal” to find “stocks in play”</w:t>
      </w:r>
      <w:hyperlink r:id="rId29">
        <w:r>
          <w:rPr>
            <w:rStyle w:val="Hyperlink"/>
          </w:rPr>
          <w:t xml:space="preserve">[9]</w:t>
        </w:r>
      </w:hyperlink>
      <w:r>
        <w:t xml:space="preserve">.</w:t>
      </w:r>
    </w:p>
    <w:p>
      <w:pPr>
        <w:pStyle w:val="Compact"/>
        <w:numPr>
          <w:ilvl w:val="0"/>
          <w:numId w:val="1001"/>
        </w:numPr>
      </w:pPr>
      <w:r>
        <w:rPr>
          <w:b/>
          <w:bCs/>
        </w:rPr>
        <w:t xml:space="preserve">Prior-Day Technical Setup:</w:t>
      </w:r>
      <w:r>
        <w:t xml:space="preserve"> </w:t>
      </w:r>
      <w:r>
        <w:t xml:space="preserve">Favor stocks with bullish/bearish patterns on the previous daily chart (e.g. multi-week bases or breakouts)</w:t>
      </w:r>
      <w:hyperlink r:id="rId30">
        <w:r>
          <w:rPr>
            <w:rStyle w:val="Hyperlink"/>
          </w:rPr>
          <w:t xml:space="preserve">[10]</w:t>
        </w:r>
      </w:hyperlink>
      <w:r>
        <w:t xml:space="preserve">. For example, yesterday’s high might become today’s breakout pivot</w:t>
      </w:r>
      <w:hyperlink r:id="rId30">
        <w:r>
          <w:rPr>
            <w:rStyle w:val="Hyperlink"/>
          </w:rPr>
          <w:t xml:space="preserve">[10]</w:t>
        </w:r>
      </w:hyperlink>
      <w:r>
        <w:t xml:space="preserve">.</w:t>
      </w:r>
    </w:p>
    <w:p>
      <w:pPr>
        <w:pStyle w:val="Compact"/>
        <w:numPr>
          <w:ilvl w:val="0"/>
          <w:numId w:val="1001"/>
        </w:numPr>
      </w:pPr>
      <w:r>
        <w:rPr>
          <w:b/>
          <w:bCs/>
        </w:rPr>
        <w:t xml:space="preserve">No Immediate Obstacles:</w:t>
      </w:r>
      <w:r>
        <w:t xml:space="preserve"> </w:t>
      </w:r>
      <w:r>
        <w:t xml:space="preserve">Check “room to run” on the daily chart</w:t>
      </w:r>
      <w:hyperlink r:id="rId31">
        <w:r>
          <w:rPr>
            <w:rStyle w:val="Hyperlink"/>
          </w:rPr>
          <w:t xml:space="preserve">[11]</w:t>
        </w:r>
      </w:hyperlink>
      <w:r>
        <w:t xml:space="preserve">. If a major resistance (like the 200-day SMA) lies just above current price, the stock may be excluded or flagged as limited, since it could run into a barrier</w:t>
      </w:r>
      <w:hyperlink r:id="rId31">
        <w:r>
          <w:rPr>
            <w:rStyle w:val="Hyperlink"/>
          </w:rPr>
          <w:t xml:space="preserve">[11]</w:t>
        </w:r>
      </w:hyperlink>
      <w:r>
        <w:t xml:space="preserve">.</w:t>
      </w:r>
    </w:p>
    <w:p>
      <w:pPr>
        <w:pStyle w:val="Compact"/>
        <w:numPr>
          <w:ilvl w:val="0"/>
          <w:numId w:val="1001"/>
        </w:numPr>
      </w:pPr>
      <w:r>
        <w:rPr>
          <w:b/>
          <w:bCs/>
        </w:rPr>
        <w:t xml:space="preserve">News Catalyst (Optional):</w:t>
      </w:r>
      <w:r>
        <w:t xml:space="preserve"> </w:t>
      </w:r>
      <w:r>
        <w:t xml:space="preserve">Highlight any stock with significant news (earnings, upgrades, FDA decisions, etc.) that might drive volatility</w:t>
      </w:r>
      <w:hyperlink r:id="rId32">
        <w:r>
          <w:rPr>
            <w:rStyle w:val="Hyperlink"/>
          </w:rPr>
          <w:t xml:space="preserve">[12]</w:t>
        </w:r>
      </w:hyperlink>
      <w:r>
        <w:t xml:space="preserve">. News feeds (from IBKR or public APIs) can flag these events.</w:t>
      </w:r>
    </w:p>
    <w:p>
      <w:pPr>
        <w:numPr>
          <w:ilvl w:val="0"/>
          <w:numId w:val="1001"/>
        </w:numPr>
      </w:pPr>
      <w:r>
        <w:rPr>
          <w:b/>
          <w:bCs/>
        </w:rPr>
        <w:t xml:space="preserve">Market Context/Leaders:</w:t>
      </w:r>
      <w:r>
        <w:t xml:space="preserve"> </w:t>
      </w:r>
      <w:r>
        <w:t xml:space="preserve">Assess overall pre-market trend by checking index futures (Nasdaq, S&amp;P) and key “leader” stocks (e.g. FAANG)</w:t>
      </w:r>
      <w:hyperlink r:id="rId33">
        <w:r>
          <w:rPr>
            <w:rStyle w:val="Hyperlink"/>
          </w:rPr>
          <w:t xml:space="preserve">[13]</w:t>
        </w:r>
      </w:hyperlink>
      <w:r>
        <w:t xml:space="preserve">. This helps gauge if the market bias is bullish or bearish.</w:t>
      </w:r>
    </w:p>
    <w:p>
      <w:pPr>
        <w:numPr>
          <w:ilvl w:val="0"/>
          <w:numId w:val="1001"/>
        </w:numPr>
      </w:pPr>
      <w:r>
        <w:rPr>
          <w:b/>
          <w:bCs/>
        </w:rPr>
        <w:t xml:space="preserve">Watchlist Output:</w:t>
      </w:r>
      <w:r>
        <w:t xml:space="preserve"> </w:t>
      </w:r>
      <w:r>
        <w:t xml:space="preserve">The primary output is a</w:t>
      </w:r>
      <w:r>
        <w:t xml:space="preserve"> </w:t>
      </w:r>
      <w:r>
        <w:rPr>
          <w:b/>
          <w:bCs/>
        </w:rPr>
        <w:t xml:space="preserve">Pivot Watchlist</w:t>
      </w:r>
      <w:r>
        <w:t xml:space="preserve"> </w:t>
      </w:r>
      <w:r>
        <w:t xml:space="preserve">for the day</w:t>
      </w:r>
      <w:hyperlink r:id="rId22">
        <w:r>
          <w:rPr>
            <w:rStyle w:val="Hyperlink"/>
          </w:rPr>
          <w:t xml:space="preserve">[2]</w:t>
        </w:r>
      </w:hyperlink>
      <w:r>
        <w:t xml:space="preserve">. For each selected symbol, the scanner reports:</w:t>
      </w:r>
    </w:p>
    <w:p>
      <w:pPr>
        <w:pStyle w:val="Compact"/>
        <w:numPr>
          <w:ilvl w:val="0"/>
          <w:numId w:val="1001"/>
        </w:numPr>
      </w:pPr>
      <w:r>
        <w:rPr>
          <w:b/>
          <w:bCs/>
        </w:rPr>
        <w:t xml:space="preserve">Pivot Level(s):</w:t>
      </w:r>
      <w:r>
        <w:t xml:space="preserve"> </w:t>
      </w:r>
      <w:r>
        <w:t xml:space="preserve">The price above which a long trade would trigger (e.g. yesterday’s high) and/or below which a short would trigger.</w:t>
      </w:r>
    </w:p>
    <w:p>
      <w:pPr>
        <w:pStyle w:val="Compact"/>
        <w:numPr>
          <w:ilvl w:val="0"/>
          <w:numId w:val="1001"/>
        </w:numPr>
      </w:pPr>
      <w:r>
        <w:rPr>
          <w:b/>
          <w:bCs/>
        </w:rPr>
        <w:t xml:space="preserve">Rationale:</w:t>
      </w:r>
      <w:r>
        <w:t xml:space="preserve"> </w:t>
      </w:r>
      <w:r>
        <w:t xml:space="preserve">A concise note (e.g. “earnings beat, +4% gap” or “multi-week base breakout”).</w:t>
      </w:r>
    </w:p>
    <w:p>
      <w:pPr>
        <w:numPr>
          <w:ilvl w:val="0"/>
          <w:numId w:val="1001"/>
        </w:numPr>
      </w:pPr>
      <w:r>
        <w:rPr>
          <w:b/>
          <w:bCs/>
        </w:rPr>
        <w:t xml:space="preserve">Key Zones:</w:t>
      </w:r>
      <w:r>
        <w:t xml:space="preserve"> </w:t>
      </w:r>
      <w:r>
        <w:t xml:space="preserve">Any immediate support/resistance (e.g. “50 SMA @ $X.XX”).</w:t>
      </w:r>
      <w:r>
        <w:br/>
      </w:r>
      <w:r>
        <w:t xml:space="preserve">This watchlist is made available on the dashboard before the open. In addition, the module generates a</w:t>
      </w:r>
      <w:r>
        <w:t xml:space="preserve"> </w:t>
      </w:r>
      <w:r>
        <w:rPr>
          <w:b/>
          <w:bCs/>
        </w:rPr>
        <w:t xml:space="preserve">market context summary</w:t>
      </w:r>
      <w:r>
        <w:t xml:space="preserve"> </w:t>
      </w:r>
      <w:r>
        <w:t xml:space="preserve">(e.g. “Nasdaq futures +1.2%, volatility elevated, bias bullish”)</w:t>
      </w:r>
      <w:hyperlink r:id="rId34">
        <w:r>
          <w:rPr>
            <w:rStyle w:val="Hyperlink"/>
          </w:rPr>
          <w:t xml:space="preserve">[14]</w:t>
        </w:r>
      </w:hyperlink>
      <w:r>
        <w:t xml:space="preserve">. Together, this informs the user of the day’s setup and what the strategy will monitor.</w:t>
      </w:r>
    </w:p>
    <w:p>
      <w:pPr>
        <w:numPr>
          <w:ilvl w:val="0"/>
          <w:numId w:val="1001"/>
        </w:numPr>
      </w:pPr>
      <w:r>
        <w:rPr>
          <w:b/>
          <w:bCs/>
        </w:rPr>
        <w:t xml:space="preserve">Intraday Rescan (Optional):</w:t>
      </w:r>
      <w:r>
        <w:t xml:space="preserve"> </w:t>
      </w:r>
      <w:r>
        <w:t xml:space="preserve">The scanner can optionally run updates</w:t>
      </w:r>
      <w:r>
        <w:t xml:space="preserve"> </w:t>
      </w:r>
      <w:r>
        <w:rPr>
          <w:b/>
          <w:bCs/>
        </w:rPr>
        <w:t xml:space="preserve">after market open</w:t>
      </w:r>
      <w:r>
        <w:t xml:space="preserve"> </w:t>
      </w:r>
      <w:r>
        <w:t xml:space="preserve">(e.g. at 10:00 AM)</w:t>
      </w:r>
      <w:hyperlink r:id="rId24">
        <w:r>
          <w:rPr>
            <w:rStyle w:val="Hyperlink"/>
          </w:rPr>
          <w:t xml:space="preserve">[4]</w:t>
        </w:r>
      </w:hyperlink>
      <w:r>
        <w:t xml:space="preserve">. This catches stocks that were quiet pre-market but suddenly surged with high relative volume. The same filters apply, and any new candidates are fed into the strategy engine as fresh opportunities</w:t>
      </w:r>
      <w:hyperlink r:id="rId24">
        <w:r>
          <w:rPr>
            <w:rStyle w:val="Hyperlink"/>
          </w:rPr>
          <w:t xml:space="preserve">[4]</w:t>
        </w:r>
      </w:hyperlink>
      <w:r>
        <w:t xml:space="preserve">.</w:t>
      </w:r>
    </w:p>
    <w:p>
      <w:pPr>
        <w:numPr>
          <w:ilvl w:val="0"/>
          <w:numId w:val="1001"/>
        </w:numPr>
      </w:pPr>
      <w:r>
        <w:rPr>
          <w:b/>
          <w:bCs/>
        </w:rPr>
        <w:t xml:space="preserve">Configuration:</w:t>
      </w:r>
      <w:r>
        <w:t xml:space="preserve"> </w:t>
      </w:r>
      <w:r>
        <w:t xml:space="preserve">Almost every aspect is configurable</w:t>
      </w:r>
      <w:hyperlink r:id="rId35">
        <w:r>
          <w:rPr>
            <w:rStyle w:val="Hyperlink"/>
          </w:rPr>
          <w:t xml:space="preserve">[15]</w:t>
        </w:r>
      </w:hyperlink>
      <w:r>
        <w:t xml:space="preserve">. Users should be able to set scan times, choose the ticker universe, and adjust filter thresholds (e.g. minimum gap%, minimum relative volume) via a settings file or UI</w:t>
      </w:r>
      <w:hyperlink r:id="rId35">
        <w:r>
          <w:rPr>
            <w:rStyle w:val="Hyperlink"/>
          </w:rPr>
          <w:t xml:space="preserve">[15]</w:t>
        </w:r>
      </w:hyperlink>
      <w:r>
        <w:t xml:space="preserve">. For example, the config might allow scanning a small “favorite” list or a broad index. By default, the scan might target a balanced universe (popular liquid stocks), yielding perhaps</w:t>
      </w:r>
      <w:r>
        <w:t xml:space="preserve"> </w:t>
      </w:r>
      <w:r>
        <w:rPr>
          <w:b/>
          <w:bCs/>
        </w:rPr>
        <w:t xml:space="preserve">5–15 candidates</w:t>
      </w:r>
      <w:r>
        <w:t xml:space="preserve"> </w:t>
      </w:r>
      <w:r>
        <w:t xml:space="preserve">per day</w:t>
      </w:r>
      <w:hyperlink r:id="rId35">
        <w:r>
          <w:rPr>
            <w:rStyle w:val="Hyperlink"/>
          </w:rPr>
          <w:t xml:space="preserve">[15]</w:t>
        </w:r>
      </w:hyperlink>
      <w:r>
        <w:t xml:space="preserve">. (This ensures the list is manageable and respects IBKR’s data limits.)</w:t>
      </w:r>
    </w:p>
    <w:p>
      <w:pPr>
        <w:numPr>
          <w:ilvl w:val="0"/>
          <w:numId w:val="1001"/>
        </w:numPr>
      </w:pPr>
      <w:r>
        <w:rPr>
          <w:b/>
          <w:bCs/>
        </w:rPr>
        <w:t xml:space="preserve">Performance:</w:t>
      </w:r>
      <w:r>
        <w:t xml:space="preserve"> </w:t>
      </w:r>
      <w:r>
        <w:t xml:space="preserve">The scan must finish quickly (ideally before 9:30 AM) so the strategy engine can act on the results</w:t>
      </w:r>
      <w:hyperlink r:id="rId36">
        <w:r>
          <w:rPr>
            <w:rStyle w:val="Hyperlink"/>
          </w:rPr>
          <w:t xml:space="preserve">[16]</w:t>
        </w:r>
      </w:hyperlink>
      <w:r>
        <w:t xml:space="preserve">. Efficient data access is key: use bulk queries or batch APIs where possible. If external screeners (Yahoo Finance, Finviz, etc.) are used, handle their latency gracefully. Running the scanner in its own thread/process is advisable to avoid blocking the main trading system</w:t>
      </w:r>
      <w:hyperlink r:id="rId36">
        <w:r>
          <w:rPr>
            <w:rStyle w:val="Hyperlink"/>
          </w:rPr>
          <w:t xml:space="preserve">[16]</w:t>
        </w:r>
      </w:hyperlink>
      <w:r>
        <w:t xml:space="preserve">.</w:t>
      </w:r>
    </w:p>
    <w:p>
      <w:pPr>
        <w:pStyle w:val="FirstParagraph"/>
      </w:pPr>
      <w:r>
        <w:t xml:space="preserve">All of the above requirements set the stage for implementation. The next section describes a technical plan to build the scanner, detailing architecture, modules, data flows, and libraries to use.</w:t>
      </w:r>
    </w:p>
    <w:bookmarkEnd w:id="37"/>
    <w:bookmarkStart w:id="62" w:name="technical-implementation-plan"/>
    <w:p>
      <w:pPr>
        <w:pStyle w:val="Heading2"/>
      </w:pPr>
      <w:r>
        <w:t xml:space="preserve">Technical Implementation Plan</w:t>
      </w:r>
    </w:p>
    <w:bookmarkStart w:id="39" w:name="system-architecture"/>
    <w:p>
      <w:pPr>
        <w:pStyle w:val="Heading3"/>
      </w:pPr>
      <w:r>
        <w:t xml:space="preserve">1. System Architecture</w:t>
      </w:r>
    </w:p>
    <w:p>
      <w:pPr>
        <w:pStyle w:val="FirstParagraph"/>
      </w:pPr>
      <w:r>
        <w:t xml:space="preserve">The scanner will be built as part of the PS60 system with a modular, event-driven design</w:t>
      </w:r>
      <w:hyperlink r:id="rId38">
        <w:r>
          <w:rPr>
            <w:rStyle w:val="Hyperlink"/>
          </w:rPr>
          <w:t xml:space="preserve">[17]</w:t>
        </w:r>
      </w:hyperlink>
      <w:r>
        <w:t xml:space="preserve">. Key components involved in pre-market scanning include:</w:t>
      </w:r>
    </w:p>
    <w:p>
      <w:pPr>
        <w:pStyle w:val="Compact"/>
        <w:numPr>
          <w:ilvl w:val="0"/>
          <w:numId w:val="1002"/>
        </w:numPr>
      </w:pPr>
      <w:r>
        <w:rPr>
          <w:b/>
          <w:bCs/>
        </w:rPr>
        <w:t xml:space="preserve">IBKR Interface Module:</w:t>
      </w:r>
      <w:r>
        <w:t xml:space="preserve"> </w:t>
      </w:r>
      <w:r>
        <w:t xml:space="preserve">Manages connection to Interactive Brokers (TWS/Gateway), handles subscriptions for market data and news, and sends/receives messages.</w:t>
      </w:r>
    </w:p>
    <w:p>
      <w:pPr>
        <w:pStyle w:val="Compact"/>
        <w:numPr>
          <w:ilvl w:val="0"/>
          <w:numId w:val="1002"/>
        </w:numPr>
      </w:pPr>
      <w:r>
        <w:rPr>
          <w:b/>
          <w:bCs/>
        </w:rPr>
        <w:t xml:space="preserve">Data Processor Module:</w:t>
      </w:r>
      <w:r>
        <w:t xml:space="preserve"> </w:t>
      </w:r>
      <w:r>
        <w:t xml:space="preserve">Retrieves and preprocesses market data (quotes, historical bars). Computes technical indicators (moving averages, Bollinger Bands, etc.).</w:t>
      </w:r>
    </w:p>
    <w:p>
      <w:pPr>
        <w:pStyle w:val="Compact"/>
        <w:numPr>
          <w:ilvl w:val="0"/>
          <w:numId w:val="1002"/>
        </w:numPr>
      </w:pPr>
      <w:r>
        <w:rPr>
          <w:b/>
          <w:bCs/>
        </w:rPr>
        <w:t xml:space="preserve">Filter Engine Module:</w:t>
      </w:r>
      <w:r>
        <w:t xml:space="preserve"> </w:t>
      </w:r>
      <w:r>
        <w:t xml:space="preserve">Applies PS60 filter logic to identify candidate stocks (gap %, relative volume, patterns, room-to-run checks).</w:t>
      </w:r>
    </w:p>
    <w:p>
      <w:pPr>
        <w:pStyle w:val="Compact"/>
        <w:numPr>
          <w:ilvl w:val="0"/>
          <w:numId w:val="1002"/>
        </w:numPr>
      </w:pPr>
      <w:r>
        <w:rPr>
          <w:b/>
          <w:bCs/>
        </w:rPr>
        <w:t xml:space="preserve">News Integration Module:</w:t>
      </w:r>
      <w:r>
        <w:t xml:space="preserve"> </w:t>
      </w:r>
      <w:r>
        <w:t xml:space="preserve">Fetches and parses relevant news or earnings data for stocks. Flags catalysts (e.g. earnings releases).</w:t>
      </w:r>
    </w:p>
    <w:p>
      <w:pPr>
        <w:pStyle w:val="Compact"/>
        <w:numPr>
          <w:ilvl w:val="0"/>
          <w:numId w:val="1002"/>
        </w:numPr>
      </w:pPr>
      <w:r>
        <w:rPr>
          <w:b/>
          <w:bCs/>
        </w:rPr>
        <w:t xml:space="preserve">Watchlist Generator Module:</w:t>
      </w:r>
      <w:r>
        <w:t xml:space="preserve"> </w:t>
      </w:r>
      <w:r>
        <w:t xml:space="preserve">Assembles and formats the output watchlist (CSV/JSON) and market summary. Also logs detailed scan output (Markdown research log).</w:t>
      </w:r>
    </w:p>
    <w:p>
      <w:pPr>
        <w:pStyle w:val="Compact"/>
        <w:numPr>
          <w:ilvl w:val="0"/>
          <w:numId w:val="1002"/>
        </w:numPr>
      </w:pPr>
      <w:r>
        <w:rPr>
          <w:b/>
          <w:bCs/>
        </w:rPr>
        <w:t xml:space="preserve">Scheduler Module:</w:t>
      </w:r>
      <w:r>
        <w:t xml:space="preserve"> </w:t>
      </w:r>
      <w:r>
        <w:t xml:space="preserve">Triggers the scanner at specified times (pre-market and optionally intraday). Could use a Python scheduling library or system cron.</w:t>
      </w:r>
    </w:p>
    <w:p>
      <w:pPr>
        <w:pStyle w:val="Compact"/>
        <w:numPr>
          <w:ilvl w:val="0"/>
          <w:numId w:val="1002"/>
        </w:numPr>
      </w:pPr>
      <w:r>
        <w:rPr>
          <w:b/>
          <w:bCs/>
        </w:rPr>
        <w:t xml:space="preserve">Configuration Manager:</w:t>
      </w:r>
      <w:r>
        <w:t xml:space="preserve"> </w:t>
      </w:r>
      <w:r>
        <w:t xml:space="preserve">Loads user settings (ticker list, thresholds, scan times) from a file (e.g. JSON/YAML) or database.</w:t>
      </w:r>
    </w:p>
    <w:p>
      <w:pPr>
        <w:pStyle w:val="Compact"/>
        <w:numPr>
          <w:ilvl w:val="0"/>
          <w:numId w:val="1002"/>
        </w:numPr>
      </w:pPr>
      <w:r>
        <w:rPr>
          <w:b/>
          <w:bCs/>
        </w:rPr>
        <w:t xml:space="preserve">Logging/Error Handler:</w:t>
      </w:r>
      <w:r>
        <w:t xml:space="preserve"> </w:t>
      </w:r>
      <w:r>
        <w:t xml:space="preserve">Centralized logging of scan steps and errors. Implements retry logic for failures.</w:t>
      </w:r>
    </w:p>
    <w:p>
      <w:pPr>
        <w:pStyle w:val="FirstParagraph"/>
      </w:pPr>
      <w:r>
        <w:t xml:space="preserve">These modules interact as follows: the Scheduler invokes a scan job, which uses the IBKR Interface to fetch data. The Data Processor transforms raw data into features (e.g. computes prior-day pivots), the Filter Engine applies PS60 rules to shortlist tickers, and the Watchlist Generator outputs the final results. Figure 1 in the requirements (see §1) conceptually illustrates data flow; in text form, it’s:</w:t>
      </w:r>
    </w:p>
    <w:p>
      <w:pPr>
        <w:pStyle w:val="SourceCode"/>
      </w:pPr>
      <w:r>
        <w:rPr>
          <w:rStyle w:val="VerbatimChar"/>
        </w:rPr>
        <w:t xml:space="preserve">Scheduler → (time to scan)</w:t>
      </w:r>
      <w:r>
        <w:br/>
      </w:r>
      <w:r>
        <w:rPr>
          <w:rStyle w:val="VerbatimChar"/>
        </w:rPr>
        <w:t xml:space="preserve">    IBKRInterface → DataProcessor (quotes + historical data)</w:t>
      </w:r>
      <w:r>
        <w:br/>
      </w:r>
      <w:r>
        <w:rPr>
          <w:rStyle w:val="VerbatimChar"/>
        </w:rPr>
        <w:t xml:space="preserve">    → FilterEngine (apply gap/RVOL/room filters)</w:t>
      </w:r>
      <w:r>
        <w:br/>
      </w:r>
      <w:r>
        <w:rPr>
          <w:rStyle w:val="VerbatimChar"/>
        </w:rPr>
        <w:t xml:space="preserve">    → NewsModule (add news flags)</w:t>
      </w:r>
      <w:r>
        <w:br/>
      </w:r>
      <w:r>
        <w:rPr>
          <w:rStyle w:val="VerbatimChar"/>
        </w:rPr>
        <w:t xml:space="preserve">    → WatchlistGenerator (CSV/JSON + Markdown log)</w:t>
      </w:r>
      <w:r>
        <w:br/>
      </w:r>
      <w:r>
        <w:rPr>
          <w:rStyle w:val="VerbatimChar"/>
        </w:rPr>
        <w:t xml:space="preserve">    → StrategyEngine (initialize watchlist state)</w:t>
      </w:r>
    </w:p>
    <w:p>
      <w:pPr>
        <w:pStyle w:val="FirstParagraph"/>
      </w:pPr>
      <w:r>
        <w:t xml:space="preserve">This modular design also matches the overall system architecture: an IBKR Integration layer feeding both the Pre-Market Scanner and the PS60 Strategy Engine</w:t>
      </w:r>
      <w:hyperlink r:id="rId38">
        <w:r>
          <w:rPr>
            <w:rStyle w:val="Hyperlink"/>
          </w:rPr>
          <w:t xml:space="preserve">[17]</w:t>
        </w:r>
      </w:hyperlink>
      <w:r>
        <w:t xml:space="preserve">. The Pre-Market Scanner runs once (or twice) a day; after producing the watchlist, it stays idle until the next scan. The main PS60 engine then takes over in real-time.</w:t>
      </w:r>
    </w:p>
    <w:bookmarkEnd w:id="39"/>
    <w:bookmarkStart w:id="47" w:name="module-descriptions"/>
    <w:p>
      <w:pPr>
        <w:pStyle w:val="Heading3"/>
      </w:pPr>
      <w:r>
        <w:t xml:space="preserve">2. Module Descriptions</w:t>
      </w:r>
    </w:p>
    <w:p>
      <w:pPr>
        <w:pStyle w:val="FirstParagraph"/>
      </w:pPr>
      <w:r>
        <w:t xml:space="preserve">Below we describe each module’s role, inputs/outputs, and implementation notes:</w:t>
      </w:r>
    </w:p>
    <w:p>
      <w:pPr>
        <w:pStyle w:val="Compact"/>
        <w:numPr>
          <w:ilvl w:val="0"/>
          <w:numId w:val="1003"/>
        </w:numPr>
      </w:pPr>
      <w:r>
        <w:rPr>
          <w:b/>
          <w:bCs/>
        </w:rPr>
        <w:t xml:space="preserve">IBKR Interface:</w:t>
      </w:r>
    </w:p>
    <w:p>
      <w:pPr>
        <w:pStyle w:val="Compact"/>
        <w:numPr>
          <w:ilvl w:val="0"/>
          <w:numId w:val="1003"/>
        </w:numPr>
      </w:pPr>
      <w:r>
        <w:rPr>
          <w:i/>
          <w:iCs/>
        </w:rPr>
        <w:t xml:space="preserve">Function:</w:t>
      </w:r>
      <w:r>
        <w:t xml:space="preserve"> </w:t>
      </w:r>
      <w:r>
        <w:t xml:space="preserve">Connect to IBKR’s TWS/Gateway API (via</w:t>
      </w:r>
      <w:r>
        <w:t xml:space="preserve"> </w:t>
      </w:r>
      <w:r>
        <w:rPr>
          <w:rStyle w:val="VerbatimChar"/>
        </w:rPr>
        <w:t xml:space="preserve">ib_insync</w:t>
      </w:r>
      <w:r>
        <w:t xml:space="preserve"> </w:t>
      </w:r>
      <w:r>
        <w:t xml:space="preserve">or native IBAPI). Subscribe to pre-market quotes and news, and send order commands if needed.</w:t>
      </w:r>
    </w:p>
    <w:p>
      <w:pPr>
        <w:pStyle w:val="Compact"/>
        <w:numPr>
          <w:ilvl w:val="0"/>
          <w:numId w:val="1003"/>
        </w:numPr>
      </w:pPr>
      <w:r>
        <w:rPr>
          <w:i/>
          <w:iCs/>
        </w:rPr>
        <w:t xml:space="preserve">Inputs:</w:t>
      </w:r>
      <w:r>
        <w:t xml:space="preserve"> </w:t>
      </w:r>
      <w:r>
        <w:t xml:space="preserve">List of tickers (from config), IBKR connection details (host/port, clientId), news subscription codes.</w:t>
      </w:r>
    </w:p>
    <w:p>
      <w:pPr>
        <w:pStyle w:val="Compact"/>
        <w:numPr>
          <w:ilvl w:val="0"/>
          <w:numId w:val="1003"/>
        </w:numPr>
      </w:pPr>
      <w:r>
        <w:rPr>
          <w:i/>
          <w:iCs/>
        </w:rPr>
        <w:t xml:space="preserve">Outputs:</w:t>
      </w:r>
      <w:r>
        <w:t xml:space="preserve"> </w:t>
      </w:r>
      <w:r>
        <w:t xml:space="preserve">Streaming tick data (price, volume, bid/ask), and historical bar data.</w:t>
      </w:r>
    </w:p>
    <w:p>
      <w:pPr>
        <w:numPr>
          <w:ilvl w:val="0"/>
          <w:numId w:val="1003"/>
        </w:numPr>
      </w:pPr>
      <w:r>
        <w:rPr>
          <w:i/>
          <w:iCs/>
        </w:rPr>
        <w:t xml:space="preserve">Notes:</w:t>
      </w:r>
      <w:r>
        <w:t xml:space="preserve"> </w:t>
      </w:r>
      <w:r>
        <w:t xml:space="preserve">Use</w:t>
      </w:r>
      <w:r>
        <w:t xml:space="preserve"> </w:t>
      </w:r>
      <w:hyperlink r:id="rId40">
        <w:r>
          <w:rPr>
            <w:rStyle w:val="Hyperlink"/>
          </w:rPr>
          <w:t xml:space="preserve">ib_insync</w:t>
        </w:r>
      </w:hyperlink>
      <w:r>
        <w:t xml:space="preserve"> </w:t>
      </w:r>
      <w:r>
        <w:t xml:space="preserve">for convenient async IBKR connectivity. Ensure TWS/Gateway is running with API enabled. The module should respect IBKR API</w:t>
      </w:r>
      <w:r>
        <w:t xml:space="preserve"> </w:t>
      </w:r>
      <w:r>
        <w:rPr>
          <w:b/>
          <w:bCs/>
        </w:rPr>
        <w:t xml:space="preserve">pacing limits</w:t>
      </w:r>
      <w:r>
        <w:t xml:space="preserve">: by default, accounts allow ~100 simultaneous market data lines</w:t>
      </w:r>
      <w:hyperlink r:id="rId41">
        <w:r>
          <w:rPr>
            <w:rStyle w:val="Hyperlink"/>
          </w:rPr>
          <w:t xml:space="preserve">[18]</w:t>
        </w:r>
      </w:hyperlink>
      <w:r>
        <w:t xml:space="preserve">. Do</w:t>
      </w:r>
      <w:r>
        <w:t xml:space="preserve"> </w:t>
      </w:r>
      <w:r>
        <w:rPr>
          <w:b/>
          <w:bCs/>
        </w:rPr>
        <w:t xml:space="preserve">not</w:t>
      </w:r>
      <w:r>
        <w:t xml:space="preserve"> </w:t>
      </w:r>
      <w:r>
        <w:t xml:space="preserve">subscribe to more than 100 symbols at once. Cancel subscriptions when done, or implement batching if more symbols needed. Historical data requests are limited too (max 50 open at once</w:t>
      </w:r>
      <w:hyperlink r:id="rId42">
        <w:r>
          <w:rPr>
            <w:rStyle w:val="Hyperlink"/>
          </w:rPr>
          <w:t xml:space="preserve">[19]</w:t>
        </w:r>
      </w:hyperlink>
      <w:r>
        <w:t xml:space="preserve">), so requests should be serialized. Properly handle IBKR time zones (pre-market is EST/EDT) and use contract definitions with</w:t>
      </w:r>
      <w:r>
        <w:t xml:space="preserve"> </w:t>
      </w:r>
      <w:r>
        <w:rPr>
          <w:rStyle w:val="VerbatimChar"/>
        </w:rPr>
        <w:t xml:space="preserve">exchange='SMART'</w:t>
      </w:r>
      <w:r>
        <w:t xml:space="preserve"> </w:t>
      </w:r>
      <w:r>
        <w:t xml:space="preserve">and</w:t>
      </w:r>
      <w:r>
        <w:t xml:space="preserve"> </w:t>
      </w:r>
      <w:r>
        <w:rPr>
          <w:rStyle w:val="VerbatimChar"/>
        </w:rPr>
        <w:t xml:space="preserve">secType='STK'</w:t>
      </w:r>
      <w:r>
        <w:t xml:space="preserve">.</w:t>
      </w:r>
    </w:p>
    <w:p>
      <w:pPr>
        <w:numPr>
          <w:ilvl w:val="0"/>
          <w:numId w:val="1003"/>
        </w:numPr>
      </w:pPr>
      <w:r>
        <w:rPr>
          <w:b/>
          <w:bCs/>
        </w:rPr>
        <w:t xml:space="preserve">Data Processor:</w:t>
      </w:r>
    </w:p>
    <w:p>
      <w:pPr>
        <w:pStyle w:val="Compact"/>
        <w:numPr>
          <w:ilvl w:val="0"/>
          <w:numId w:val="1003"/>
        </w:numPr>
      </w:pPr>
      <w:r>
        <w:rPr>
          <w:i/>
          <w:iCs/>
        </w:rPr>
        <w:t xml:space="preserve">Function:</w:t>
      </w:r>
      <w:r>
        <w:t xml:space="preserve"> </w:t>
      </w:r>
      <w:r>
        <w:t xml:space="preserve">Given symbols and raw data, compute all needed fields. This includes:</w:t>
      </w:r>
    </w:p>
    <w:p>
      <w:pPr>
        <w:pStyle w:val="Compact"/>
        <w:numPr>
          <w:ilvl w:val="1"/>
          <w:numId w:val="1004"/>
        </w:numPr>
      </w:pPr>
      <w:r>
        <w:t xml:space="preserve">Fetch</w:t>
      </w:r>
      <w:r>
        <w:t xml:space="preserve"> </w:t>
      </w:r>
      <w:r>
        <w:rPr>
          <w:b/>
          <w:bCs/>
        </w:rPr>
        <w:t xml:space="preserve">historical bars</w:t>
      </w:r>
      <w:r>
        <w:t xml:space="preserve">: daily bars (e.g. last 5–10 days) and intraday 60‑minute bars (last few days) via IBKR API or a cached store.</w:t>
      </w:r>
    </w:p>
    <w:p>
      <w:pPr>
        <w:pStyle w:val="Compact"/>
        <w:numPr>
          <w:ilvl w:val="1"/>
          <w:numId w:val="1004"/>
        </w:numPr>
      </w:pPr>
      <w:r>
        <w:t xml:space="preserve">Calculate technical levels: moving averages (SMA, EMA for periods 5,10,20,50,100,200), Bollinger Bands (20-period, 2σ), and a 30-period linear regression line on the 60-min chart. (Since IBKR API does</w:t>
      </w:r>
      <w:r>
        <w:t xml:space="preserve"> </w:t>
      </w:r>
      <w:r>
        <w:rPr>
          <w:i/>
          <w:iCs/>
        </w:rPr>
        <w:t xml:space="preserve">not</w:t>
      </w:r>
      <w:r>
        <w:t xml:space="preserve"> </w:t>
      </w:r>
      <w:r>
        <w:t xml:space="preserve">provide these indicators, we compute them using libraries like Pandas or NumPy</w:t>
      </w:r>
      <w:hyperlink r:id="rId43">
        <w:r>
          <w:rPr>
            <w:rStyle w:val="Hyperlink"/>
          </w:rPr>
          <w:t xml:space="preserve">[20]</w:t>
        </w:r>
      </w:hyperlink>
      <w:r>
        <w:t xml:space="preserve">.)</w:t>
      </w:r>
    </w:p>
    <w:p>
      <w:pPr>
        <w:pStyle w:val="Compact"/>
        <w:numPr>
          <w:ilvl w:val="1"/>
          <w:numId w:val="1004"/>
        </w:numPr>
      </w:pPr>
      <w:r>
        <w:t xml:space="preserve">Identify prior-day pivot: e.g. yesterday’s high/low, chart patterns (base, double top), supply/demand zones (clusters of moving averages).</w:t>
      </w:r>
    </w:p>
    <w:p>
      <w:pPr>
        <w:pStyle w:val="Compact"/>
        <w:numPr>
          <w:ilvl w:val="1"/>
          <w:numId w:val="1004"/>
        </w:numPr>
      </w:pPr>
      <w:r>
        <w:t xml:space="preserve">Compute current gap% = (pre-market price – prior close)/prior close ×100%.</w:t>
      </w:r>
    </w:p>
    <w:p>
      <w:pPr>
        <w:pStyle w:val="Compact"/>
        <w:numPr>
          <w:ilvl w:val="1"/>
          <w:numId w:val="1004"/>
        </w:numPr>
      </w:pPr>
      <w:r>
        <w:t xml:space="preserve">Compute relative pre-market volume (RVOL): current pre-market volume divided by average volume at this time of day (or full-day average scaled to hours).</w:t>
      </w:r>
    </w:p>
    <w:p>
      <w:pPr>
        <w:pStyle w:val="Compact"/>
        <w:numPr>
          <w:ilvl w:val="0"/>
          <w:numId w:val="1003"/>
        </w:numPr>
      </w:pPr>
      <w:r>
        <w:rPr>
          <w:i/>
          <w:iCs/>
        </w:rPr>
        <w:t xml:space="preserve">Inputs:</w:t>
      </w:r>
      <w:r>
        <w:t xml:space="preserve"> </w:t>
      </w:r>
      <w:r>
        <w:t xml:space="preserve">Tickers list, raw historical data (from IBKR or local DB).</w:t>
      </w:r>
    </w:p>
    <w:p>
      <w:pPr>
        <w:numPr>
          <w:ilvl w:val="0"/>
          <w:numId w:val="1003"/>
        </w:numPr>
      </w:pPr>
      <w:r>
        <w:rPr>
          <w:i/>
          <w:iCs/>
        </w:rPr>
        <w:t xml:space="preserve">Outputs:</w:t>
      </w:r>
      <w:r>
        <w:t xml:space="preserve"> </w:t>
      </w:r>
      <w:r>
        <w:t xml:space="preserve">Data frame or dict of indicators per symbol (prev_close, prev_high, prev_low, SMA50, Bollinger, gap%, RVOL, etc.).</w:t>
      </w:r>
    </w:p>
    <w:p>
      <w:pPr>
        <w:numPr>
          <w:ilvl w:val="0"/>
          <w:numId w:val="1003"/>
        </w:numPr>
      </w:pPr>
      <w:r>
        <w:rPr>
          <w:b/>
          <w:bCs/>
        </w:rPr>
        <w:t xml:space="preserve">Filter Engine:</w:t>
      </w:r>
    </w:p>
    <w:p>
      <w:pPr>
        <w:pStyle w:val="Compact"/>
        <w:numPr>
          <w:ilvl w:val="0"/>
          <w:numId w:val="1003"/>
        </w:numPr>
      </w:pPr>
      <w:r>
        <w:rPr>
          <w:i/>
          <w:iCs/>
        </w:rPr>
        <w:t xml:space="preserve">Function:</w:t>
      </w:r>
      <w:r>
        <w:t xml:space="preserve"> </w:t>
      </w:r>
      <w:r>
        <w:t xml:space="preserve">Apply the PS60 scanning filters to the processed data to shortlist stocks.</w:t>
      </w:r>
    </w:p>
    <w:p>
      <w:pPr>
        <w:pStyle w:val="Compact"/>
        <w:numPr>
          <w:ilvl w:val="0"/>
          <w:numId w:val="1003"/>
        </w:numPr>
      </w:pPr>
      <w:r>
        <w:rPr>
          <w:i/>
          <w:iCs/>
        </w:rPr>
        <w:t xml:space="preserve">Logic:</w:t>
      </w:r>
      <w:r>
        <w:t xml:space="preserve"> </w:t>
      </w:r>
      <w:r>
        <w:t xml:space="preserve">For each symbol, check criteria such as:</w:t>
      </w:r>
    </w:p>
    <w:p>
      <w:pPr>
        <w:pStyle w:val="Compact"/>
        <w:numPr>
          <w:ilvl w:val="1"/>
          <w:numId w:val="1005"/>
        </w:numPr>
      </w:pPr>
      <w:r>
        <w:rPr>
          <w:b/>
          <w:bCs/>
        </w:rPr>
        <w:t xml:space="preserve">Gap Filter:</w:t>
      </w:r>
      <w:r>
        <w:t xml:space="preserve"> </w:t>
      </w:r>
      <w:r>
        <w:rPr>
          <w:rStyle w:val="VerbatimChar"/>
        </w:rPr>
        <w:t xml:space="preserve">abs(gap%) &gt;= GapThreshold</w:t>
      </w:r>
      <w:r>
        <w:t xml:space="preserve"> </w:t>
      </w:r>
      <w:r>
        <w:t xml:space="preserve">(e.g. 2%).</w:t>
      </w:r>
    </w:p>
    <w:p>
      <w:pPr>
        <w:pStyle w:val="Compact"/>
        <w:numPr>
          <w:ilvl w:val="1"/>
          <w:numId w:val="1005"/>
        </w:numPr>
      </w:pPr>
      <w:r>
        <w:rPr>
          <w:b/>
          <w:bCs/>
        </w:rPr>
        <w:t xml:space="preserve">Relative Volume Filter:</w:t>
      </w:r>
      <w:r>
        <w:t xml:space="preserve"> </w:t>
      </w:r>
      <w:r>
        <w:rPr>
          <w:rStyle w:val="VerbatimChar"/>
        </w:rPr>
        <w:t xml:space="preserve">preMarketVolume &gt;= RVOLThreshold * avgVolume</w:t>
      </w:r>
      <w:r>
        <w:t xml:space="preserve">.</w:t>
      </w:r>
    </w:p>
    <w:p>
      <w:pPr>
        <w:pStyle w:val="Compact"/>
        <w:numPr>
          <w:ilvl w:val="1"/>
          <w:numId w:val="1005"/>
        </w:numPr>
      </w:pPr>
      <w:r>
        <w:rPr>
          <w:b/>
          <w:bCs/>
        </w:rPr>
        <w:t xml:space="preserve">Pattern Filter:</w:t>
      </w:r>
      <w:r>
        <w:t xml:space="preserve"> </w:t>
      </w:r>
      <w:r>
        <w:t xml:space="preserve">Mark symbols with bullish patterns (e.g. yesterday’s multi-day base breakout) or bearish analogs. (This could use chart pattern recognition or simpler heuristics.)</w:t>
      </w:r>
    </w:p>
    <w:p>
      <w:pPr>
        <w:pStyle w:val="Compact"/>
        <w:numPr>
          <w:ilvl w:val="1"/>
          <w:numId w:val="1005"/>
        </w:numPr>
      </w:pPr>
      <w:r>
        <w:rPr>
          <w:b/>
          <w:bCs/>
        </w:rPr>
        <w:t xml:space="preserve">Room-to-Run Check:</w:t>
      </w:r>
      <w:r>
        <w:t xml:space="preserve"> </w:t>
      </w:r>
      <w:r>
        <w:t xml:space="preserve">Ensure no major moving average (e.g. daily 200 SMA) lies within X% of current price</w:t>
      </w:r>
      <w:hyperlink r:id="rId31">
        <w:r>
          <w:rPr>
            <w:rStyle w:val="Hyperlink"/>
          </w:rPr>
          <w:t xml:space="preserve">[11]</w:t>
        </w:r>
      </w:hyperlink>
      <w:r>
        <w:t xml:space="preserve">. Compute “distance to next resistance” and require Reward/Risk ≥ 1 (per PS60).</w:t>
      </w:r>
    </w:p>
    <w:p>
      <w:pPr>
        <w:pStyle w:val="Compact"/>
        <w:numPr>
          <w:ilvl w:val="1"/>
          <w:numId w:val="1005"/>
        </w:numPr>
      </w:pPr>
      <w:r>
        <w:rPr>
          <w:b/>
          <w:bCs/>
        </w:rPr>
        <w:t xml:space="preserve">Market Context Filter:</w:t>
      </w:r>
      <w:r>
        <w:t xml:space="preserve"> </w:t>
      </w:r>
      <w:r>
        <w:t xml:space="preserve">Optionally skip bullish setups if index futures are strongly negative (and vice versa).</w:t>
      </w:r>
    </w:p>
    <w:p>
      <w:pPr>
        <w:pStyle w:val="Compact"/>
        <w:numPr>
          <w:ilvl w:val="0"/>
          <w:numId w:val="1003"/>
        </w:numPr>
      </w:pPr>
      <w:r>
        <w:rPr>
          <w:i/>
          <w:iCs/>
        </w:rPr>
        <w:t xml:space="preserve">Inputs:</w:t>
      </w:r>
      <w:r>
        <w:t xml:space="preserve"> </w:t>
      </w:r>
      <w:r>
        <w:t xml:space="preserve">Indicators computed by Data Processor.</w:t>
      </w:r>
    </w:p>
    <w:p>
      <w:pPr>
        <w:numPr>
          <w:ilvl w:val="0"/>
          <w:numId w:val="1003"/>
        </w:numPr>
      </w:pPr>
      <w:r>
        <w:rPr>
          <w:i/>
          <w:iCs/>
        </w:rPr>
        <w:t xml:space="preserve">Outputs:</w:t>
      </w:r>
      <w:r>
        <w:t xml:space="preserve"> </w:t>
      </w:r>
      <w:r>
        <w:t xml:space="preserve">List of candidate symbols with attributes (pivot price, trend direction).</w:t>
      </w:r>
    </w:p>
    <w:p>
      <w:pPr>
        <w:numPr>
          <w:ilvl w:val="0"/>
          <w:numId w:val="1003"/>
        </w:numPr>
      </w:pPr>
      <w:r>
        <w:rPr>
          <w:b/>
          <w:bCs/>
        </w:rPr>
        <w:t xml:space="preserve">News Integration Module:</w:t>
      </w:r>
    </w:p>
    <w:p>
      <w:pPr>
        <w:pStyle w:val="Compact"/>
        <w:numPr>
          <w:ilvl w:val="0"/>
          <w:numId w:val="1003"/>
        </w:numPr>
      </w:pPr>
      <w:r>
        <w:rPr>
          <w:i/>
          <w:iCs/>
        </w:rPr>
        <w:t xml:space="preserve">Function:</w:t>
      </w:r>
      <w:r>
        <w:t xml:space="preserve"> </w:t>
      </w:r>
      <w:r>
        <w:t xml:space="preserve">Enrich symbols with news/catalyst information.</w:t>
      </w:r>
    </w:p>
    <w:p>
      <w:pPr>
        <w:pStyle w:val="Compact"/>
        <w:numPr>
          <w:ilvl w:val="0"/>
          <w:numId w:val="1003"/>
        </w:numPr>
      </w:pPr>
      <w:r>
        <w:rPr>
          <w:i/>
          <w:iCs/>
        </w:rPr>
        <w:t xml:space="preserve">Inputs:</w:t>
      </w:r>
      <w:r>
        <w:t xml:space="preserve"> </w:t>
      </w:r>
      <w:r>
        <w:t xml:space="preserve">Candidate symbols or full universe.</w:t>
      </w:r>
    </w:p>
    <w:p>
      <w:pPr>
        <w:pStyle w:val="Compact"/>
        <w:numPr>
          <w:ilvl w:val="0"/>
          <w:numId w:val="1003"/>
        </w:numPr>
      </w:pPr>
      <w:r>
        <w:rPr>
          <w:i/>
          <w:iCs/>
        </w:rPr>
        <w:t xml:space="preserve">Outputs:</w:t>
      </w:r>
      <w:r>
        <w:t xml:space="preserve"> </w:t>
      </w:r>
      <w:r>
        <w:t xml:space="preserve">Flags or metadata (e.g.</w:t>
      </w:r>
      <w:r>
        <w:t xml:space="preserve"> </w:t>
      </w:r>
      <w:r>
        <w:rPr>
          <w:rStyle w:val="VerbatimChar"/>
        </w:rPr>
        <w:t xml:space="preserve">"earnings":True</w:t>
      </w:r>
      <w:r>
        <w:t xml:space="preserve">,</w:t>
      </w:r>
      <w:r>
        <w:t xml:space="preserve"> </w:t>
      </w:r>
      <w:r>
        <w:rPr>
          <w:rStyle w:val="VerbatimChar"/>
        </w:rPr>
        <w:t xml:space="preserve">"upgrade":True</w:t>
      </w:r>
      <w:r>
        <w:t xml:space="preserve">,</w:t>
      </w:r>
      <w:r>
        <w:t xml:space="preserve"> </w:t>
      </w:r>
      <w:r>
        <w:rPr>
          <w:rStyle w:val="VerbatimChar"/>
        </w:rPr>
        <w:t xml:space="preserve">"headline":"XYZ raises guidance"</w:t>
      </w:r>
      <w:r>
        <w:t xml:space="preserve">).</w:t>
      </w:r>
    </w:p>
    <w:p>
      <w:pPr>
        <w:numPr>
          <w:ilvl w:val="0"/>
          <w:numId w:val="1003"/>
        </w:numPr>
      </w:pPr>
      <w:r>
        <w:rPr>
          <w:i/>
          <w:iCs/>
        </w:rPr>
        <w:t xml:space="preserve">Notes:</w:t>
      </w:r>
    </w:p>
    <w:p>
      <w:pPr>
        <w:pStyle w:val="Compact"/>
        <w:numPr>
          <w:ilvl w:val="1"/>
          <w:numId w:val="1006"/>
        </w:numPr>
      </w:pPr>
      <w:r>
        <w:rPr>
          <w:b/>
          <w:bCs/>
        </w:rPr>
        <w:t xml:space="preserve">IBKR News Feed:</w:t>
      </w:r>
      <w:r>
        <w:t xml:space="preserve"> </w:t>
      </w:r>
      <w:r>
        <w:t xml:space="preserve">If the user has IBKR news subscriptions (e.g. Briefing.com, Benzinga, etc.), the IBKR API can deliver headlines in real time</w:t>
      </w:r>
      <w:hyperlink r:id="rId44">
        <w:r>
          <w:rPr>
            <w:rStyle w:val="Hyperlink"/>
          </w:rPr>
          <w:t xml:space="preserve">[21]</w:t>
        </w:r>
      </w:hyperlink>
      <w:r>
        <w:t xml:space="preserve">. Use</w:t>
      </w:r>
      <w:r>
        <w:t xml:space="preserve"> </w:t>
      </w:r>
      <w:r>
        <w:rPr>
          <w:rStyle w:val="VerbatimChar"/>
        </w:rPr>
        <w:t xml:space="preserve">reqNewsProviders()</w:t>
      </w:r>
      <w:r>
        <w:t xml:space="preserve"> </w:t>
      </w:r>
      <w:r>
        <w:t xml:space="preserve">and</w:t>
      </w:r>
      <w:r>
        <w:t xml:space="preserve"> </w:t>
      </w:r>
      <w:r>
        <w:rPr>
          <w:rStyle w:val="VerbatimChar"/>
        </w:rPr>
        <w:t xml:space="preserve">reqMktData()</w:t>
      </w:r>
      <w:r>
        <w:t xml:space="preserve"> </w:t>
      </w:r>
      <w:r>
        <w:t xml:space="preserve">with news-tick flags (e.g. BZ for Benzinga) as shown in IBKR docs</w:t>
      </w:r>
      <w:hyperlink r:id="rId44">
        <w:r>
          <w:rPr>
            <w:rStyle w:val="Hyperlink"/>
          </w:rPr>
          <w:t xml:space="preserve">[21]</w:t>
        </w:r>
      </w:hyperlink>
      <w:r>
        <w:t xml:space="preserve">. This requires the account to have those API-specific news subscriptions enabled.</w:t>
      </w:r>
    </w:p>
    <w:p>
      <w:pPr>
        <w:pStyle w:val="Compact"/>
        <w:numPr>
          <w:ilvl w:val="1"/>
          <w:numId w:val="1006"/>
        </w:numPr>
      </w:pPr>
      <w:r>
        <w:rPr>
          <w:b/>
          <w:bCs/>
        </w:rPr>
        <w:t xml:space="preserve">Public News APIs:</w:t>
      </w:r>
      <w:r>
        <w:t xml:space="preserve"> </w:t>
      </w:r>
      <w:r>
        <w:t xml:space="preserve">As an alternative or supplement, call external news APIs (e.g.</w:t>
      </w:r>
      <w:r>
        <w:t xml:space="preserve"> </w:t>
      </w:r>
      <w:hyperlink r:id="rId45">
        <w:r>
          <w:rPr>
            <w:rStyle w:val="Hyperlink"/>
          </w:rPr>
          <w:t xml:space="preserve">Finnhub</w:t>
        </w:r>
      </w:hyperlink>
      <w:r>
        <w:t xml:space="preserve"> </w:t>
      </w:r>
      <w:r>
        <w:t xml:space="preserve">Market News,</w:t>
      </w:r>
      <w:r>
        <w:t xml:space="preserve"> </w:t>
      </w:r>
      <w:hyperlink r:id="rId46">
        <w:r>
          <w:rPr>
            <w:rStyle w:val="Hyperlink"/>
          </w:rPr>
          <w:t xml:space="preserve">IEX Cloud</w:t>
        </w:r>
      </w:hyperlink>
      <w:r>
        <w:t xml:space="preserve">, or even RSS feeds) to get recent news for each ticker. Parse JSON/XML responses for keywords (earnings, FDA, downgrades, etc.).</w:t>
      </w:r>
    </w:p>
    <w:p>
      <w:pPr>
        <w:pStyle w:val="Compact"/>
        <w:numPr>
          <w:ilvl w:val="1"/>
          <w:numId w:val="1006"/>
        </w:numPr>
      </w:pPr>
      <w:r>
        <w:rPr>
          <w:b/>
          <w:bCs/>
        </w:rPr>
        <w:t xml:space="preserve">Catalyst Identification:</w:t>
      </w:r>
      <w:r>
        <w:t xml:space="preserve"> </w:t>
      </w:r>
      <w:r>
        <w:t xml:space="preserve">For each symbol, note major events – scheduled earnings, FDA PDUFA dates, analyst actions. Mark these in the output rationale (e.g.</w:t>
      </w:r>
      <w:r>
        <w:t xml:space="preserve"> </w:t>
      </w:r>
      <w:r>
        <w:rPr>
          <w:i/>
          <w:iCs/>
        </w:rPr>
        <w:t xml:space="preserve">“Earnings beat”</w:t>
      </w:r>
      <w:r>
        <w:t xml:space="preserve">).</w:t>
      </w:r>
    </w:p>
    <w:p>
      <w:pPr>
        <w:numPr>
          <w:ilvl w:val="0"/>
          <w:numId w:val="1003"/>
        </w:numPr>
      </w:pPr>
      <w:r>
        <w:rPr>
          <w:b/>
          <w:bCs/>
        </w:rPr>
        <w:t xml:space="preserve">Watchlist Generator:</w:t>
      </w:r>
    </w:p>
    <w:p>
      <w:pPr>
        <w:pStyle w:val="Compact"/>
        <w:numPr>
          <w:ilvl w:val="0"/>
          <w:numId w:val="1003"/>
        </w:numPr>
      </w:pPr>
      <w:r>
        <w:rPr>
          <w:i/>
          <w:iCs/>
        </w:rPr>
        <w:t xml:space="preserve">Function:</w:t>
      </w:r>
      <w:r>
        <w:t xml:space="preserve"> </w:t>
      </w:r>
      <w:r>
        <w:t xml:space="preserve">Compile the final output files/reports.</w:t>
      </w:r>
    </w:p>
    <w:p>
      <w:pPr>
        <w:pStyle w:val="Compact"/>
        <w:numPr>
          <w:ilvl w:val="0"/>
          <w:numId w:val="1003"/>
        </w:numPr>
      </w:pPr>
      <w:r>
        <w:rPr>
          <w:i/>
          <w:iCs/>
        </w:rPr>
        <w:t xml:space="preserve">Inputs:</w:t>
      </w:r>
      <w:r>
        <w:t xml:space="preserve"> </w:t>
      </w:r>
      <w:r>
        <w:t xml:space="preserve">Filtered candidate list, their key info (pivot, rationale, indicators, news, next zones), and market context data.</w:t>
      </w:r>
    </w:p>
    <w:p>
      <w:pPr>
        <w:pStyle w:val="Compact"/>
        <w:numPr>
          <w:ilvl w:val="0"/>
          <w:numId w:val="1003"/>
        </w:numPr>
      </w:pPr>
      <w:r>
        <w:rPr>
          <w:i/>
          <w:iCs/>
        </w:rPr>
        <w:t xml:space="preserve">Outputs:</w:t>
      </w:r>
    </w:p>
    <w:p>
      <w:pPr>
        <w:pStyle w:val="Compact"/>
        <w:numPr>
          <w:ilvl w:val="1"/>
          <w:numId w:val="1007"/>
        </w:numPr>
      </w:pPr>
      <w:r>
        <w:rPr>
          <w:b/>
          <w:bCs/>
        </w:rPr>
        <w:t xml:space="preserve">CSV/JSON Summary:</w:t>
      </w:r>
      <w:r>
        <w:t xml:space="preserve"> </w:t>
      </w:r>
      <w:r>
        <w:t xml:space="preserve">A machine-readable file (CSV or JSON) listing each candidate with fields such as:</w:t>
      </w:r>
      <w:r>
        <w:t xml:space="preserve"> </w:t>
      </w:r>
      <w:r>
        <w:rPr>
          <w:i/>
          <w:iCs/>
        </w:rPr>
        <w:t xml:space="preserve">Symbol, PivotPrice, GapPct, RVOL, NewsFlag, Pattern, NextResistance, Comments</w:t>
      </w:r>
      <w:r>
        <w:t xml:space="preserve">.</w:t>
      </w:r>
    </w:p>
    <w:p>
      <w:pPr>
        <w:pStyle w:val="Compact"/>
        <w:numPr>
          <w:ilvl w:val="1"/>
          <w:numId w:val="1007"/>
        </w:numPr>
      </w:pPr>
      <w:r>
        <w:rPr>
          <w:b/>
          <w:bCs/>
        </w:rPr>
        <w:t xml:space="preserve">Markdown Research Log:</w:t>
      </w:r>
      <w:r>
        <w:t xml:space="preserve"> </w:t>
      </w:r>
      <w:r>
        <w:t xml:space="preserve">A detailed Markdown document that records the reasoning for each symbol and overall market notes. This could include bullet-point summaries and any charts or quotes. It serves as an audit trail. For example:</w:t>
      </w:r>
    </w:p>
    <w:p>
      <w:pPr>
        <w:pStyle w:val="SourceCode"/>
        <w:numPr>
          <w:ilvl w:val="1"/>
          <w:numId w:val="1000"/>
        </w:numPr>
      </w:pPr>
      <w:r>
        <w:rPr>
          <w:rStyle w:val="VerbatimChar"/>
        </w:rPr>
        <w:t xml:space="preserve">### AAPL</w:t>
      </w:r>
      <w:r>
        <w:br/>
      </w:r>
      <w:r>
        <w:rPr>
          <w:rStyle w:val="VerbatimChar"/>
        </w:rPr>
        <w:t xml:space="preserve">- **Pivot:** 151.00 (prior-day high)</w:t>
      </w:r>
      <w:r>
        <w:br/>
      </w:r>
      <w:r>
        <w:rPr>
          <w:rStyle w:val="VerbatimChar"/>
        </w:rPr>
        <w:t xml:space="preserve">- **Gap:** +3.2%</w:t>
      </w:r>
      <w:r>
        <w:br/>
      </w:r>
      <w:r>
        <w:rPr>
          <w:rStyle w:val="VerbatimChar"/>
        </w:rPr>
        <w:t xml:space="preserve">- **RVOL:** 2.1×</w:t>
      </w:r>
      <w:r>
        <w:br/>
      </w:r>
      <w:r>
        <w:rPr>
          <w:rStyle w:val="VerbatimChar"/>
        </w:rPr>
        <w:t xml:space="preserve">- **News:** Earnings beat (released 8:30am)</w:t>
      </w:r>
      <w:r>
        <w:br/>
      </w:r>
      <w:r>
        <w:rPr>
          <w:rStyle w:val="VerbatimChar"/>
        </w:rPr>
        <w:t xml:space="preserve">- **Technical:** Above daily 50 SMA at 150.5; 200 SMA at 155 is out of way</w:t>
      </w:r>
      <w:r>
        <w:br/>
      </w:r>
      <w:r>
        <w:rPr>
          <w:rStyle w:val="VerbatimChar"/>
        </w:rPr>
        <w:t xml:space="preserve">- **Next Res.:** $154 (multi-week high)</w:t>
      </w:r>
      <w:r>
        <w:br/>
      </w:r>
      <w:r>
        <w:rPr>
          <w:rStyle w:val="VerbatimChar"/>
        </w:rPr>
        <w:t xml:space="preserve">- **Notes:** Strong base breakout; clear upward trend.  </w:t>
      </w:r>
    </w:p>
    <w:p>
      <w:pPr>
        <w:pStyle w:val="Compact"/>
        <w:numPr>
          <w:ilvl w:val="1"/>
          <w:numId w:val="1007"/>
        </w:numPr>
      </w:pPr>
      <w:r>
        <w:rPr>
          <w:b/>
          <w:bCs/>
        </w:rPr>
        <w:t xml:space="preserve">Market Summary:</w:t>
      </w:r>
      <w:r>
        <w:t xml:space="preserve"> </w:t>
      </w:r>
      <w:r>
        <w:t xml:space="preserve">At the top, a brief text (or JSON fields) summarizing index futures moves and volatility: e.g.</w:t>
      </w:r>
      <w:r>
        <w:t xml:space="preserve"> </w:t>
      </w:r>
      <w:r>
        <w:rPr>
          <w:rStyle w:val="VerbatimChar"/>
        </w:rPr>
        <w:t xml:space="preserve">"Nasdaq futures +1.0%, S&amp;P futures +0.8%, VIX futures +2.5%"</w:t>
      </w:r>
      <w:r>
        <w:t xml:space="preserve">.</w:t>
      </w:r>
    </w:p>
    <w:p>
      <w:pPr>
        <w:numPr>
          <w:ilvl w:val="0"/>
          <w:numId w:val="1003"/>
        </w:numPr>
      </w:pPr>
      <w:r>
        <w:rPr>
          <w:i/>
          <w:iCs/>
        </w:rPr>
        <w:t xml:space="preserve">Notes:</w:t>
      </w:r>
      <w:r>
        <w:t xml:space="preserve"> </w:t>
      </w:r>
      <w:r>
        <w:t xml:space="preserve">Use consistent formatting. Include timestamp and note if this was pre-market or intraday scan. Store logs to disk for later review.</w:t>
      </w:r>
    </w:p>
    <w:p>
      <w:pPr>
        <w:numPr>
          <w:ilvl w:val="0"/>
          <w:numId w:val="1003"/>
        </w:numPr>
      </w:pPr>
      <w:r>
        <w:rPr>
          <w:b/>
          <w:bCs/>
        </w:rPr>
        <w:t xml:space="preserve">Scheduler:</w:t>
      </w:r>
    </w:p>
    <w:p>
      <w:pPr>
        <w:pStyle w:val="Compact"/>
        <w:numPr>
          <w:ilvl w:val="0"/>
          <w:numId w:val="1003"/>
        </w:numPr>
      </w:pPr>
      <w:r>
        <w:rPr>
          <w:i/>
          <w:iCs/>
        </w:rPr>
        <w:t xml:space="preserve">Function:</w:t>
      </w:r>
      <w:r>
        <w:t xml:space="preserve"> </w:t>
      </w:r>
      <w:r>
        <w:t xml:space="preserve">Automatically trigger scans at configured times.</w:t>
      </w:r>
    </w:p>
    <w:p>
      <w:pPr>
        <w:pStyle w:val="Compact"/>
        <w:numPr>
          <w:ilvl w:val="0"/>
          <w:numId w:val="1003"/>
        </w:numPr>
      </w:pPr>
      <w:r>
        <w:rPr>
          <w:i/>
          <w:iCs/>
        </w:rPr>
        <w:t xml:space="preserve">Options:</w:t>
      </w:r>
    </w:p>
    <w:p>
      <w:pPr>
        <w:pStyle w:val="Compact"/>
        <w:numPr>
          <w:ilvl w:val="1"/>
          <w:numId w:val="1008"/>
        </w:numPr>
      </w:pPr>
      <w:r>
        <w:rPr>
          <w:b/>
          <w:bCs/>
        </w:rPr>
        <w:t xml:space="preserve">Python Scheduler Library:</w:t>
      </w:r>
      <w:r>
        <w:t xml:space="preserve"> </w:t>
      </w:r>
      <w:r>
        <w:t xml:space="preserve">Use</w:t>
      </w:r>
      <w:r>
        <w:t xml:space="preserve"> </w:t>
      </w:r>
      <w:r>
        <w:rPr>
          <w:rStyle w:val="VerbatimChar"/>
        </w:rPr>
        <w:t xml:space="preserve">schedule</w:t>
      </w:r>
      <w:r>
        <w:t xml:space="preserve"> </w:t>
      </w:r>
      <w:r>
        <w:t xml:space="preserve">(pip install) or</w:t>
      </w:r>
      <w:r>
        <w:t xml:space="preserve"> </w:t>
      </w:r>
      <w:r>
        <w:rPr>
          <w:rStyle w:val="VerbatimChar"/>
        </w:rPr>
        <w:t xml:space="preserve">APScheduler</w:t>
      </w:r>
      <w:r>
        <w:t xml:space="preserve"> </w:t>
      </w:r>
      <w:r>
        <w:t xml:space="preserve">to run a job every weekday at a given time (e.g.</w:t>
      </w:r>
      <w:r>
        <w:t xml:space="preserve"> </w:t>
      </w:r>
      <w:r>
        <w:rPr>
          <w:rStyle w:val="VerbatimChar"/>
        </w:rPr>
        <w:t xml:space="preserve">schedule.every().monday().to.friday().at("08:00").do(run_scan)</w:t>
      </w:r>
      <w:r>
        <w:t xml:space="preserve">).</w:t>
      </w:r>
    </w:p>
    <w:p>
      <w:pPr>
        <w:pStyle w:val="Compact"/>
        <w:numPr>
          <w:ilvl w:val="1"/>
          <w:numId w:val="1008"/>
        </w:numPr>
      </w:pPr>
      <w:r>
        <w:rPr>
          <w:b/>
          <w:bCs/>
        </w:rPr>
        <w:t xml:space="preserve">Cron:</w:t>
      </w:r>
      <w:r>
        <w:t xml:space="preserve"> </w:t>
      </w:r>
      <w:r>
        <w:t xml:space="preserve">As an alternative, set a cron job on the server/PC to execute the scan script at 8:00 AM ET on trading days.</w:t>
      </w:r>
    </w:p>
    <w:p>
      <w:pPr>
        <w:pStyle w:val="Compact"/>
        <w:numPr>
          <w:ilvl w:val="0"/>
          <w:numId w:val="1003"/>
        </w:numPr>
      </w:pPr>
      <w:r>
        <w:rPr>
          <w:i/>
          <w:iCs/>
        </w:rPr>
        <w:t xml:space="preserve">Inputs:</w:t>
      </w:r>
      <w:r>
        <w:t xml:space="preserve"> </w:t>
      </w:r>
      <w:r>
        <w:t xml:space="preserve">Configuration for scan times and whether to enable intraday rescans.</w:t>
      </w:r>
    </w:p>
    <w:p>
      <w:pPr>
        <w:numPr>
          <w:ilvl w:val="0"/>
          <w:numId w:val="1003"/>
        </w:numPr>
      </w:pPr>
      <w:r>
        <w:rPr>
          <w:i/>
          <w:iCs/>
        </w:rPr>
        <w:t xml:space="preserve">Notes:</w:t>
      </w:r>
      <w:r>
        <w:t xml:space="preserve"> </w:t>
      </w:r>
      <w:r>
        <w:t xml:space="preserve">The scheduler should handle weekends/holidays (skip scanning on non-trading days). It should also ensure the IBKR API is connected before invoking the scan.</w:t>
      </w:r>
    </w:p>
    <w:p>
      <w:pPr>
        <w:numPr>
          <w:ilvl w:val="0"/>
          <w:numId w:val="1003"/>
        </w:numPr>
      </w:pPr>
      <w:r>
        <w:rPr>
          <w:b/>
          <w:bCs/>
        </w:rPr>
        <w:t xml:space="preserve">Error Handling &amp; Logging:</w:t>
      </w:r>
    </w:p>
    <w:p>
      <w:pPr>
        <w:pStyle w:val="Compact"/>
        <w:numPr>
          <w:ilvl w:val="0"/>
          <w:numId w:val="1003"/>
        </w:numPr>
      </w:pPr>
      <w:r>
        <w:rPr>
          <w:i/>
          <w:iCs/>
        </w:rPr>
        <w:t xml:space="preserve">Function:</w:t>
      </w:r>
      <w:r>
        <w:t xml:space="preserve"> </w:t>
      </w:r>
      <w:r>
        <w:t xml:space="preserve">Ensure robustness.</w:t>
      </w:r>
    </w:p>
    <w:p>
      <w:pPr>
        <w:pStyle w:val="Compact"/>
        <w:numPr>
          <w:ilvl w:val="0"/>
          <w:numId w:val="1003"/>
        </w:numPr>
      </w:pPr>
      <w:r>
        <w:rPr>
          <w:i/>
          <w:iCs/>
        </w:rPr>
        <w:t xml:space="preserve">Strategy:</w:t>
      </w:r>
      <w:r>
        <w:t xml:space="preserve"> </w:t>
      </w:r>
      <w:r>
        <w:t xml:space="preserve">Wrap IBKR requests and network calls in try/except blocks. On failure (e.g. API timeout, disconnection), retry a few times with exponential backoff. Log all errors to a log file. If a symbol’s data fetch fails, skip it but continue with others (fail-safe). If the entire scan fails, log the event and (optionally) send a user alert.</w:t>
      </w:r>
    </w:p>
    <w:p>
      <w:pPr>
        <w:pStyle w:val="Compact"/>
        <w:numPr>
          <w:ilvl w:val="0"/>
          <w:numId w:val="1003"/>
        </w:numPr>
      </w:pPr>
      <w:r>
        <w:rPr>
          <w:i/>
          <w:iCs/>
        </w:rPr>
        <w:t xml:space="preserve">Rate Limits:</w:t>
      </w:r>
      <w:r>
        <w:t xml:space="preserve"> </w:t>
      </w:r>
      <w:r>
        <w:t xml:space="preserve">Respect IBKR pacing by spacing out historical data requests (see [22]). If a pacing violation is detected, back off and retry later.</w:t>
      </w:r>
    </w:p>
    <w:p>
      <w:pPr>
        <w:pStyle w:val="Compact"/>
        <w:numPr>
          <w:ilvl w:val="0"/>
          <w:numId w:val="1003"/>
        </w:numPr>
      </w:pPr>
      <w:r>
        <w:rPr>
          <w:i/>
          <w:iCs/>
        </w:rPr>
        <w:t xml:space="preserve">Example:</w:t>
      </w:r>
      <w:r>
        <w:t xml:space="preserve"> </w:t>
      </w:r>
      <w:r>
        <w:t xml:space="preserve">If</w:t>
      </w:r>
      <w:r>
        <w:t xml:space="preserve"> </w:t>
      </w:r>
      <w:r>
        <w:rPr>
          <w:rStyle w:val="VerbatimChar"/>
        </w:rPr>
        <w:t xml:space="preserve">ib.reqHistoricalData()</w:t>
      </w:r>
      <w:r>
        <w:t xml:space="preserve"> </w:t>
      </w:r>
      <w:r>
        <w:t xml:space="preserve">throws a pacing exception, catch it and wait 15 seconds before retrying.</w:t>
      </w:r>
    </w:p>
    <w:bookmarkEnd w:id="47"/>
    <w:bookmarkStart w:id="48" w:name="python-libraries-tools"/>
    <w:p>
      <w:pPr>
        <w:pStyle w:val="Heading3"/>
      </w:pPr>
      <w:r>
        <w:t xml:space="preserve">3. Python Libraries &amp; Tools</w:t>
      </w:r>
    </w:p>
    <w:p>
      <w:pPr>
        <w:pStyle w:val="FirstParagraph"/>
      </w:pPr>
      <w:r>
        <w:t xml:space="preserve">Recommended libraries and tools include:</w:t>
      </w:r>
    </w:p>
    <w:p>
      <w:pPr>
        <w:pStyle w:val="Compact"/>
        <w:numPr>
          <w:ilvl w:val="0"/>
          <w:numId w:val="1009"/>
        </w:numPr>
      </w:pPr>
      <w:r>
        <w:rPr>
          <w:b/>
          <w:bCs/>
        </w:rPr>
        <w:t xml:space="preserve">ib_insync</w:t>
      </w:r>
      <w:r>
        <w:t xml:space="preserve"> </w:t>
      </w:r>
      <w:r>
        <w:t xml:space="preserve">or</w:t>
      </w:r>
      <w:r>
        <w:t xml:space="preserve"> </w:t>
      </w:r>
      <w:r>
        <w:rPr>
          <w:b/>
          <w:bCs/>
        </w:rPr>
        <w:t xml:space="preserve">ibapi</w:t>
      </w:r>
      <w:r>
        <w:t xml:space="preserve"> </w:t>
      </w:r>
      <w:r>
        <w:t xml:space="preserve">(from IBKR) – for all IBKR API interactions (market data, orders, news).</w:t>
      </w:r>
      <w:r>
        <w:t xml:space="preserve"> </w:t>
      </w:r>
      <w:r>
        <w:rPr>
          <w:rStyle w:val="VerbatimChar"/>
        </w:rPr>
        <w:t xml:space="preserve">ib_insync</w:t>
      </w:r>
      <w:r>
        <w:t xml:space="preserve"> </w:t>
      </w:r>
      <w:r>
        <w:t xml:space="preserve">(async Python) is user-friendly.</w:t>
      </w:r>
    </w:p>
    <w:p>
      <w:pPr>
        <w:pStyle w:val="Compact"/>
        <w:numPr>
          <w:ilvl w:val="0"/>
          <w:numId w:val="1009"/>
        </w:numPr>
      </w:pPr>
      <w:r>
        <w:rPr>
          <w:b/>
          <w:bCs/>
        </w:rPr>
        <w:t xml:space="preserve">pandas / NumPy</w:t>
      </w:r>
      <w:r>
        <w:t xml:space="preserve"> </w:t>
      </w:r>
      <w:r>
        <w:t xml:space="preserve">– data handling and indicator computation. Pandas can easily compute SMAs, EMAs, Bollinger Bands, regression (via rolling windows).</w:t>
      </w:r>
    </w:p>
    <w:p>
      <w:pPr>
        <w:pStyle w:val="Compact"/>
        <w:numPr>
          <w:ilvl w:val="0"/>
          <w:numId w:val="1009"/>
        </w:numPr>
      </w:pPr>
      <w:r>
        <w:rPr>
          <w:b/>
          <w:bCs/>
        </w:rPr>
        <w:t xml:space="preserve">pandas_ta</w:t>
      </w:r>
      <w:r>
        <w:t xml:space="preserve"> </w:t>
      </w:r>
      <w:r>
        <w:t xml:space="preserve">or</w:t>
      </w:r>
      <w:r>
        <w:t xml:space="preserve"> </w:t>
      </w:r>
      <w:r>
        <w:rPr>
          <w:b/>
          <w:bCs/>
        </w:rPr>
        <w:t xml:space="preserve">TA-Lib</w:t>
      </w:r>
      <w:r>
        <w:t xml:space="preserve"> </w:t>
      </w:r>
      <w:r>
        <w:t xml:space="preserve">– optional technical analysis libraries (if needed). Note: TA-Lib indicators are easy, but require C library. Pandas can do the same.</w:t>
      </w:r>
    </w:p>
    <w:p>
      <w:pPr>
        <w:pStyle w:val="Compact"/>
        <w:numPr>
          <w:ilvl w:val="0"/>
          <w:numId w:val="1009"/>
        </w:numPr>
      </w:pPr>
      <w:r>
        <w:rPr>
          <w:b/>
          <w:bCs/>
        </w:rPr>
        <w:t xml:space="preserve">requests or httpx</w:t>
      </w:r>
      <w:r>
        <w:t xml:space="preserve"> </w:t>
      </w:r>
      <w:r>
        <w:t xml:space="preserve">– for calling external news APIs or web services.</w:t>
      </w:r>
    </w:p>
    <w:p>
      <w:pPr>
        <w:pStyle w:val="Compact"/>
        <w:numPr>
          <w:ilvl w:val="0"/>
          <w:numId w:val="1009"/>
        </w:numPr>
      </w:pPr>
      <w:r>
        <w:rPr>
          <w:b/>
          <w:bCs/>
        </w:rPr>
        <w:t xml:space="preserve">schedule</w:t>
      </w:r>
      <w:r>
        <w:t xml:space="preserve"> </w:t>
      </w:r>
      <w:r>
        <w:t xml:space="preserve">– a lightweight Python scheduling library (https://pypi.org/project/schedule) to trigger scans.</w:t>
      </w:r>
    </w:p>
    <w:p>
      <w:pPr>
        <w:pStyle w:val="Compact"/>
        <w:numPr>
          <w:ilvl w:val="0"/>
          <w:numId w:val="1009"/>
        </w:numPr>
      </w:pPr>
      <w:r>
        <w:rPr>
          <w:b/>
          <w:bCs/>
        </w:rPr>
        <w:t xml:space="preserve">json, csv, pathlib</w:t>
      </w:r>
      <w:r>
        <w:t xml:space="preserve"> </w:t>
      </w:r>
      <w:r>
        <w:t xml:space="preserve">– standard libs for config and output I/O.</w:t>
      </w:r>
    </w:p>
    <w:p>
      <w:pPr>
        <w:pStyle w:val="Compact"/>
        <w:numPr>
          <w:ilvl w:val="0"/>
          <w:numId w:val="1009"/>
        </w:numPr>
      </w:pPr>
      <w:r>
        <w:rPr>
          <w:b/>
          <w:bCs/>
        </w:rPr>
        <w:t xml:space="preserve">logging</w:t>
      </w:r>
      <w:r>
        <w:t xml:space="preserve"> </w:t>
      </w:r>
      <w:r>
        <w:t xml:space="preserve">– Python’s built-in logging for logs.</w:t>
      </w:r>
    </w:p>
    <w:p>
      <w:pPr>
        <w:pStyle w:val="Compact"/>
        <w:numPr>
          <w:ilvl w:val="0"/>
          <w:numId w:val="1009"/>
        </w:numPr>
      </w:pPr>
      <w:r>
        <w:rPr>
          <w:b/>
          <w:bCs/>
        </w:rPr>
        <w:t xml:space="preserve">yfinance / alpha_vantage / finnhub-python</w:t>
      </w:r>
      <w:r>
        <w:t xml:space="preserve"> </w:t>
      </w:r>
      <w:r>
        <w:t xml:space="preserve">– optional wrappers for fallback market data or news.</w:t>
      </w:r>
    </w:p>
    <w:p>
      <w:pPr>
        <w:pStyle w:val="Compact"/>
        <w:numPr>
          <w:ilvl w:val="0"/>
          <w:numId w:val="1009"/>
        </w:numPr>
      </w:pPr>
      <w:r>
        <w:rPr>
          <w:b/>
          <w:bCs/>
        </w:rPr>
        <w:t xml:space="preserve">BeautifulSoup / feedparser</w:t>
      </w:r>
      <w:r>
        <w:t xml:space="preserve"> </w:t>
      </w:r>
      <w:r>
        <w:t xml:space="preserve">– if parsing HTML/RSS news feeds.</w:t>
      </w:r>
    </w:p>
    <w:p>
      <w:pPr>
        <w:pStyle w:val="FirstParagraph"/>
      </w:pPr>
      <w:r>
        <w:t xml:space="preserve">When using IBKR API, ensure the user has TWS or IB Gateway (API version ≥ 973) installed and open. The IBKR Python API requires logging into TWS/Gateway with the same client ID and enabling the API.</w:t>
      </w:r>
    </w:p>
    <w:bookmarkEnd w:id="48"/>
    <w:bookmarkStart w:id="49" w:name="data-formats"/>
    <w:p>
      <w:pPr>
        <w:pStyle w:val="Heading3"/>
      </w:pPr>
      <w:r>
        <w:t xml:space="preserve">4. Data Formats</w:t>
      </w:r>
    </w:p>
    <w:p>
      <w:pPr>
        <w:pStyle w:val="Compact"/>
        <w:numPr>
          <w:ilvl w:val="0"/>
          <w:numId w:val="1010"/>
        </w:numPr>
      </w:pPr>
      <w:r>
        <w:rPr>
          <w:b/>
          <w:bCs/>
        </w:rPr>
        <w:t xml:space="preserve">Configuration File:</w:t>
      </w:r>
      <w:r>
        <w:t xml:space="preserve"> </w:t>
      </w:r>
      <w:r>
        <w:t xml:space="preserve">Use a human-readable format (JSON or YAML). Example (JSON):</w:t>
      </w:r>
    </w:p>
    <w:p>
      <w:pPr>
        <w:pStyle w:val="SourceCode"/>
        <w:numPr>
          <w:ilvl w:val="0"/>
          <w:numId w:val="1000"/>
        </w:numPr>
      </w:pPr>
      <w:r>
        <w:rPr>
          <w:rStyle w:val="VerbatimChar"/>
        </w:rPr>
        <w:t xml:space="preserve">{</w:t>
      </w:r>
      <w:r>
        <w:br/>
      </w:r>
      <w:r>
        <w:rPr>
          <w:rStyle w:val="VerbatimChar"/>
        </w:rPr>
        <w:t xml:space="preserve">  "scan_time": "08:00",          // when to run scanner (HH:MM ET)</w:t>
      </w:r>
      <w:r>
        <w:br/>
      </w:r>
      <w:r>
        <w:rPr>
          <w:rStyle w:val="VerbatimChar"/>
        </w:rPr>
        <w:t xml:space="preserve">  "symbols": ["AAPL","TSLA","AMZN"],  // custom symbol list (optional)</w:t>
      </w:r>
      <w:r>
        <w:br/>
      </w:r>
      <w:r>
        <w:rPr>
          <w:rStyle w:val="VerbatimChar"/>
        </w:rPr>
        <w:t xml:space="preserve">  "base_universe": "SP500",      // or "NASDAQ100"</w:t>
      </w:r>
      <w:r>
        <w:br/>
      </w:r>
      <w:r>
        <w:rPr>
          <w:rStyle w:val="VerbatimChar"/>
        </w:rPr>
        <w:t xml:space="preserve">  "min_price": 5.0,</w:t>
      </w:r>
      <w:r>
        <w:br/>
      </w:r>
      <w:r>
        <w:rPr>
          <w:rStyle w:val="VerbatimChar"/>
        </w:rPr>
        <w:t xml:space="preserve">  "min_avg_volume": 100000,</w:t>
      </w:r>
      <w:r>
        <w:br/>
      </w:r>
      <w:r>
        <w:rPr>
          <w:rStyle w:val="VerbatimChar"/>
        </w:rPr>
        <w:t xml:space="preserve">  "filters": {</w:t>
      </w:r>
      <w:r>
        <w:br/>
      </w:r>
      <w:r>
        <w:rPr>
          <w:rStyle w:val="VerbatimChar"/>
        </w:rPr>
        <w:t xml:space="preserve">    "min_gap_pct": 2.0,</w:t>
      </w:r>
      <w:r>
        <w:br/>
      </w:r>
      <w:r>
        <w:rPr>
          <w:rStyle w:val="VerbatimChar"/>
        </w:rPr>
        <w:t xml:space="preserve">    "min_rvol": 1.5,</w:t>
      </w:r>
      <w:r>
        <w:br/>
      </w:r>
      <w:r>
        <w:rPr>
          <w:rStyle w:val="VerbatimChar"/>
        </w:rPr>
        <w:t xml:space="preserve">    "room_to_run_margin": 0.01  // 1% gap from MA or resistance</w:t>
      </w:r>
      <w:r>
        <w:br/>
      </w:r>
      <w:r>
        <w:rPr>
          <w:rStyle w:val="VerbatimChar"/>
        </w:rPr>
        <w:t xml:space="preserve">  },</w:t>
      </w:r>
      <w:r>
        <w:br/>
      </w:r>
      <w:r>
        <w:rPr>
          <w:rStyle w:val="VerbatimChar"/>
        </w:rPr>
        <w:t xml:space="preserve">  "intraday_scan": {</w:t>
      </w:r>
      <w:r>
        <w:br/>
      </w:r>
      <w:r>
        <w:rPr>
          <w:rStyle w:val="VerbatimChar"/>
        </w:rPr>
        <w:t xml:space="preserve">    "enabled": true,</w:t>
      </w:r>
      <w:r>
        <w:br/>
      </w:r>
      <w:r>
        <w:rPr>
          <w:rStyle w:val="VerbatimChar"/>
        </w:rPr>
        <w:t xml:space="preserve">    "time": "10:00"</w:t>
      </w:r>
      <w:r>
        <w:br/>
      </w:r>
      <w:r>
        <w:rPr>
          <w:rStyle w:val="VerbatimChar"/>
        </w:rPr>
        <w:t xml:space="preserve">  }</w:t>
      </w:r>
      <w:r>
        <w:br/>
      </w:r>
      <w:r>
        <w:rPr>
          <w:rStyle w:val="VerbatimChar"/>
        </w:rPr>
        <w:t xml:space="preserve">}</w:t>
      </w:r>
    </w:p>
    <w:p>
      <w:pPr>
        <w:pStyle w:val="Compact"/>
        <w:numPr>
          <w:ilvl w:val="0"/>
          <w:numId w:val="1010"/>
        </w:numPr>
      </w:pPr>
      <w:r>
        <w:rPr>
          <w:b/>
          <w:bCs/>
        </w:rPr>
        <w:t xml:space="preserve">Market Data Input:</w:t>
      </w:r>
      <w:r>
        <w:t xml:space="preserve"> </w:t>
      </w:r>
      <w:r>
        <w:t xml:space="preserve">The IBKR interface will produce tick snapshots or bar files in memory, not files. Internally use Pandas DataFrames keyed by timestamp.</w:t>
      </w:r>
    </w:p>
    <w:p>
      <w:pPr>
        <w:pStyle w:val="Compact"/>
        <w:numPr>
          <w:ilvl w:val="0"/>
          <w:numId w:val="1010"/>
        </w:numPr>
      </w:pPr>
      <w:r>
        <w:rPr>
          <w:b/>
          <w:bCs/>
        </w:rPr>
        <w:t xml:space="preserve">Watchlist Output:</w:t>
      </w:r>
      <w:r>
        <w:t xml:space="preserve"> </w:t>
      </w:r>
      <w:r>
        <w:t xml:space="preserve">CSV with columns like</w:t>
      </w:r>
      <w:r>
        <w:t xml:space="preserve"> </w:t>
      </w:r>
      <w:r>
        <w:rPr>
          <w:rStyle w:val="VerbatimChar"/>
        </w:rPr>
        <w:t xml:space="preserve">Ticker,PivotPrice,GapPct,RVOL,News,NextResistance,NextSupport,Comments</w:t>
      </w:r>
      <w:r>
        <w:t xml:space="preserve">. Also output a JSON file (e.g.</w:t>
      </w:r>
      <w:r>
        <w:t xml:space="preserve"> </w:t>
      </w:r>
      <w:r>
        <w:rPr>
          <w:rStyle w:val="VerbatimChar"/>
        </w:rPr>
        <w:t xml:space="preserve">watchlist.json</w:t>
      </w:r>
      <w:r>
        <w:t xml:space="preserve">) with the same data structure, for programmatic use.</w:t>
      </w:r>
    </w:p>
    <w:p>
      <w:pPr>
        <w:pStyle w:val="Compact"/>
        <w:numPr>
          <w:ilvl w:val="0"/>
          <w:numId w:val="1010"/>
        </w:numPr>
      </w:pPr>
      <w:r>
        <w:rPr>
          <w:b/>
          <w:bCs/>
        </w:rPr>
        <w:t xml:space="preserve">Research Log:</w:t>
      </w:r>
      <w:r>
        <w:t xml:space="preserve"> </w:t>
      </w:r>
      <w:r>
        <w:t xml:space="preserve">Markdown (</w:t>
      </w:r>
      <w:r>
        <w:rPr>
          <w:rStyle w:val="VerbatimChar"/>
        </w:rPr>
        <w:t xml:space="preserve">*.md</w:t>
      </w:r>
      <w:r>
        <w:t xml:space="preserve">) file with headings and bullet points as shown above. Include date/time in filename.</w:t>
      </w:r>
    </w:p>
    <w:bookmarkEnd w:id="49"/>
    <w:bookmarkStart w:id="53" w:name="ibkr-api-integration-details"/>
    <w:p>
      <w:pPr>
        <w:pStyle w:val="Heading3"/>
      </w:pPr>
      <w:r>
        <w:t xml:space="preserve">5. IBKR API Integration Details</w:t>
      </w:r>
    </w:p>
    <w:p>
      <w:pPr>
        <w:pStyle w:val="Compact"/>
        <w:numPr>
          <w:ilvl w:val="0"/>
          <w:numId w:val="1011"/>
        </w:numPr>
      </w:pPr>
      <w:r>
        <w:rPr>
          <w:b/>
          <w:bCs/>
        </w:rPr>
        <w:t xml:space="preserve">Market Data Subscription:</w:t>
      </w:r>
      <w:r>
        <w:t xml:space="preserve"> </w:t>
      </w:r>
      <w:r>
        <w:t xml:space="preserve">The user must have the necessary IBKR market data subscriptions. The IBKR interface will request Level I quotes for each symbol on the watchlist. By default, IBKR limits each account to</w:t>
      </w:r>
      <w:r>
        <w:t xml:space="preserve"> </w:t>
      </w:r>
      <w:r>
        <w:rPr>
          <w:b/>
          <w:bCs/>
        </w:rPr>
        <w:t xml:space="preserve">100 simultaneous market data lines</w:t>
      </w:r>
      <w:hyperlink r:id="rId41">
        <w:r>
          <w:rPr>
            <w:rStyle w:val="Hyperlink"/>
          </w:rPr>
          <w:t xml:space="preserve">[18]</w:t>
        </w:r>
      </w:hyperlink>
      <w:r>
        <w:t xml:space="preserve">. This includes the sum of subscriptions in TWS plus the API. Plan to scan at most ~50–100 symbols at once. If scanning a larger list, subscribe in batches (subscribe 50 at a time, process, then unsubscribe and subscribe the next 50).</w:t>
      </w:r>
    </w:p>
    <w:p>
      <w:pPr>
        <w:pStyle w:val="Compact"/>
        <w:numPr>
          <w:ilvl w:val="0"/>
          <w:numId w:val="1011"/>
        </w:numPr>
      </w:pPr>
      <w:r>
        <w:rPr>
          <w:b/>
          <w:bCs/>
        </w:rPr>
        <w:t xml:space="preserve">Historical Data:</w:t>
      </w:r>
      <w:r>
        <w:t xml:space="preserve"> </w:t>
      </w:r>
      <w:r>
        <w:t xml:space="preserve">The scanner needs historical bars. Use</w:t>
      </w:r>
      <w:r>
        <w:t xml:space="preserve"> </w:t>
      </w:r>
      <w:r>
        <w:rPr>
          <w:rStyle w:val="VerbatimChar"/>
        </w:rPr>
        <w:t xml:space="preserve">reqHistoricalData()</w:t>
      </w:r>
      <w:r>
        <w:t xml:space="preserve"> </w:t>
      </w:r>
      <w:r>
        <w:t xml:space="preserve">with appropriate duration and bar sizes (e.g. 5D 1-min bars, or 30D 60-min bars, then resample). Note IBKR’s pacing rules</w:t>
      </w:r>
      <w:hyperlink r:id="rId50">
        <w:r>
          <w:rPr>
            <w:rStyle w:val="Hyperlink"/>
          </w:rPr>
          <w:t xml:space="preserve">[22]</w:t>
        </w:r>
      </w:hyperlink>
      <w:r>
        <w:t xml:space="preserve">: avoid identical requests within 15 seconds, and keep total historical data requests &lt;60 per 10 minutes</w:t>
      </w:r>
      <w:hyperlink r:id="rId50">
        <w:r>
          <w:rPr>
            <w:rStyle w:val="Hyperlink"/>
          </w:rPr>
          <w:t xml:space="preserve">[22]</w:t>
        </w:r>
      </w:hyperlink>
      <w:r>
        <w:t xml:space="preserve">. Best practice: reuse cached bars when possible, and request multiple days in one call (within allowed step sizes</w:t>
      </w:r>
      <w:hyperlink r:id="rId51">
        <w:r>
          <w:rPr>
            <w:rStyle w:val="Hyperlink"/>
          </w:rPr>
          <w:t xml:space="preserve">[23]</w:t>
        </w:r>
      </w:hyperlink>
      <w:r>
        <w:t xml:space="preserve">).</w:t>
      </w:r>
    </w:p>
    <w:p>
      <w:pPr>
        <w:pStyle w:val="Compact"/>
        <w:numPr>
          <w:ilvl w:val="0"/>
          <w:numId w:val="1011"/>
        </w:numPr>
      </w:pPr>
      <w:r>
        <w:rPr>
          <w:b/>
          <w:bCs/>
        </w:rPr>
        <w:t xml:space="preserve">News Feed:</w:t>
      </w:r>
      <w:r>
        <w:t xml:space="preserve"> </w:t>
      </w:r>
      <w:r>
        <w:t xml:space="preserve">If relying on IBKR news, the API function</w:t>
      </w:r>
      <w:r>
        <w:t xml:space="preserve"> </w:t>
      </w:r>
      <w:r>
        <w:rPr>
          <w:rStyle w:val="VerbatimChar"/>
        </w:rPr>
        <w:t xml:space="preserve">reqNewsProviders()</w:t>
      </w:r>
      <w:r>
        <w:t xml:space="preserve"> </w:t>
      </w:r>
      <w:r>
        <w:t xml:space="preserve">(IB API v973+) can list enabled sources</w:t>
      </w:r>
      <w:hyperlink r:id="rId44">
        <w:r>
          <w:rPr>
            <w:rStyle w:val="Hyperlink"/>
          </w:rPr>
          <w:t xml:space="preserve">[21]</w:t>
        </w:r>
      </w:hyperlink>
      <w:r>
        <w:t xml:space="preserve">. Then use</w:t>
      </w:r>
      <w:r>
        <w:t xml:space="preserve"> </w:t>
      </w:r>
      <w:r>
        <w:rPr>
          <w:rStyle w:val="VerbatimChar"/>
        </w:rPr>
        <w:t xml:space="preserve">reqMktData()</w:t>
      </w:r>
      <w:r>
        <w:t xml:space="preserve"> </w:t>
      </w:r>
      <w:r>
        <w:t xml:space="preserve">with news tick codes (e.g.</w:t>
      </w:r>
      <w:r>
        <w:t xml:space="preserve"> </w:t>
      </w:r>
      <w:r>
        <w:rPr>
          <w:rStyle w:val="VerbatimChar"/>
        </w:rPr>
        <w:t xml:space="preserve">genericTickList="292:BZ"</w:t>
      </w:r>
      <w:r>
        <w:t xml:space="preserve"> </w:t>
      </w:r>
      <w:r>
        <w:t xml:space="preserve">for Benzinga</w:t>
      </w:r>
      <w:hyperlink r:id="rId44">
        <w:r>
          <w:rPr>
            <w:rStyle w:val="Hyperlink"/>
          </w:rPr>
          <w:t xml:space="preserve">[21]</w:t>
        </w:r>
      </w:hyperlink>
      <w:r>
        <w:t xml:space="preserve">). Parsing</w:t>
      </w:r>
      <w:r>
        <w:t xml:space="preserve"> </w:t>
      </w:r>
      <w:r>
        <w:rPr>
          <w:rStyle w:val="VerbatimChar"/>
        </w:rPr>
        <w:t xml:space="preserve">newsBulletin</w:t>
      </w:r>
      <w:r>
        <w:t xml:space="preserve"> </w:t>
      </w:r>
      <w:r>
        <w:t xml:space="preserve">or market data messages provides headlines. Ensure the account has subscribed to that news service.</w:t>
      </w:r>
    </w:p>
    <w:p>
      <w:pPr>
        <w:pStyle w:val="Compact"/>
        <w:numPr>
          <w:ilvl w:val="0"/>
          <w:numId w:val="1011"/>
        </w:numPr>
      </w:pPr>
      <w:r>
        <w:rPr>
          <w:b/>
          <w:bCs/>
        </w:rPr>
        <w:t xml:space="preserve">Pacing Limits:</w:t>
      </w:r>
      <w:r>
        <w:t xml:space="preserve"> </w:t>
      </w:r>
      <w:r>
        <w:t xml:space="preserve">Respect IBKR global pacing for streaming and historical data. Keep total</w:t>
      </w:r>
      <w:r>
        <w:t xml:space="preserve"> </w:t>
      </w:r>
      <w:r>
        <w:rPr>
          <w:rStyle w:val="VerbatimChar"/>
        </w:rPr>
        <w:t xml:space="preserve">reqMktData</w:t>
      </w:r>
      <w:r>
        <w:t xml:space="preserve"> </w:t>
      </w:r>
      <w:r>
        <w:t xml:space="preserve">calls per second ≤ (MarketDataLines/2)</w:t>
      </w:r>
      <w:hyperlink r:id="rId52">
        <w:r>
          <w:rPr>
            <w:rStyle w:val="Hyperlink"/>
          </w:rPr>
          <w:t xml:space="preserve">[24]</w:t>
        </w:r>
      </w:hyperlink>
      <w:r>
        <w:t xml:space="preserve"> </w:t>
      </w:r>
      <w:r>
        <w:t xml:space="preserve">(as per updated limits). Monitor for pacing warnings from IBKR (errors are thrown). Implement sleeps if needed.</w:t>
      </w:r>
    </w:p>
    <w:bookmarkEnd w:id="53"/>
    <w:bookmarkStart w:id="54" w:name="technical-indicators-computations"/>
    <w:p>
      <w:pPr>
        <w:pStyle w:val="Heading3"/>
      </w:pPr>
      <w:r>
        <w:t xml:space="preserve">6. Technical Indicators &amp; Computations</w:t>
      </w:r>
    </w:p>
    <w:p>
      <w:pPr>
        <w:pStyle w:val="FirstParagraph"/>
      </w:pPr>
      <w:r>
        <w:t xml:space="preserve">All PS60 indicators will be</w:t>
      </w:r>
      <w:r>
        <w:t xml:space="preserve"> </w:t>
      </w:r>
      <w:r>
        <w:rPr>
          <w:b/>
          <w:bCs/>
        </w:rPr>
        <w:t xml:space="preserve">computed in software</w:t>
      </w:r>
      <w:r>
        <w:t xml:space="preserve"> </w:t>
      </w:r>
      <w:r>
        <w:t xml:space="preserve">(not from IBKR). For example:</w:t>
      </w:r>
    </w:p>
    <w:p>
      <w:pPr>
        <w:pStyle w:val="Compact"/>
        <w:numPr>
          <w:ilvl w:val="0"/>
          <w:numId w:val="1012"/>
        </w:numPr>
      </w:pPr>
      <w:r>
        <w:rPr>
          <w:b/>
          <w:bCs/>
        </w:rPr>
        <w:t xml:space="preserve">Simple Moving Averages (SMA):</w:t>
      </w:r>
      <w:r>
        <w:t xml:space="preserve"> </w:t>
      </w:r>
      <w:r>
        <w:t xml:space="preserve">Compute 5,10,20,50,100,200-period SMAs on 60-min and daily bars using Pandas</w:t>
      </w:r>
      <w:r>
        <w:t xml:space="preserve"> </w:t>
      </w:r>
      <w:r>
        <w:rPr>
          <w:rStyle w:val="VerbatimChar"/>
        </w:rPr>
        <w:t xml:space="preserve">.rolling().mean()</w:t>
      </w:r>
      <w:r>
        <w:t xml:space="preserve">.</w:t>
      </w:r>
    </w:p>
    <w:p>
      <w:pPr>
        <w:pStyle w:val="Compact"/>
        <w:numPr>
          <w:ilvl w:val="0"/>
          <w:numId w:val="1012"/>
        </w:numPr>
      </w:pPr>
      <w:r>
        <w:rPr>
          <w:b/>
          <w:bCs/>
        </w:rPr>
        <w:t xml:space="preserve">Exponential Moving Averages (EMA):</w:t>
      </w:r>
      <w:r>
        <w:t xml:space="preserve"> </w:t>
      </w:r>
      <w:r>
        <w:t xml:space="preserve">Similarly compute with</w:t>
      </w:r>
      <w:r>
        <w:t xml:space="preserve"> </w:t>
      </w:r>
      <w:r>
        <w:rPr>
          <w:rStyle w:val="VerbatimChar"/>
        </w:rPr>
        <w:t xml:space="preserve">.ewm()</w:t>
      </w:r>
      <w:r>
        <w:t xml:space="preserve">. Key EMAs (4,9,10,13,20,50,100,200) give dynamic zones.</w:t>
      </w:r>
    </w:p>
    <w:p>
      <w:pPr>
        <w:pStyle w:val="Compact"/>
        <w:numPr>
          <w:ilvl w:val="0"/>
          <w:numId w:val="1012"/>
        </w:numPr>
      </w:pPr>
      <w:r>
        <w:rPr>
          <w:b/>
          <w:bCs/>
        </w:rPr>
        <w:t xml:space="preserve">Bollinger Bands (60-min):</w:t>
      </w:r>
      <w:r>
        <w:t xml:space="preserve"> </w:t>
      </w:r>
      <w:r>
        <w:t xml:space="preserve">20-period SMA ±2σ (std dev) on 60-min bars. Pandas can do</w:t>
      </w:r>
      <w:r>
        <w:t xml:space="preserve"> </w:t>
      </w:r>
      <w:r>
        <w:rPr>
          <w:rStyle w:val="VerbatimChar"/>
        </w:rPr>
        <w:t xml:space="preserve">mean</w:t>
      </w:r>
      <w:r>
        <w:t xml:space="preserve"> </w:t>
      </w:r>
      <w:r>
        <w:t xml:space="preserve">and</w:t>
      </w:r>
      <w:r>
        <w:t xml:space="preserve"> </w:t>
      </w:r>
      <w:r>
        <w:rPr>
          <w:rStyle w:val="VerbatimChar"/>
        </w:rPr>
        <w:t xml:space="preserve">std</w:t>
      </w:r>
      <w:r>
        <w:t xml:space="preserve">.</w:t>
      </w:r>
    </w:p>
    <w:p>
      <w:pPr>
        <w:pStyle w:val="Compact"/>
        <w:numPr>
          <w:ilvl w:val="0"/>
          <w:numId w:val="1012"/>
        </w:numPr>
      </w:pPr>
      <w:r>
        <w:rPr>
          <w:b/>
          <w:bCs/>
        </w:rPr>
        <w:t xml:space="preserve">Linear Regression Line (60-min):</w:t>
      </w:r>
      <w:r>
        <w:t xml:space="preserve"> </w:t>
      </w:r>
      <w:r>
        <w:t xml:space="preserve">Use</w:t>
      </w:r>
      <w:r>
        <w:t xml:space="preserve"> </w:t>
      </w:r>
      <w:r>
        <w:rPr>
          <w:rStyle w:val="VerbatimChar"/>
        </w:rPr>
        <w:t xml:space="preserve">numpy.polyfit()</w:t>
      </w:r>
      <w:r>
        <w:t xml:space="preserve"> </w:t>
      </w:r>
      <w:r>
        <w:t xml:space="preserve">on last 30 bars of a 60-min series to get trend line, or use a rolling window regression formula. This provides slope as trend indicator.</w:t>
      </w:r>
    </w:p>
    <w:p>
      <w:pPr>
        <w:pStyle w:val="Compact"/>
        <w:numPr>
          <w:ilvl w:val="0"/>
          <w:numId w:val="1012"/>
        </w:numPr>
      </w:pPr>
      <w:r>
        <w:rPr>
          <w:b/>
          <w:bCs/>
        </w:rPr>
        <w:t xml:space="preserve">Pivot Levels:</w:t>
      </w:r>
      <w:r>
        <w:t xml:space="preserve"> </w:t>
      </w:r>
      <w:r>
        <w:t xml:space="preserve">Yesterday’s high/low on the daily chart are pivot candidates. Also first-hour high/low (if using opening range logic).</w:t>
      </w:r>
    </w:p>
    <w:p>
      <w:pPr>
        <w:pStyle w:val="Compact"/>
        <w:numPr>
          <w:ilvl w:val="0"/>
          <w:numId w:val="1012"/>
        </w:numPr>
      </w:pPr>
      <w:r>
        <w:rPr>
          <w:b/>
          <w:bCs/>
        </w:rPr>
        <w:t xml:space="preserve">Volume Average:</w:t>
      </w:r>
      <w:r>
        <w:t xml:space="preserve"> </w:t>
      </w:r>
      <w:r>
        <w:t xml:space="preserve">Compute average volume (e.g. 20-day average or intraday hour-by-hour average) to calculate RVOL.</w:t>
      </w:r>
    </w:p>
    <w:p>
      <w:pPr>
        <w:pStyle w:val="FirstParagraph"/>
      </w:pPr>
      <w:r>
        <w:t xml:space="preserve">By [22], note that</w:t>
      </w:r>
      <w:r>
        <w:t xml:space="preserve"> </w:t>
      </w:r>
      <w:r>
        <w:rPr>
          <w:b/>
          <w:bCs/>
        </w:rPr>
        <w:t xml:space="preserve">built-in technical studies are not available via IBKR</w:t>
      </w:r>
      <w:r>
        <w:t xml:space="preserve"> </w:t>
      </w:r>
      <w:r>
        <w:t xml:space="preserve">– e.g. Bollinger Bands must be computed manually</w:t>
      </w:r>
      <w:hyperlink r:id="rId43">
        <w:r>
          <w:rPr>
            <w:rStyle w:val="Hyperlink"/>
          </w:rPr>
          <w:t xml:space="preserve">[20]</w:t>
        </w:r>
      </w:hyperlink>
      <w:r>
        <w:t xml:space="preserve">. The system can use Pandas/Python for these.</w:t>
      </w:r>
    </w:p>
    <w:bookmarkEnd w:id="54"/>
    <w:bookmarkStart w:id="55" w:name="news-parsing-catalyst-identification"/>
    <w:p>
      <w:pPr>
        <w:pStyle w:val="Heading3"/>
      </w:pPr>
      <w:r>
        <w:t xml:space="preserve">7. News Parsing &amp; Catalyst Identification</w:t>
      </w:r>
    </w:p>
    <w:p>
      <w:pPr>
        <w:pStyle w:val="Compact"/>
        <w:numPr>
          <w:ilvl w:val="0"/>
          <w:numId w:val="1013"/>
        </w:numPr>
      </w:pPr>
      <w:r>
        <w:rPr>
          <w:b/>
          <w:bCs/>
        </w:rPr>
        <w:t xml:space="preserve">IBKR News:</w:t>
      </w:r>
      <w:r>
        <w:t xml:space="preserve"> </w:t>
      </w:r>
      <w:r>
        <w:t xml:space="preserve">As above, subscribe to IBKR’s news streams if available</w:t>
      </w:r>
      <w:hyperlink r:id="rId44">
        <w:r>
          <w:rPr>
            <w:rStyle w:val="Hyperlink"/>
          </w:rPr>
          <w:t xml:space="preserve">[21]</w:t>
        </w:r>
      </w:hyperlink>
      <w:r>
        <w:t xml:space="preserve">. Parse each incoming headline for keywords (e.g. “upgrade”, “earnings”, “FDA”, “guidance”). Tag symbols with news events.</w:t>
      </w:r>
    </w:p>
    <w:p>
      <w:pPr>
        <w:pStyle w:val="Compact"/>
        <w:numPr>
          <w:ilvl w:val="0"/>
          <w:numId w:val="1013"/>
        </w:numPr>
      </w:pPr>
      <w:r>
        <w:rPr>
          <w:b/>
          <w:bCs/>
        </w:rPr>
        <w:t xml:space="preserve">Public News APIs:</w:t>
      </w:r>
      <w:r>
        <w:t xml:space="preserve"> </w:t>
      </w:r>
      <w:r>
        <w:t xml:space="preserve">For example, use Finnhub’s stock news endpoint (</w:t>
      </w:r>
      <w:r>
        <w:rPr>
          <w:rStyle w:val="VerbatimChar"/>
        </w:rPr>
        <w:t xml:space="preserve">/news?category=general</w:t>
      </w:r>
      <w:r>
        <w:t xml:space="preserve">) which returns JSON news with tickers mentioned. For each symbol, filter the feed for that ticker. Alternatively, use an RSS feed (e.g. RSS of news sites) and filter by symbol name.</w:t>
      </w:r>
    </w:p>
    <w:p>
      <w:pPr>
        <w:pStyle w:val="Compact"/>
        <w:numPr>
          <w:ilvl w:val="0"/>
          <w:numId w:val="1013"/>
        </w:numPr>
      </w:pPr>
      <w:r>
        <w:rPr>
          <w:b/>
          <w:bCs/>
        </w:rPr>
        <w:t xml:space="preserve">Earnings Calendar:</w:t>
      </w:r>
      <w:r>
        <w:t xml:space="preserve"> </w:t>
      </w:r>
      <w:r>
        <w:t xml:space="preserve">Independently, pull earnings dates (e.g. using IEX or Nasdaq API) and check if today is an earnings day for any symbol. Mark these as “Earnings today” in rationale.</w:t>
      </w:r>
    </w:p>
    <w:p>
      <w:pPr>
        <w:pStyle w:val="FirstParagraph"/>
      </w:pPr>
      <w:r>
        <w:t xml:space="preserve">The News Integration Module should output a brief description to include in the watchlist, e.g.</w:t>
      </w:r>
      <w:r>
        <w:t xml:space="preserve"> </w:t>
      </w:r>
      <w:r>
        <w:rPr>
          <w:rStyle w:val="VerbatimChar"/>
        </w:rPr>
        <w:t xml:space="preserve">"Earnings Beat"</w:t>
      </w:r>
      <w:r>
        <w:t xml:space="preserve"> </w:t>
      </w:r>
      <w:r>
        <w:t xml:space="preserve">or</w:t>
      </w:r>
      <w:r>
        <w:t xml:space="preserve"> </w:t>
      </w:r>
      <w:r>
        <w:rPr>
          <w:rStyle w:val="VerbatimChar"/>
        </w:rPr>
        <w:t xml:space="preserve">"AZ FDA Advisory"</w:t>
      </w:r>
      <w:r>
        <w:t xml:space="preserve">.</w:t>
      </w:r>
    </w:p>
    <w:bookmarkEnd w:id="55"/>
    <w:bookmarkStart w:id="57" w:name="filtering-logic-ps60-specific"/>
    <w:p>
      <w:pPr>
        <w:pStyle w:val="Heading3"/>
      </w:pPr>
      <w:r>
        <w:t xml:space="preserve">8. Filtering Logic (PS60-Specific)</w:t>
      </w:r>
    </w:p>
    <w:p>
      <w:pPr>
        <w:pStyle w:val="FirstParagraph"/>
      </w:pPr>
      <w:r>
        <w:t xml:space="preserve">Implement the PS60 scan filters precisely:</w:t>
      </w:r>
    </w:p>
    <w:p>
      <w:pPr>
        <w:pStyle w:val="Compact"/>
        <w:numPr>
          <w:ilvl w:val="0"/>
          <w:numId w:val="1014"/>
        </w:numPr>
      </w:pPr>
      <w:r>
        <w:rPr>
          <w:b/>
          <w:bCs/>
        </w:rPr>
        <w:t xml:space="preserve">Gap % Filter:</w:t>
      </w:r>
      <w:r>
        <w:br/>
      </w:r>
    </w:p>
    <w:p>
      <w:pPr>
        <w:pStyle w:val="SourceCode"/>
        <w:numPr>
          <w:ilvl w:val="0"/>
          <w:numId w:val="1000"/>
        </w:numPr>
      </w:pPr>
      <w:r>
        <w:rPr>
          <w:rStyle w:val="VerbatimChar"/>
        </w:rPr>
        <w:t xml:space="preserve">gap_pct = (last_price - prev_close) / prev_close * 100</w:t>
      </w:r>
      <w:r>
        <w:br/>
      </w:r>
      <w:r>
        <w:rPr>
          <w:rStyle w:val="VerbatimChar"/>
        </w:rPr>
        <w:t xml:space="preserve">if abs(gap_pct) &lt; config['filters']['min_gap_pct']:</w:t>
      </w:r>
      <w:r>
        <w:br/>
      </w:r>
      <w:r>
        <w:rPr>
          <w:rStyle w:val="VerbatimChar"/>
        </w:rPr>
        <w:t xml:space="preserve">    skip_symbol()</w:t>
      </w:r>
    </w:p>
    <w:p>
      <w:pPr>
        <w:pStyle w:val="Compact"/>
        <w:numPr>
          <w:ilvl w:val="0"/>
          <w:numId w:val="1014"/>
        </w:numPr>
      </w:pPr>
      <w:r>
        <w:rPr>
          <w:b/>
          <w:bCs/>
        </w:rPr>
        <w:t xml:space="preserve">Relative Volume (RVOL):</w:t>
      </w:r>
      <w:r>
        <w:t xml:space="preserve"> </w:t>
      </w:r>
      <w:r>
        <w:t xml:space="preserve">Pre-market volume is compared to normal volume. For example:</w:t>
      </w:r>
    </w:p>
    <w:p>
      <w:pPr>
        <w:pStyle w:val="SourceCode"/>
        <w:numPr>
          <w:ilvl w:val="0"/>
          <w:numId w:val="1000"/>
        </w:numPr>
      </w:pPr>
      <w:r>
        <w:rPr>
          <w:rStyle w:val="VerbatimChar"/>
        </w:rPr>
        <w:t xml:space="preserve">rvol = premarket_vol / (avg_daily_vol / market_hours * premarket_minutes)</w:t>
      </w:r>
      <w:r>
        <w:br/>
      </w:r>
      <w:r>
        <w:rPr>
          <w:rStyle w:val="VerbatimChar"/>
        </w:rPr>
        <w:t xml:space="preserve">if rvol &lt; config['filters']['min_rvol']:</w:t>
      </w:r>
      <w:r>
        <w:br/>
      </w:r>
      <w:r>
        <w:rPr>
          <w:rStyle w:val="VerbatimChar"/>
        </w:rPr>
        <w:t xml:space="preserve">    skip_symbol()</w:t>
      </w:r>
    </w:p>
    <w:p>
      <w:pPr>
        <w:pStyle w:val="Compact"/>
        <w:numPr>
          <w:ilvl w:val="0"/>
          <w:numId w:val="1014"/>
        </w:numPr>
      </w:pPr>
      <w:r>
        <w:rPr>
          <w:b/>
          <w:bCs/>
        </w:rPr>
        <w:t xml:space="preserve">Prior-Day Pattern:</w:t>
      </w:r>
      <w:r>
        <w:t xml:space="preserve"> </w:t>
      </w:r>
      <w:r>
        <w:t xml:space="preserve">If yesterday’s chart shows a recognizable base or pivot, accept; otherwise require a stronger gap. (This may be a simple flag or more complex pattern recognition.)</w:t>
      </w:r>
    </w:p>
    <w:p>
      <w:pPr>
        <w:pStyle w:val="Compact"/>
        <w:numPr>
          <w:ilvl w:val="0"/>
          <w:numId w:val="1014"/>
        </w:numPr>
      </w:pPr>
      <w:r>
        <w:rPr>
          <w:b/>
          <w:bCs/>
        </w:rPr>
        <w:t xml:space="preserve">Room-to-Run / Technical Barriers:</w:t>
      </w:r>
      <w:r>
        <w:t xml:space="preserve"> </w:t>
      </w:r>
      <w:r>
        <w:t xml:space="preserve">Compute distance from current price to the nearest major resistance (e.g. 200-day SMA or prior multi-week high). If the available upside is small relative to risk, drop it</w:t>
      </w:r>
      <w:hyperlink r:id="rId31">
        <w:r>
          <w:rPr>
            <w:rStyle w:val="Hyperlink"/>
          </w:rPr>
          <w:t xml:space="preserve">[11]</w:t>
        </w:r>
      </w:hyperlink>
      <w:r>
        <w:t xml:space="preserve">. For example:</w:t>
      </w:r>
    </w:p>
    <w:p>
      <w:pPr>
        <w:pStyle w:val="SourceCode"/>
        <w:numPr>
          <w:ilvl w:val="0"/>
          <w:numId w:val="1000"/>
        </w:numPr>
      </w:pPr>
      <w:r>
        <w:rPr>
          <w:rStyle w:val="VerbatimChar"/>
        </w:rPr>
        <w:t xml:space="preserve">next_resistance = min(price_levels_above(price, indicators))</w:t>
      </w:r>
      <w:r>
        <w:br/>
      </w:r>
      <w:r>
        <w:rPr>
          <w:rStyle w:val="VerbatimChar"/>
        </w:rPr>
        <w:t xml:space="preserve">if (next_resistance - entry_price) &lt; min_target_distance:</w:t>
      </w:r>
      <w:r>
        <w:br/>
      </w:r>
      <w:r>
        <w:rPr>
          <w:rStyle w:val="VerbatimChar"/>
        </w:rPr>
        <w:t xml:space="preserve">    skip_symbol()</w:t>
      </w:r>
    </w:p>
    <w:p>
      <w:pPr>
        <w:pStyle w:val="Compact"/>
        <w:numPr>
          <w:ilvl w:val="0"/>
          <w:numId w:val="1014"/>
        </w:numPr>
      </w:pPr>
      <w:r>
        <w:rPr>
          <w:b/>
          <w:bCs/>
        </w:rPr>
        <w:t xml:space="preserve">Multi-Timeframe Check:</w:t>
      </w:r>
      <w:r>
        <w:t xml:space="preserve"> </w:t>
      </w:r>
      <w:r>
        <w:t xml:space="preserve">Ensure daily chart is not bearish. (For instance, require daily 20 SMA is sloping up, or no daily resistance immediately overhead.) This aligns with “no daily supply above”</w:t>
      </w:r>
      <w:hyperlink r:id="rId56">
        <w:r>
          <w:rPr>
            <w:rStyle w:val="Hyperlink"/>
          </w:rPr>
          <w:t xml:space="preserve">[25]</w:t>
        </w:r>
      </w:hyperlink>
      <w:r>
        <w:t xml:space="preserve"> </w:t>
      </w:r>
      <w:r>
        <w:t xml:space="preserve">(PS60 rule from strategy doc).</w:t>
      </w:r>
    </w:p>
    <w:p>
      <w:pPr>
        <w:pStyle w:val="FirstParagraph"/>
      </w:pPr>
      <w:r>
        <w:t xml:space="preserve">All filtering decisions should be logged. Symbols that fail filters can optionally be logged with reasons for audit.</w:t>
      </w:r>
    </w:p>
    <w:bookmarkEnd w:id="57"/>
    <w:bookmarkStart w:id="58" w:name="output-generation"/>
    <w:p>
      <w:pPr>
        <w:pStyle w:val="Heading3"/>
      </w:pPr>
      <w:r>
        <w:t xml:space="preserve">9. Output Generation</w:t>
      </w:r>
    </w:p>
    <w:p>
      <w:pPr>
        <w:pStyle w:val="FirstParagraph"/>
      </w:pPr>
      <w:r>
        <w:t xml:space="preserve">The final outputs of a scan include:</w:t>
      </w:r>
    </w:p>
    <w:p>
      <w:pPr>
        <w:pStyle w:val="Compact"/>
        <w:numPr>
          <w:ilvl w:val="0"/>
          <w:numId w:val="1015"/>
        </w:numPr>
      </w:pPr>
      <w:r>
        <w:rPr>
          <w:b/>
          <w:bCs/>
        </w:rPr>
        <w:t xml:space="preserve">Summary CSV/JSON:</w:t>
      </w:r>
      <w:r>
        <w:t xml:space="preserve"> </w:t>
      </w:r>
      <w:r>
        <w:t xml:space="preserve">Each candidate with key fields. Example CSV header:</w:t>
      </w:r>
    </w:p>
    <w:p>
      <w:pPr>
        <w:pStyle w:val="SourceCode"/>
        <w:numPr>
          <w:ilvl w:val="0"/>
          <w:numId w:val="1000"/>
        </w:numPr>
      </w:pPr>
      <w:r>
        <w:rPr>
          <w:rStyle w:val="VerbatimChar"/>
        </w:rPr>
        <w:t xml:space="preserve">Symbol,Direction,Pivot,GapPct,RVOL,News,Pattern,NextRes,NextSup,Comments</w:t>
      </w:r>
    </w:p>
    <w:p>
      <w:pPr>
        <w:pStyle w:val="Compact"/>
        <w:numPr>
          <w:ilvl w:val="0"/>
          <w:numId w:val="1000"/>
        </w:numPr>
      </w:pPr>
      <w:r>
        <w:t xml:space="preserve">Values could be:</w:t>
      </w:r>
    </w:p>
    <w:p>
      <w:pPr>
        <w:pStyle w:val="SourceCode"/>
        <w:numPr>
          <w:ilvl w:val="0"/>
          <w:numId w:val="1000"/>
        </w:numPr>
      </w:pPr>
      <w:r>
        <w:rPr>
          <w:rStyle w:val="VerbatimChar"/>
        </w:rPr>
        <w:t xml:space="preserve">AAPL,Long,151.00,2.3,2.1,EarningsBeat,BaseBreakout,154.50,149.20,"Above 50SMA"</w:t>
      </w:r>
    </w:p>
    <w:p>
      <w:pPr>
        <w:pStyle w:val="Compact"/>
        <w:numPr>
          <w:ilvl w:val="0"/>
          <w:numId w:val="1015"/>
        </w:numPr>
      </w:pPr>
      <w:r>
        <w:rPr>
          <w:b/>
          <w:bCs/>
        </w:rPr>
        <w:t xml:space="preserve">Markdown Watchlist Report:</w:t>
      </w:r>
      <w:r>
        <w:t xml:space="preserve"> </w:t>
      </w:r>
      <w:r>
        <w:t xml:space="preserve">(As described in Watchlist Generator) containing human-readable bullets.</w:t>
      </w:r>
    </w:p>
    <w:p>
      <w:pPr>
        <w:pStyle w:val="Compact"/>
        <w:numPr>
          <w:ilvl w:val="0"/>
          <w:numId w:val="1015"/>
        </w:numPr>
      </w:pPr>
      <w:r>
        <w:rPr>
          <w:b/>
          <w:bCs/>
        </w:rPr>
        <w:t xml:space="preserve">Market Context:</w:t>
      </w:r>
      <w:r>
        <w:t xml:space="preserve"> </w:t>
      </w:r>
      <w:r>
        <w:t xml:space="preserve">The first lines of the report can summarize index futures and volatility. E.g.:</w:t>
      </w:r>
    </w:p>
    <w:p>
      <w:pPr>
        <w:pStyle w:val="SourceCode"/>
        <w:numPr>
          <w:ilvl w:val="0"/>
          <w:numId w:val="1000"/>
        </w:numPr>
      </w:pPr>
      <w:r>
        <w:rPr>
          <w:rStyle w:val="VerbatimChar"/>
        </w:rPr>
        <w:t xml:space="preserve">**Market Context (8:15 AM ET):** S&amp;P futures +1.0%, Nasdaq futures +0.8%, VIX futures +3%. Oil +0.5%. Market bias moderately bullish.</w:t>
      </w:r>
    </w:p>
    <w:p>
      <w:pPr>
        <w:pStyle w:val="Compact"/>
        <w:numPr>
          <w:ilvl w:val="0"/>
          <w:numId w:val="1000"/>
        </w:numPr>
      </w:pPr>
      <w:r>
        <w:t xml:space="preserve">This is derived from one or two symbols’ pre-market moves (e.g. SPY option chain, or reading from Yahoo).</w:t>
      </w:r>
    </w:p>
    <w:p>
      <w:pPr>
        <w:pStyle w:val="FirstParagraph"/>
      </w:pPr>
      <w:r>
        <w:t xml:space="preserve">These outputs should be saved to a designated directory with timestamps (e.g.</w:t>
      </w:r>
      <w:r>
        <w:t xml:space="preserve"> </w:t>
      </w:r>
      <w:r>
        <w:rPr>
          <w:rStyle w:val="VerbatimChar"/>
        </w:rPr>
        <w:t xml:space="preserve">2025-09-25_pre_market_watchlist.csv</w:t>
      </w:r>
      <w:r>
        <w:t xml:space="preserve">).</w:t>
      </w:r>
    </w:p>
    <w:bookmarkEnd w:id="58"/>
    <w:bookmarkStart w:id="60" w:name="scheduling"/>
    <w:p>
      <w:pPr>
        <w:pStyle w:val="Heading3"/>
      </w:pPr>
      <w:r>
        <w:t xml:space="preserve">10. Scheduling</w:t>
      </w:r>
    </w:p>
    <w:p>
      <w:pPr>
        <w:pStyle w:val="Compact"/>
        <w:numPr>
          <w:ilvl w:val="0"/>
          <w:numId w:val="1016"/>
        </w:numPr>
      </w:pPr>
      <w:r>
        <w:t xml:space="preserve">Use the</w:t>
      </w:r>
      <w:r>
        <w:t xml:space="preserve"> </w:t>
      </w:r>
      <w:hyperlink r:id="rId59">
        <w:r>
          <w:rPr>
            <w:rStyle w:val="VerbatimChar"/>
          </w:rPr>
          <w:t xml:space="preserve">schedule</w:t>
        </w:r>
      </w:hyperlink>
      <w:r>
        <w:t xml:space="preserve"> </w:t>
      </w:r>
      <w:r>
        <w:t xml:space="preserve">library for simplicity. Example usage:</w:t>
      </w:r>
    </w:p>
    <w:p>
      <w:pPr>
        <w:pStyle w:val="SourceCode"/>
        <w:numPr>
          <w:ilvl w:val="0"/>
          <w:numId w:val="1000"/>
        </w:numPr>
      </w:pPr>
      <w:r>
        <w:rPr>
          <w:rStyle w:val="VerbatimChar"/>
        </w:rPr>
        <w:t xml:space="preserve">import schedule, time</w:t>
      </w:r>
      <w:r>
        <w:br/>
      </w:r>
      <w:r>
        <w:rPr>
          <w:rStyle w:val="VerbatimChar"/>
        </w:rPr>
        <w:t xml:space="preserve">def job(): run_pre_market_scan()</w:t>
      </w:r>
      <w:r>
        <w:br/>
      </w:r>
      <w:r>
        <w:rPr>
          <w:rStyle w:val="VerbatimChar"/>
        </w:rPr>
        <w:t xml:space="preserve">schedule.every().monday.to.friday.at(config["scan_time"]).do(job)</w:t>
      </w:r>
      <w:r>
        <w:br/>
      </w:r>
      <w:r>
        <w:rPr>
          <w:rStyle w:val="VerbatimChar"/>
        </w:rPr>
        <w:t xml:space="preserve">if config["intraday_scan"]["enabled"]:</w:t>
      </w:r>
      <w:r>
        <w:br/>
      </w:r>
      <w:r>
        <w:rPr>
          <w:rStyle w:val="VerbatimChar"/>
        </w:rPr>
        <w:t xml:space="preserve">    schedule.every().monday.to.friday.at(config["intraday_scan"]["time"]).do(job)</w:t>
      </w:r>
      <w:r>
        <w:br/>
      </w:r>
      <w:r>
        <w:rPr>
          <w:rStyle w:val="VerbatimChar"/>
        </w:rPr>
        <w:t xml:space="preserve">while True:</w:t>
      </w:r>
      <w:r>
        <w:br/>
      </w:r>
      <w:r>
        <w:rPr>
          <w:rStyle w:val="VerbatimChar"/>
        </w:rPr>
        <w:t xml:space="preserve">    schedule.run_pending()</w:t>
      </w:r>
      <w:r>
        <w:br/>
      </w:r>
      <w:r>
        <w:rPr>
          <w:rStyle w:val="VerbatimChar"/>
        </w:rPr>
        <w:t xml:space="preserve">    time.sleep(1)</w:t>
      </w:r>
    </w:p>
    <w:p>
      <w:pPr>
        <w:pStyle w:val="Compact"/>
        <w:numPr>
          <w:ilvl w:val="0"/>
          <w:numId w:val="1016"/>
        </w:numPr>
      </w:pPr>
      <w:r>
        <w:t xml:space="preserve">Alternatively, set up a system cron (e.g. on a Linux server) to execute the scanner script at 8:00 AM ET on weekdays. If using cron, the script should check</w:t>
      </w:r>
      <w:r>
        <w:t xml:space="preserve"> </w:t>
      </w:r>
      <w:r>
        <w:rPr>
          <w:rStyle w:val="VerbatimChar"/>
        </w:rPr>
        <w:t xml:space="preserve">datetime</w:t>
      </w:r>
      <w:r>
        <w:t xml:space="preserve"> </w:t>
      </w:r>
      <w:r>
        <w:t xml:space="preserve">to skip weekends.</w:t>
      </w:r>
    </w:p>
    <w:p>
      <w:pPr>
        <w:pStyle w:val="Compact"/>
        <w:numPr>
          <w:ilvl w:val="0"/>
          <w:numId w:val="1016"/>
        </w:numPr>
      </w:pPr>
      <w:r>
        <w:t xml:space="preserve">Ensure the scheduler initializes the IBKR connection before scanning, or waits until the user has TWS/Gateway open.</w:t>
      </w:r>
    </w:p>
    <w:bookmarkEnd w:id="60"/>
    <w:bookmarkStart w:id="61" w:name="error-handling-retry"/>
    <w:p>
      <w:pPr>
        <w:pStyle w:val="Heading3"/>
      </w:pPr>
      <w:r>
        <w:t xml:space="preserve">11. Error Handling &amp; Retry</w:t>
      </w:r>
    </w:p>
    <w:p>
      <w:pPr>
        <w:pStyle w:val="FirstParagraph"/>
      </w:pPr>
      <w:r>
        <w:t xml:space="preserve">Implement robust error management:</w:t>
      </w:r>
    </w:p>
    <w:p>
      <w:pPr>
        <w:pStyle w:val="Compact"/>
        <w:numPr>
          <w:ilvl w:val="0"/>
          <w:numId w:val="1017"/>
        </w:numPr>
      </w:pPr>
      <w:r>
        <w:t xml:space="preserve">Wrap API calls in try/except. On exceptions (network issues, IBKR disconnect), log the stack trace and retry after a short wait. For IBKR pacing errors specifically, catch them and pause for ~5–15 seconds.</w:t>
      </w:r>
    </w:p>
    <w:p>
      <w:pPr>
        <w:pStyle w:val="Compact"/>
        <w:numPr>
          <w:ilvl w:val="0"/>
          <w:numId w:val="1017"/>
        </w:numPr>
      </w:pPr>
      <w:r>
        <w:t xml:space="preserve">If a symbol’s data retrieval (historical or current price) fails repeatedly, log a warning and skip that symbol.</w:t>
      </w:r>
    </w:p>
    <w:p>
      <w:pPr>
        <w:pStyle w:val="Compact"/>
        <w:numPr>
          <w:ilvl w:val="0"/>
          <w:numId w:val="1017"/>
        </w:numPr>
      </w:pPr>
      <w:r>
        <w:t xml:space="preserve">Use Python’s</w:t>
      </w:r>
      <w:r>
        <w:t xml:space="preserve"> </w:t>
      </w:r>
      <w:r>
        <w:rPr>
          <w:rStyle w:val="VerbatimChar"/>
        </w:rPr>
        <w:t xml:space="preserve">logging</w:t>
      </w:r>
      <w:r>
        <w:t xml:space="preserve"> </w:t>
      </w:r>
      <w:r>
        <w:t xml:space="preserve">module to record INFO-level messages (scan start/stop, number of candidates) and ERROR-level for exceptions.</w:t>
      </w:r>
    </w:p>
    <w:p>
      <w:pPr>
        <w:pStyle w:val="Compact"/>
        <w:numPr>
          <w:ilvl w:val="0"/>
          <w:numId w:val="1017"/>
        </w:numPr>
      </w:pPr>
      <w:r>
        <w:t xml:space="preserve">Example pattern:</w:t>
      </w:r>
    </w:p>
    <w:p>
      <w:pPr>
        <w:pStyle w:val="SourceCode"/>
        <w:numPr>
          <w:ilvl w:val="0"/>
          <w:numId w:val="1000"/>
        </w:numPr>
      </w:pPr>
      <w:r>
        <w:rPr>
          <w:rStyle w:val="VerbatimChar"/>
        </w:rPr>
        <w:t xml:space="preserve">try:</w:t>
      </w:r>
      <w:r>
        <w:br/>
      </w:r>
      <w:r>
        <w:rPr>
          <w:rStyle w:val="VerbatimChar"/>
        </w:rPr>
        <w:t xml:space="preserve">    bars = ib.reqHistoricalData(contract, endDateTime='', durationStr='5 D', barSizeSetting='1 day', whatToShow='TRADES')</w:t>
      </w:r>
      <w:r>
        <w:br/>
      </w:r>
      <w:r>
        <w:rPr>
          <w:rStyle w:val="VerbatimChar"/>
        </w:rPr>
        <w:t xml:space="preserve">except Exception as e:</w:t>
      </w:r>
      <w:r>
        <w:br/>
      </w:r>
      <w:r>
        <w:rPr>
          <w:rStyle w:val="VerbatimChar"/>
        </w:rPr>
        <w:t xml:space="preserve">    logging.error(f"Historical data failed for {sym}: {e}")</w:t>
      </w:r>
      <w:r>
        <w:br/>
      </w:r>
      <w:r>
        <w:rPr>
          <w:rStyle w:val="VerbatimChar"/>
        </w:rPr>
        <w:t xml:space="preserve">    time.sleep(10)</w:t>
      </w:r>
      <w:r>
        <w:br/>
      </w:r>
      <w:r>
        <w:rPr>
          <w:rStyle w:val="VerbatimChar"/>
        </w:rPr>
        <w:t xml:space="preserve">    continue  # skip or retry once</w:t>
      </w:r>
    </w:p>
    <w:p>
      <w:pPr>
        <w:pStyle w:val="Compact"/>
        <w:numPr>
          <w:ilvl w:val="0"/>
          <w:numId w:val="1017"/>
        </w:numPr>
      </w:pPr>
      <w:r>
        <w:t xml:space="preserve">Guarantee that even on partial failure, the watchlist generator produces whatever candidates were found, rather than crashing.</w:t>
      </w:r>
    </w:p>
    <w:p>
      <w:pPr>
        <w:pStyle w:val="FirstParagraph"/>
      </w:pPr>
      <w:r>
        <w:t xml:space="preserve">By combining the above modules and logic, the Pre-Market Scanner will fulfill the PS60 requirements (§2.2</w:t>
      </w:r>
      <w:hyperlink r:id="rId21">
        <w:r>
          <w:rPr>
            <w:rStyle w:val="Hyperlink"/>
          </w:rPr>
          <w:t xml:space="preserve">[1]</w:t>
        </w:r>
      </w:hyperlink>
      <w:hyperlink r:id="rId22">
        <w:r>
          <w:rPr>
            <w:rStyle w:val="Hyperlink"/>
          </w:rPr>
          <w:t xml:space="preserve">[2]</w:t>
        </w:r>
      </w:hyperlink>
      <w:r>
        <w:t xml:space="preserve">) with a concrete Python implementation. The resulting markdown document and outputs provide both a business-level summary (the watchlist) and a detailed technical log, ensuring transparency and reproducibility of the scanning process.</w:t>
      </w:r>
    </w:p>
    <w:p>
      <w:pPr>
        <w:pStyle w:val="BodyText"/>
      </w:pPr>
      <w:r>
        <w:rPr>
          <w:b/>
          <w:bCs/>
        </w:rPr>
        <w:t xml:space="preserve">Sources:</w:t>
      </w:r>
      <w:r>
        <w:t xml:space="preserve"> </w:t>
      </w:r>
      <w:r>
        <w:t xml:space="preserve">The functional requirements above are drawn from the PS60 system spec</w:t>
      </w:r>
      <w:hyperlink r:id="rId21">
        <w:r>
          <w:rPr>
            <w:rStyle w:val="Hyperlink"/>
          </w:rPr>
          <w:t xml:space="preserve">[1]</w:t>
        </w:r>
      </w:hyperlink>
      <w:hyperlink r:id="rId22">
        <w:r>
          <w:rPr>
            <w:rStyle w:val="Hyperlink"/>
          </w:rPr>
          <w:t xml:space="preserve">[2]</w:t>
        </w:r>
      </w:hyperlink>
      <w:r>
        <w:t xml:space="preserve">. IBKR integration details (API limits, news feed) are per IBKR documentation</w:t>
      </w:r>
      <w:hyperlink r:id="rId44">
        <w:r>
          <w:rPr>
            <w:rStyle w:val="Hyperlink"/>
          </w:rPr>
          <w:t xml:space="preserve">[21]</w:t>
        </w:r>
      </w:hyperlink>
      <w:hyperlink r:id="rId41">
        <w:r>
          <w:rPr>
            <w:rStyle w:val="Hyperlink"/>
          </w:rPr>
          <w:t xml:space="preserve">[18]</w:t>
        </w:r>
      </w:hyperlink>
      <w:r>
        <w:t xml:space="preserve">. Technical indicators computation notes reference standard practice (e.g. Bollinger bands must be calculated in code</w:t>
      </w:r>
      <w:hyperlink r:id="rId43">
        <w:r>
          <w:rPr>
            <w:rStyle w:val="Hyperlink"/>
          </w:rPr>
          <w:t xml:space="preserve">[20]</w:t>
        </w:r>
      </w:hyperlink>
      <w:r>
        <w:t xml:space="preserve">). All cited references are from these sources.</w:t>
      </w:r>
    </w:p>
    <w:bookmarkEnd w:id="61"/>
    <w:bookmarkEnd w:id="62"/>
    <w:bookmarkEnd w:id="63"/>
    <w:bookmarkEnd w:id="64"/>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[17]</w:t>
        </w:r>
      </w:hyperlink>
      <w:r>
        <w:t xml:space="preserve"> </w:t>
      </w:r>
      <w:hyperlink r:id="rId56">
        <w:r>
          <w:rPr>
            <w:rStyle w:val="Hyperlink"/>
          </w:rPr>
          <w:t xml:space="preserve">[25]</w:t>
        </w:r>
      </w:hyperlink>
      <w:r>
        <w:t xml:space="preserve"> </w:t>
      </w:r>
      <w:r>
        <w:t xml:space="preserve">Real-Time Day Trading System – PS60 Algorithm (Requirements Specification) (1).docx</w:t>
      </w:r>
    </w:p>
    <w:p>
      <w:pPr>
        <w:pStyle w:val="BodyText"/>
      </w:pPr>
      <w:hyperlink r:id="rId65">
        <w:r>
          <w:rPr>
            <w:rStyle w:val="Hyperlink"/>
          </w:rPr>
          <w:t xml:space="preserve">file://file-LWG9dXNyiP5FGfXTzm33bc</w:t>
        </w:r>
      </w:hyperlink>
    </w:p>
    <w:p>
      <w:pPr>
        <w:pStyle w:val="BodyText"/>
      </w:pPr>
      <w:hyperlink r:id="rId41">
        <w:r>
          <w:rPr>
            <w:rStyle w:val="Hyperlink"/>
          </w:rPr>
          <w:t xml:space="preserve">[18]</w:t>
        </w:r>
      </w:hyperlink>
      <w:r>
        <w:t xml:space="preserve"> </w:t>
      </w:r>
      <w:r>
        <w:t xml:space="preserve">TWS API v9.72+: Streaming Market Data</w:t>
      </w:r>
    </w:p>
    <w:p>
      <w:pPr>
        <w:pStyle w:val="BodyText"/>
      </w:pPr>
      <w:hyperlink r:id="rId66">
        <w:r>
          <w:rPr>
            <w:rStyle w:val="Hyperlink"/>
          </w:rPr>
          <w:t xml:space="preserve">https://interactivebrokers.github.io/tws-api/market_data.html</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50">
        <w:r>
          <w:rPr>
            <w:rStyle w:val="Hyperlink"/>
          </w:rPr>
          <w:t xml:space="preserve">[22]</w:t>
        </w:r>
      </w:hyperlink>
      <w:r>
        <w:t xml:space="preserve"> </w:t>
      </w:r>
      <w:hyperlink r:id="rId51">
        <w:r>
          <w:rPr>
            <w:rStyle w:val="Hyperlink"/>
          </w:rPr>
          <w:t xml:space="preserve">[23]</w:t>
        </w:r>
      </w:hyperlink>
      <w:r>
        <w:t xml:space="preserve"> </w:t>
      </w:r>
      <w:r>
        <w:t xml:space="preserve">TWS API v9.72+: Historical Data Limitations</w:t>
      </w:r>
    </w:p>
    <w:p>
      <w:pPr>
        <w:pStyle w:val="BodyText"/>
      </w:pPr>
      <w:hyperlink r:id="rId67">
        <w:r>
          <w:rPr>
            <w:rStyle w:val="Hyperlink"/>
          </w:rPr>
          <w:t xml:space="preserve">https://interactivebrokers.github.io/tws-api/historical_limitations.html</w:t>
        </w:r>
      </w:hyperlink>
    </w:p>
    <w:p>
      <w:pPr>
        <w:pStyle w:val="BodyText"/>
      </w:pPr>
      <w:hyperlink r:id="rId44">
        <w:r>
          <w:rPr>
            <w:rStyle w:val="Hyperlink"/>
          </w:rPr>
          <w:t xml:space="preserve">[21]</w:t>
        </w:r>
      </w:hyperlink>
      <w:r>
        <w:t xml:space="preserve"> </w:t>
      </w:r>
      <w:r>
        <w:t xml:space="preserve">TWS API v9.72+: News</w:t>
      </w:r>
    </w:p>
    <w:p>
      <w:pPr>
        <w:pStyle w:val="BodyText"/>
      </w:pPr>
      <w:hyperlink r:id="rId68">
        <w:r>
          <w:rPr>
            <w:rStyle w:val="Hyperlink"/>
          </w:rPr>
          <w:t xml:space="preserve">https://interactivebrokers.github.io/tws-api/news.html</w:t>
        </w:r>
      </w:hyperlink>
    </w:p>
    <w:p>
      <w:pPr>
        <w:pStyle w:val="BodyText"/>
      </w:pPr>
      <w:hyperlink r:id="rId52">
        <w:r>
          <w:rPr>
            <w:rStyle w:val="Hyperlink"/>
          </w:rPr>
          <w:t xml:space="preserve">[24]</w:t>
        </w:r>
      </w:hyperlink>
      <w:r>
        <w:t xml:space="preserve"> </w:t>
      </w:r>
      <w:r>
        <w:t xml:space="preserve">TWS API Documentation | IBKR API | IBKR Campus</w:t>
      </w:r>
    </w:p>
    <w:p>
      <w:pPr>
        <w:pStyle w:val="BodyText"/>
      </w:pPr>
      <w:hyperlink r:id="rId69">
        <w:r>
          <w:rPr>
            <w:rStyle w:val="Hyperlink"/>
          </w:rPr>
          <w:t xml:space="preserve">https://www.interactivebrokers.com/campus/ibkr-api-page/twsapi-doc/</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file://file-LWG9dXNyiP5FGfXTzm33bc" TargetMode="External" /><Relationship Type="http://schemas.openxmlformats.org/officeDocument/2006/relationships/hyperlink" Id="rId38" Target="file://file-LWG9dXNyiP5FGfXTzm33bc#:~:text=At%20a%20high%20level%2C%20the,hosted%20deployment%20for%20greater" TargetMode="External" /><Relationship Type="http://schemas.openxmlformats.org/officeDocument/2006/relationships/hyperlink" Id="rId35" Target="file://file-LWG9dXNyiP5FGfXTzm33bc#:~:text=Configuration%3A%20The%20user%20can%20configure,system%20with%20too%20many%20symbols" TargetMode="External" /><Relationship Type="http://schemas.openxmlformats.org/officeDocument/2006/relationships/hyperlink" Id="rId27" Target="file://file-LWG9dXNyiP5FGfXTzm33bc#:~:text=Data%20Gathered%3A%20For%20each%20stock,directly%20from%20feeds%20or%20IBKR" TargetMode="External" /><Relationship Type="http://schemas.openxmlformats.org/officeDocument/2006/relationships/hyperlink" Id="rId28" Target="file://file-LWG9dXNyiP5FGfXTzm33bc#:~:text=Filtering%20Criteria%3A%20The%20module%20will,practices%29%20include" TargetMode="External" /><Relationship Type="http://schemas.openxmlformats.org/officeDocument/2006/relationships/hyperlink" Id="rId29" Target="file://file-LWG9dXNyiP5FGfXTzm33bc#:~:text=Gap%20and%20Relative%20Volume%3A%20Stocks,17" TargetMode="External" /><Relationship Type="http://schemas.openxmlformats.org/officeDocument/2006/relationships/hyperlink" Id="rId33" Target="file://file-LWG9dXNyiP5FGfXTzm33bc#:~:text=Market%20Trend%2FIndex%20Leaders%3A%20The%20scanner,they%20often%20set%20the%20tone" TargetMode="External" /><Relationship Type="http://schemas.openxmlformats.org/officeDocument/2006/relationships/hyperlink" Id="rId56" Target="file://file-LWG9dXNyiP5FGfXTzm33bc#:~:text=Multi,or%20otherwise%20not" TargetMode="External" /><Relationship Type="http://schemas.openxmlformats.org/officeDocument/2006/relationships/hyperlink" Id="rId32" Target="file://file-LWG9dXNyiP5FGfXTzm33bc#:~:text=News%20Catalyst%20,if%20available%20for%20this%20purpose" TargetMode="External" /><Relationship Type="http://schemas.openxmlformats.org/officeDocument/2006/relationships/hyperlink" Id="rId31" Target="file://file-LWG9dXNyiP5FGfXTzm33bc#:~:text=No%20Immediate%20Obstacles%3A%20As%20per,clear%20air%20above%2Fbelow%20are%20preferred" TargetMode="External" /><Relationship Type="http://schemas.openxmlformats.org/officeDocument/2006/relationships/hyperlink" Id="rId36" Target="file://file-LWG9dXNyiP5FGfXTzm33bc#:~:text=Performance%20Considerations%3A%20The%20scanning%20should,is%20not%20blocked" TargetMode="External" /><Relationship Type="http://schemas.openxmlformats.org/officeDocument/2006/relationships/hyperlink" Id="rId23" Target="file://file-LWG9dXNyiP5FGfXTzm33bc#:~:text=Prior%20to%20the%20market%20open,of%20the%20scanning%20module%20include" TargetMode="External" /><Relationship Type="http://schemas.openxmlformats.org/officeDocument/2006/relationships/hyperlink" Id="rId25" Target="file://file-LWG9dXNyiP5FGfXTzm33bc#:~:text=Scan%20Timing%3A%20The%20scanner%20will,and%20any%20required%20data%20subscriptions" TargetMode="External" /><Relationship Type="http://schemas.openxmlformats.org/officeDocument/2006/relationships/hyperlink" Id="rId21" Target="file://file-LWG9dXNyiP5FGfXTzm33bc#:~:text=Scan%20Timing%3A%20The%20scanner%20will,the%20target%20instruments%20are%20active" TargetMode="External" /><Relationship Type="http://schemas.openxmlformats.org/officeDocument/2006/relationships/hyperlink" Id="rId30" Target="file://file-LWG9dXNyiP5FGfXTzm33bc#:~:text=Technical%20Setup%20from%20Prior%20Day%3A,20" TargetMode="External" /><Relationship Type="http://schemas.openxmlformats.org/officeDocument/2006/relationships/hyperlink" Id="rId26" Target="file://file-LWG9dXNyiP5FGfXTzm33bc#:~:text=Universe%20of%20Stocks%3A%20The%20scanner,a%20certain%20price%20or%20volume" TargetMode="External" /><Relationship Type="http://schemas.openxmlformats.org/officeDocument/2006/relationships/hyperlink" Id="rId24" Target="file://file-LWG9dXNyiP5FGfXTzm33bc#:~:text=Updates%20After%20Open%3A%20Optionally%2C%20the,the%20same%20filtering%20rules%20applied" TargetMode="External" /><Relationship Type="http://schemas.openxmlformats.org/officeDocument/2006/relationships/hyperlink" Id="rId22" Target="file://file-LWG9dXNyiP5FGfXTzm33bc#:~:text=Watchlist%20%26%20Context%20Output%3A%20The,All%20this" TargetMode="External" /><Relationship Type="http://schemas.openxmlformats.org/officeDocument/2006/relationships/hyperlink" Id="rId34" Target="file://file-LWG9dXNyiP5FGfXTzm33bc#:~:text=the%20identified%20pivot%20level,trader%20understand%20the%20day%E2%80%99s%20setup" TargetMode="External" /><Relationship Type="http://schemas.openxmlformats.org/officeDocument/2006/relationships/hyperlink" Id="rId45" Target="https://finnhub.io/" TargetMode="External" /><Relationship Type="http://schemas.openxmlformats.org/officeDocument/2006/relationships/hyperlink" Id="rId46" Target="https://iexcloud.io/" TargetMode="External" /><Relationship Type="http://schemas.openxmlformats.org/officeDocument/2006/relationships/hyperlink" Id="rId67" Target="https://interactivebrokers.github.io/tws-api/historical_limitations.html" TargetMode="External" /><Relationship Type="http://schemas.openxmlformats.org/officeDocument/2006/relationships/hyperlink" Id="rId43" Target="https://interactivebrokers.github.io/tws-api/historical_limitations.html#:~:text=,VWAP%20is%20available" TargetMode="External" /><Relationship Type="http://schemas.openxmlformats.org/officeDocument/2006/relationships/hyperlink" Id="rId51" Target="https://interactivebrokers.github.io/tws-api/historical_limitations.html#:~:text=Duration%20Allowed%20Bar%20Sizes%2060,1%20week" TargetMode="External" /><Relationship Type="http://schemas.openxmlformats.org/officeDocument/2006/relationships/hyperlink" Id="rId50" Target="https://interactivebrokers.github.io/tws-api/historical_limitations.html#:~:text=Pacing%20Violation,following%20restrictions%20is%20not%20observed" TargetMode="External" /><Relationship Type="http://schemas.openxmlformats.org/officeDocument/2006/relationships/hyperlink" Id="rId42" Target="https://interactivebrokers.github.io/tws-api/historical_limitations.html#:~:text=The%20maximum%20number%20of%20simultaneous,requests%20pending%20at%20a%20time" TargetMode="External" /><Relationship Type="http://schemas.openxmlformats.org/officeDocument/2006/relationships/hyperlink" Id="rId66" Target="https://interactivebrokers.github.io/tws-api/market_data.html" TargetMode="External" /><Relationship Type="http://schemas.openxmlformats.org/officeDocument/2006/relationships/hyperlink" Id="rId41" Target="https://interactivebrokers.github.io/tws-api/market_data.html#:~:text=By%20default%2C%20every%20user%20has,News%20and%20Market%20Data%20page" TargetMode="External" /><Relationship Type="http://schemas.openxmlformats.org/officeDocument/2006/relationships/hyperlink" Id="rId68" Target="https://interactivebrokers.github.io/tws-api/news.html" TargetMode="External" /><Relationship Type="http://schemas.openxmlformats.org/officeDocument/2006/relationships/hyperlink" Id="rId44" Target="https://interactivebrokers.github.io/tws-api/news.html#:~:text=The%20API%20functions%20which%20handle,are%20cached%20in%20the%20system" TargetMode="External" /><Relationship Type="http://schemas.openxmlformats.org/officeDocument/2006/relationships/hyperlink" Id="rId40" Target="https://pypi.org/project/ib-insync/" TargetMode="External" /><Relationship Type="http://schemas.openxmlformats.org/officeDocument/2006/relationships/hyperlink" Id="rId59" Target="https://pypi.org/project/schedule/" TargetMode="External" /><Relationship Type="http://schemas.openxmlformats.org/officeDocument/2006/relationships/hyperlink" Id="rId69" Target="https://www.interactivebrokers.com/campus/ibkr-api-page/twsapi-doc/" TargetMode="External" /><Relationship Type="http://schemas.openxmlformats.org/officeDocument/2006/relationships/hyperlink" Id="rId52" Target="https://www.interactivebrokers.com/campus/ibkr-api-page/twsapi-doc/#:~:text=The%20maximum%20number%20of%20API,the%20pacing%20limits%20are" TargetMode="External" /></Relationships>
</file>

<file path=word/_rels/footnotes.xml.rels><?xml version="1.0" encoding="UTF-8"?><Relationships xmlns="http://schemas.openxmlformats.org/package/2006/relationships"><Relationship Type="http://schemas.openxmlformats.org/officeDocument/2006/relationships/hyperlink" Id="rId65" Target="file://file-LWG9dXNyiP5FGfXTzm33bc" TargetMode="External" /><Relationship Type="http://schemas.openxmlformats.org/officeDocument/2006/relationships/hyperlink" Id="rId38" Target="file://file-LWG9dXNyiP5FGfXTzm33bc#:~:text=At%20a%20high%20level%2C%20the,hosted%20deployment%20for%20greater" TargetMode="External" /><Relationship Type="http://schemas.openxmlformats.org/officeDocument/2006/relationships/hyperlink" Id="rId35" Target="file://file-LWG9dXNyiP5FGfXTzm33bc#:~:text=Configuration%3A%20The%20user%20can%20configure,system%20with%20too%20many%20symbols" TargetMode="External" /><Relationship Type="http://schemas.openxmlformats.org/officeDocument/2006/relationships/hyperlink" Id="rId27" Target="file://file-LWG9dXNyiP5FGfXTzm33bc#:~:text=Data%20Gathered%3A%20For%20each%20stock,directly%20from%20feeds%20or%20IBKR" TargetMode="External" /><Relationship Type="http://schemas.openxmlformats.org/officeDocument/2006/relationships/hyperlink" Id="rId28" Target="file://file-LWG9dXNyiP5FGfXTzm33bc#:~:text=Filtering%20Criteria%3A%20The%20module%20will,practices%29%20include" TargetMode="External" /><Relationship Type="http://schemas.openxmlformats.org/officeDocument/2006/relationships/hyperlink" Id="rId29" Target="file://file-LWG9dXNyiP5FGfXTzm33bc#:~:text=Gap%20and%20Relative%20Volume%3A%20Stocks,17" TargetMode="External" /><Relationship Type="http://schemas.openxmlformats.org/officeDocument/2006/relationships/hyperlink" Id="rId33" Target="file://file-LWG9dXNyiP5FGfXTzm33bc#:~:text=Market%20Trend%2FIndex%20Leaders%3A%20The%20scanner,they%20often%20set%20the%20tone" TargetMode="External" /><Relationship Type="http://schemas.openxmlformats.org/officeDocument/2006/relationships/hyperlink" Id="rId56" Target="file://file-LWG9dXNyiP5FGfXTzm33bc#:~:text=Multi,or%20otherwise%20not" TargetMode="External" /><Relationship Type="http://schemas.openxmlformats.org/officeDocument/2006/relationships/hyperlink" Id="rId32" Target="file://file-LWG9dXNyiP5FGfXTzm33bc#:~:text=News%20Catalyst%20,if%20available%20for%20this%20purpose" TargetMode="External" /><Relationship Type="http://schemas.openxmlformats.org/officeDocument/2006/relationships/hyperlink" Id="rId31" Target="file://file-LWG9dXNyiP5FGfXTzm33bc#:~:text=No%20Immediate%20Obstacles%3A%20As%20per,clear%20air%20above%2Fbelow%20are%20preferred" TargetMode="External" /><Relationship Type="http://schemas.openxmlformats.org/officeDocument/2006/relationships/hyperlink" Id="rId36" Target="file://file-LWG9dXNyiP5FGfXTzm33bc#:~:text=Performance%20Considerations%3A%20The%20scanning%20should,is%20not%20blocked" TargetMode="External" /><Relationship Type="http://schemas.openxmlformats.org/officeDocument/2006/relationships/hyperlink" Id="rId23" Target="file://file-LWG9dXNyiP5FGfXTzm33bc#:~:text=Prior%20to%20the%20market%20open,of%20the%20scanning%20module%20include" TargetMode="External" /><Relationship Type="http://schemas.openxmlformats.org/officeDocument/2006/relationships/hyperlink" Id="rId25" Target="file://file-LWG9dXNyiP5FGfXTzm33bc#:~:text=Scan%20Timing%3A%20The%20scanner%20will,and%20any%20required%20data%20subscriptions" TargetMode="External" /><Relationship Type="http://schemas.openxmlformats.org/officeDocument/2006/relationships/hyperlink" Id="rId21" Target="file://file-LWG9dXNyiP5FGfXTzm33bc#:~:text=Scan%20Timing%3A%20The%20scanner%20will,the%20target%20instruments%20are%20active" TargetMode="External" /><Relationship Type="http://schemas.openxmlformats.org/officeDocument/2006/relationships/hyperlink" Id="rId30" Target="file://file-LWG9dXNyiP5FGfXTzm33bc#:~:text=Technical%20Setup%20from%20Prior%20Day%3A,20" TargetMode="External" /><Relationship Type="http://schemas.openxmlformats.org/officeDocument/2006/relationships/hyperlink" Id="rId26" Target="file://file-LWG9dXNyiP5FGfXTzm33bc#:~:text=Universe%20of%20Stocks%3A%20The%20scanner,a%20certain%20price%20or%20volume" TargetMode="External" /><Relationship Type="http://schemas.openxmlformats.org/officeDocument/2006/relationships/hyperlink" Id="rId24" Target="file://file-LWG9dXNyiP5FGfXTzm33bc#:~:text=Updates%20After%20Open%3A%20Optionally%2C%20the,the%20same%20filtering%20rules%20applied" TargetMode="External" /><Relationship Type="http://schemas.openxmlformats.org/officeDocument/2006/relationships/hyperlink" Id="rId22" Target="file://file-LWG9dXNyiP5FGfXTzm33bc#:~:text=Watchlist%20%26%20Context%20Output%3A%20The,All%20this" TargetMode="External" /><Relationship Type="http://schemas.openxmlformats.org/officeDocument/2006/relationships/hyperlink" Id="rId34" Target="file://file-LWG9dXNyiP5FGfXTzm33bc#:~:text=the%20identified%20pivot%20level,trader%20understand%20the%20day%E2%80%99s%20setup" TargetMode="External" /><Relationship Type="http://schemas.openxmlformats.org/officeDocument/2006/relationships/hyperlink" Id="rId45" Target="https://finnhub.io/" TargetMode="External" /><Relationship Type="http://schemas.openxmlformats.org/officeDocument/2006/relationships/hyperlink" Id="rId46" Target="https://iexcloud.io/" TargetMode="External" /><Relationship Type="http://schemas.openxmlformats.org/officeDocument/2006/relationships/hyperlink" Id="rId67" Target="https://interactivebrokers.github.io/tws-api/historical_limitations.html" TargetMode="External" /><Relationship Type="http://schemas.openxmlformats.org/officeDocument/2006/relationships/hyperlink" Id="rId43" Target="https://interactivebrokers.github.io/tws-api/historical_limitations.html#:~:text=,VWAP%20is%20available" TargetMode="External" /><Relationship Type="http://schemas.openxmlformats.org/officeDocument/2006/relationships/hyperlink" Id="rId51" Target="https://interactivebrokers.github.io/tws-api/historical_limitations.html#:~:text=Duration%20Allowed%20Bar%20Sizes%2060,1%20week" TargetMode="External" /><Relationship Type="http://schemas.openxmlformats.org/officeDocument/2006/relationships/hyperlink" Id="rId50" Target="https://interactivebrokers.github.io/tws-api/historical_limitations.html#:~:text=Pacing%20Violation,following%20restrictions%20is%20not%20observed" TargetMode="External" /><Relationship Type="http://schemas.openxmlformats.org/officeDocument/2006/relationships/hyperlink" Id="rId42" Target="https://interactivebrokers.github.io/tws-api/historical_limitations.html#:~:text=The%20maximum%20number%20of%20simultaneous,requests%20pending%20at%20a%20time" TargetMode="External" /><Relationship Type="http://schemas.openxmlformats.org/officeDocument/2006/relationships/hyperlink" Id="rId66" Target="https://interactivebrokers.github.io/tws-api/market_data.html" TargetMode="External" /><Relationship Type="http://schemas.openxmlformats.org/officeDocument/2006/relationships/hyperlink" Id="rId41" Target="https://interactivebrokers.github.io/tws-api/market_data.html#:~:text=By%20default%2C%20every%20user%20has,News%20and%20Market%20Data%20page" TargetMode="External" /><Relationship Type="http://schemas.openxmlformats.org/officeDocument/2006/relationships/hyperlink" Id="rId68" Target="https://interactivebrokers.github.io/tws-api/news.html" TargetMode="External" /><Relationship Type="http://schemas.openxmlformats.org/officeDocument/2006/relationships/hyperlink" Id="rId44" Target="https://interactivebrokers.github.io/tws-api/news.html#:~:text=The%20API%20functions%20which%20handle,are%20cached%20in%20the%20system" TargetMode="External" /><Relationship Type="http://schemas.openxmlformats.org/officeDocument/2006/relationships/hyperlink" Id="rId40" Target="https://pypi.org/project/ib-insync/" TargetMode="External" /><Relationship Type="http://schemas.openxmlformats.org/officeDocument/2006/relationships/hyperlink" Id="rId59" Target="https://pypi.org/project/schedule/" TargetMode="External" /><Relationship Type="http://schemas.openxmlformats.org/officeDocument/2006/relationships/hyperlink" Id="rId69" Target="https://www.interactivebrokers.com/campus/ibkr-api-page/twsapi-doc/" TargetMode="External" /><Relationship Type="http://schemas.openxmlformats.org/officeDocument/2006/relationships/hyperlink" Id="rId52" Target="https://www.interactivebrokers.com/campus/ibkr-api-page/twsapi-doc/#:~:text=The%20maximum%20number%20of%20API,the%20pacing%20limits%20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2025-09-27T18:53:10Z</dcterms:created>
  <dcterms:modified xsi:type="dcterms:W3CDTF">2025-09-27T18:53:10Z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