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br/>
        <w:br/>
      </w:r>
    </w:p>
    <w:p>
      <w:pPr>
        <w:jc w:val="center"/>
      </w:pPr>
      <w:r>
        <w:rPr>
          <w:rFonts w:ascii="Times New Roman" w:hAnsi="Times New Roman"/>
          <w:b/>
          <w:color w:val="1F4E79"/>
          <w:sz w:val="48"/>
        </w:rPr>
        <w:t>PROJECT REPORT</w:t>
      </w:r>
    </w:p>
    <w:p>
      <w:r>
        <w:br w:type="page"/>
      </w:r>
    </w:p>
    <w:p>
      <w:pPr>
        <w:jc w:val="center"/>
      </w:pPr>
      <w:r>
        <w:rPr>
          <w:rFonts w:ascii="Times New Roman" w:hAnsi="Times New Roman"/>
          <w:b/>
          <w:color w:val="1F4E79"/>
          <w:sz w:val="32"/>
        </w:rPr>
        <w:t>ABSTRACT</w:t>
      </w:r>
    </w:p>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This report covers the organization profile, objectives of the programme, methodology adopted, tools and technologies introduced, learning outcomes, challenges faced, and future scope. It has been customized to detail the completion of the Flight Fare Prediction project, where a machine learning pipeline was built using Python to predict domestic flight ticket prices. The project utilized over 300,000 data points to train regression algorithms, with Random Forest achieving 98.56% accuracy.</w:t>
      </w:r>
    </w:p>
    <w:p>
      <w:r>
        <w:br w:type="page"/>
      </w:r>
    </w:p>
    <w:p>
      <w:pPr>
        <w:jc w:val="center"/>
      </w:pPr>
      <w:r>
        <w:rPr>
          <w:rFonts w:ascii="Times New Roman" w:hAnsi="Times New Roman"/>
          <w:b/>
          <w:color w:val="1F4E79"/>
          <w:sz w:val="32"/>
        </w:rPr>
        <w:t>TABLE OF CONTENTS</w:t>
      </w:r>
    </w:p>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6</w:t>
            </w:r>
          </w:p>
        </w:tc>
      </w:tr>
      <w:tr>
        <w:tc>
          <w:tcPr>
            <w:tcW w:type="dxa" w:w="4320"/>
          </w:tcPr>
          <w:p>
            <w:r>
              <w:t xml:space="preserve">  Skills Developed</w:t>
            </w:r>
          </w:p>
        </w:tc>
        <w:tc>
          <w:tcPr>
            <w:tcW w:type="dxa" w:w="4320"/>
          </w:tcPr>
          <w:p>
            <w:pPr>
              <w:jc w:val="right"/>
            </w:pPr>
            <w:r>
              <w:t>6</w:t>
            </w:r>
          </w:p>
        </w:tc>
      </w:tr>
      <w:tr>
        <w:tc>
          <w:tcPr>
            <w:tcW w:type="dxa" w:w="4320"/>
          </w:tcPr>
          <w:p>
            <w:r>
              <w:t xml:space="preserve">  Participant Outcomes</w:t>
            </w:r>
          </w:p>
        </w:tc>
        <w:tc>
          <w:tcPr>
            <w:tcW w:type="dxa" w:w="4320"/>
          </w:tcPr>
          <w:p>
            <w:pPr>
              <w:jc w:val="right"/>
            </w:pPr>
            <w:r>
              <w:t>6</w:t>
            </w:r>
          </w:p>
        </w:tc>
      </w:tr>
      <w:tr>
        <w:tc>
          <w:tcPr>
            <w:tcW w:type="dxa" w:w="4320"/>
          </w:tcPr>
          <w:p>
            <w:r>
              <w:t xml:space="preserve">  Findings</w:t>
            </w:r>
          </w:p>
        </w:tc>
        <w:tc>
          <w:tcPr>
            <w:tcW w:type="dxa" w:w="4320"/>
          </w:tcPr>
          <w:p>
            <w:pPr>
              <w:jc w:val="right"/>
            </w:pPr>
            <w:r>
              <w:t>6</w:t>
            </w:r>
          </w:p>
        </w:tc>
      </w:tr>
      <w:tr>
        <w:tc>
          <w:tcPr>
            <w:tcW w:type="dxa" w:w="4320"/>
          </w:tcPr>
          <w:p>
            <w:r>
              <w:t>Summary, Challenges and Conclusion</w:t>
            </w:r>
          </w:p>
        </w:tc>
        <w:tc>
          <w:tcPr>
            <w:tcW w:type="dxa" w:w="4320"/>
          </w:tcPr>
          <w:p>
            <w:pPr>
              <w:jc w:val="right"/>
            </w:pPr>
            <w:r>
              <w:t>7</w:t>
            </w:r>
          </w:p>
        </w:tc>
      </w:tr>
      <w:tr>
        <w:tc>
          <w:tcPr>
            <w:tcW w:type="dxa" w:w="4320"/>
          </w:tcPr>
          <w:p>
            <w:r>
              <w:t xml:space="preserve">  Challenges</w:t>
            </w:r>
          </w:p>
        </w:tc>
        <w:tc>
          <w:tcPr>
            <w:tcW w:type="dxa" w:w="4320"/>
          </w:tcPr>
          <w:p>
            <w:pPr>
              <w:jc w:val="right"/>
            </w:pPr>
            <w:r>
              <w:t>7</w:t>
            </w:r>
          </w:p>
        </w:tc>
      </w:tr>
      <w:tr>
        <w:tc>
          <w:tcPr>
            <w:tcW w:type="dxa" w:w="4320"/>
          </w:tcPr>
          <w:p>
            <w:r>
              <w:t xml:space="preserve">  Scope for Future Learning</w:t>
            </w:r>
          </w:p>
        </w:tc>
        <w:tc>
          <w:tcPr>
            <w:tcW w:type="dxa" w:w="4320"/>
          </w:tcPr>
          <w:p>
            <w:pPr>
              <w:jc w:val="right"/>
            </w:pPr>
            <w:r>
              <w:t>7</w:t>
            </w:r>
          </w:p>
        </w:tc>
      </w:tr>
      <w:tr>
        <w:tc>
          <w:tcPr>
            <w:tcW w:type="dxa" w:w="4320"/>
          </w:tcPr>
          <w:p>
            <w:r>
              <w:t xml:space="preserve">  Conclusion</w:t>
            </w:r>
          </w:p>
        </w:tc>
        <w:tc>
          <w:tcPr>
            <w:tcW w:type="dxa" w:w="4320"/>
          </w:tcPr>
          <w:p>
            <w:pPr>
              <w:jc w:val="right"/>
            </w:pPr>
            <w:r>
              <w:t>7</w:t>
            </w:r>
          </w:p>
        </w:tc>
      </w:tr>
      <w:tr>
        <w:tc>
          <w:tcPr>
            <w:tcW w:type="dxa" w:w="4320"/>
          </w:tcPr>
          <w:p>
            <w:r>
              <w:t xml:space="preserve">  References</w:t>
            </w:r>
          </w:p>
        </w:tc>
        <w:tc>
          <w:tcPr>
            <w:tcW w:type="dxa" w:w="4320"/>
          </w:tcPr>
          <w:p>
            <w:pPr>
              <w:jc w:val="right"/>
            </w:pPr>
            <w:r>
              <w:t>7</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 Operating system and command-line basics for working with files and tools.</w:t>
      </w:r>
    </w:p>
    <w:p>
      <w:pPr>
        <w:pStyle w:val="ListBullet"/>
      </w:pPr>
      <w:r>
        <w:t>• Programming environment for writing, running, and debugging simple programs (Python 3.13).</w:t>
      </w:r>
    </w:p>
    <w:p>
      <w:pPr>
        <w:pStyle w:val="ListBullet"/>
      </w:pPr>
      <w:r>
        <w:t>• Open-source libraries or platforms selected according to the programme topic (Pandas, Scikit-learn, Matplotlib, Flask).</w:t>
      </w:r>
    </w:p>
    <w:p>
      <w:pPr>
        <w:pStyle w:val="ListBullet"/>
      </w:pPr>
      <w:r>
        <w:t>• Documentation tools for preparing notes, reports, and final submission files.</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sz w:val="20"/>
              </w:rPr>
              <w:t>Orientation</w:t>
            </w:r>
          </w:p>
        </w:tc>
        <w:tc>
          <w:tcPr>
            <w:tcW w:type="dxa" w:w="1440"/>
            <w:shd w:fill="DAE6F3"/>
          </w:tcPr>
          <w:p>
            <w:r>
              <w:rPr>
                <w:b/>
                <w:sz w:val="20"/>
              </w:rPr>
              <w:t>Concepts</w:t>
            </w:r>
          </w:p>
        </w:tc>
        <w:tc>
          <w:tcPr>
            <w:tcW w:type="dxa" w:w="1440"/>
            <w:shd w:fill="DAE6F3"/>
          </w:tcPr>
          <w:p>
            <w:r>
              <w:rPr>
                <w:b/>
                <w:sz w:val="20"/>
              </w:rPr>
              <w:t>Hands-on</w:t>
            </w:r>
          </w:p>
        </w:tc>
        <w:tc>
          <w:tcPr>
            <w:tcW w:type="dxa" w:w="1440"/>
            <w:shd w:fill="DAE6F3"/>
          </w:tcPr>
          <w:p>
            <w:r>
              <w:rPr>
                <w:b/>
                <w:sz w:val="20"/>
              </w:rPr>
              <w:t>Mini Task</w:t>
            </w:r>
          </w:p>
        </w:tc>
        <w:tc>
          <w:tcPr>
            <w:tcW w:type="dxa" w:w="1440"/>
            <w:shd w:fill="DAE6F3"/>
          </w:tcPr>
          <w:p>
            <w:r>
              <w:rPr>
                <w:b/>
                <w:sz w:val="20"/>
              </w:rPr>
              <w:t>Review</w:t>
            </w:r>
          </w:p>
        </w:tc>
        <w:tc>
          <w:tcPr>
            <w:tcW w:type="dxa" w:w="1440"/>
            <w:shd w:fill="DAE6F3"/>
          </w:tcPr>
          <w:p>
            <w:r>
              <w:rPr>
                <w:b/>
                <w:sz w:val="20"/>
              </w:rPr>
              <w:t>Report</w:t>
            </w:r>
          </w:p>
        </w:tc>
      </w:tr>
    </w:tbl>
    <w:p/>
    <w:p>
      <w:r>
        <w:t>The final output of the activity was reviewed through discussion, feedback, and short documentation prepared by the participant. For the Flight Fare Prediction project, the flow involved data loading, exploratory data analysis, data preprocessing (encoding and scaling), model training using various regression algorithms, evaluating their performance metrics, and finally deploying an interactive web interface.</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the selected topic and its practical use.</w:t>
      </w:r>
    </w:p>
    <w:p>
      <w:pPr>
        <w:pStyle w:val="ListBullet"/>
      </w:pPr>
      <w:r>
        <w:t>• Ability to follow structured workflows for implementation and testing.</w:t>
      </w:r>
    </w:p>
    <w:p>
      <w:pPr>
        <w:pStyle w:val="ListBullet"/>
      </w:pPr>
      <w:r>
        <w:t>• Basic debugging and error-analysis skills during hands-on practice.</w:t>
      </w:r>
    </w:p>
    <w:p>
      <w:pPr>
        <w:pStyle w:val="ListBullet"/>
      </w:pPr>
      <w:r>
        <w:t>• Improved communication through discussion, documentation, and presentation.</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 The successful implementation of a machine learning pipeline capable of predicting flight fares in real-time demonstrated proficiency in applying AI tools to real-world datasets.</w:t>
      </w:r>
    </w:p>
    <w:p>
      <w:pPr>
        <w:jc w:val="left"/>
      </w:pPr>
      <w:r>
        <w:rPr>
          <w:rFonts w:ascii="Times New Roman" w:hAnsi="Times New Roman"/>
          <w:b/>
          <w:color w:val="1F4E79"/>
          <w:sz w:val="28"/>
        </w:rPr>
        <w:t>Findings</w:t>
      </w:r>
    </w:p>
    <w:p>
      <w:r>
        <w:t>The programme showed that guided hands-on learning improves technical confidence. Participants were able to connect theoretical ideas with implementation steps when each concept was supported by examples, demonstrations, and feedback. In the specific project, several key findings emerged regarding flight fare predictive modeling: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p>
      <w:r>
        <w:t>Random Forest Regressor outperformed other algorithms with an R² score of 98.56%.</w:t>
      </w:r>
    </w:p>
    <w:p>
      <w:pPr>
        <w:jc w:val="center"/>
      </w:pPr>
      <w:r>
        <w:drawing>
          <wp:inline xmlns:a="http://schemas.openxmlformats.org/drawingml/2006/main" xmlns:pic="http://schemas.openxmlformats.org/drawingml/2006/picture">
            <wp:extent cx="4572000" cy="2247385"/>
            <wp:docPr id="1" name="Picture 1"/>
            <wp:cNvGraphicFramePr>
              <a:graphicFrameLocks noChangeAspect="1"/>
            </wp:cNvGraphicFramePr>
            <a:graphic>
              <a:graphicData uri="http://schemas.openxmlformats.org/drawingml/2006/picture">
                <pic:pic>
                  <pic:nvPicPr>
                    <pic:cNvPr id="0" name="12_model_comparison_r2.png"/>
                    <pic:cNvPicPr/>
                  </pic:nvPicPr>
                  <pic:blipFill>
                    <a:blip r:embed="rId9"/>
                    <a:stretch>
                      <a:fillRect/>
                    </a:stretch>
                  </pic:blipFill>
                  <pic:spPr>
                    <a:xfrm>
                      <a:off x="0" y="0"/>
                      <a:ext cx="4572000" cy="2247385"/>
                    </a:xfrm>
                    <a:prstGeom prst="rect"/>
                  </pic:spPr>
                </pic:pic>
              </a:graphicData>
            </a:graphic>
          </wp:inline>
        </w:drawing>
      </w:r>
    </w:p>
    <w:p>
      <w:r>
        <w:t>Furthermore, feature importance analysis revealed that the flight ticket class (Economy vs. Business) and the booking window (days left) are the most significant factors influencing fare prices.</w:t>
      </w:r>
    </w:p>
    <w:p>
      <w:pPr>
        <w:jc w:val="center"/>
      </w:pPr>
      <w:r>
        <w:drawing>
          <wp:inline xmlns:a="http://schemas.openxmlformats.org/drawingml/2006/main" xmlns:pic="http://schemas.openxmlformats.org/drawingml/2006/picture">
            <wp:extent cx="4572000" cy="3178098"/>
            <wp:docPr id="2" name="Picture 2"/>
            <wp:cNvGraphicFramePr>
              <a:graphicFrameLocks noChangeAspect="1"/>
            </wp:cNvGraphicFramePr>
            <a:graphic>
              <a:graphicData uri="http://schemas.openxmlformats.org/drawingml/2006/picture">
                <pic:pic>
                  <pic:nvPicPr>
                    <pic:cNvPr id="0" name="15_feature_importance_rf.png"/>
                    <pic:cNvPicPr/>
                  </pic:nvPicPr>
                  <pic:blipFill>
                    <a:blip r:embed="rId10"/>
                    <a:stretch>
                      <a:fillRect/>
                    </a:stretch>
                  </pic:blipFill>
                  <pic:spPr>
                    <a:xfrm>
                      <a:off x="0" y="0"/>
                      <a:ext cx="4572000" cy="3178098"/>
                    </a:xfrm>
                    <a:prstGeom prst="rect"/>
                  </pic:spPr>
                </pic:pic>
              </a:graphicData>
            </a:graphic>
          </wp:inline>
        </w:drawing>
      </w:r>
    </w:p>
    <w:p>
      <w:r>
        <w:t>Dynamic pricing is highly evident; actual vs. predicted values align almost perfectly for the Random Forest model, validating its reliability for price estimation.</w:t>
      </w:r>
    </w:p>
    <w:p>
      <w:pPr>
        <w:jc w:val="center"/>
      </w:pPr>
      <w:r>
        <w:drawing>
          <wp:inline xmlns:a="http://schemas.openxmlformats.org/drawingml/2006/main" xmlns:pic="http://schemas.openxmlformats.org/drawingml/2006/picture">
            <wp:extent cx="4572000" cy="4459159"/>
            <wp:docPr id="3" name="Picture 3"/>
            <wp:cNvGraphicFramePr>
              <a:graphicFrameLocks noChangeAspect="1"/>
            </wp:cNvGraphicFramePr>
            <a:graphic>
              <a:graphicData uri="http://schemas.openxmlformats.org/drawingml/2006/picture">
                <pic:pic>
                  <pic:nvPicPr>
                    <pic:cNvPr id="0" name="17_actual_vs_predicted.png"/>
                    <pic:cNvPicPr/>
                  </pic:nvPicPr>
                  <pic:blipFill>
                    <a:blip r:embed="rId11"/>
                    <a:stretch>
                      <a:fillRect/>
                    </a:stretch>
                  </pic:blipFill>
                  <pic:spPr>
                    <a:xfrm>
                      <a:off x="0" y="0"/>
                      <a:ext cx="4572000" cy="4459159"/>
                    </a:xfrm>
                    <a:prstGeom prst="rect"/>
                  </pic:spPr>
                </pic:pic>
              </a:graphicData>
            </a:graphic>
          </wp:inline>
        </w:drawing>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Understanding new terminology and technical workflows within a short period.</w:t>
      </w:r>
    </w:p>
    <w:p>
      <w:pPr>
        <w:pStyle w:val="ListBullet"/>
      </w:pPr>
      <w:r>
        <w:t>• Debugging errors during practical sessions and identifying the correct cause (e.g., handling categorical encoding mismatches).</w:t>
      </w:r>
    </w:p>
    <w:p>
      <w:pPr>
        <w:pStyle w:val="ListBullet"/>
      </w:pPr>
      <w:r>
        <w:t>• Preparing a clear report that summarizes activities without unnecessary detail.</w:t>
      </w:r>
    </w:p>
    <w:p>
      <w:pPr>
        <w:jc w:val="left"/>
      </w:pPr>
      <w:r>
        <w:rPr>
          <w:rFonts w:ascii="Times New Roman" w:hAnsi="Times New Roman"/>
          <w:b/>
          <w:color w:val="1F4E79"/>
          <w:sz w:val="28"/>
        </w:rPr>
        <w:t>Scope for Future Learning</w:t>
      </w:r>
    </w:p>
    <w:p>
      <w:r>
        <w:t>Participants can continue learning by repeating the practical exercises, exploring advanced tools, contributing to open-source projects, and building small portfolio projects related to the programme topic. Future enhancements for the flight fare predictor could include incorporating real-time API data and deep learning architectures.</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sessions helped the participant develop technical awareness, confidence, and a foundation for further study or project work.</w:t>
      </w:r>
    </w:p>
    <w:p>
      <w:pPr>
        <w:jc w:val="left"/>
      </w:pPr>
      <w:r>
        <w:rPr>
          <w:rFonts w:ascii="Times New Roman" w:hAnsi="Times New Roman"/>
          <w:b/>
          <w:color w:val="1F4E79"/>
          <w:sz w:val="28"/>
        </w:rPr>
        <w:t>References</w:t>
      </w:r>
    </w:p>
    <w:p>
      <w:pPr>
        <w:pStyle w:val="ListBullet"/>
      </w:pPr>
      <w:r>
        <w:t>• ICFOSS official resources and training materials.</w:t>
      </w:r>
    </w:p>
    <w:p>
      <w:pPr>
        <w:pStyle w:val="ListBullet"/>
      </w:pPr>
      <w:r>
        <w:t>• Session notes, demonstrations, and participant activity records.</w:t>
      </w:r>
    </w:p>
    <w:p>
      <w:pPr>
        <w:pStyle w:val="ListBullet"/>
      </w:pPr>
      <w:r>
        <w:t>• Open-source documentation related to the tools used in the programme.</w:t>
      </w:r>
    </w:p>
    <w:p>
      <w:pPr>
        <w:pStyle w:val="ListBullet"/>
      </w:pPr>
      <w:r>
        <w:t>• Kaggle Flight Price Prediction Dataset by S. Bathwal.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