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r>
        <w:t>This report presents the learning experience of a participant in the training/internship programme conducted at ICFOSS. The programme introduced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applied tools in practical situations and prepared a concise report of their learning.</w:t>
      </w:r>
    </w:p>
    <w:p>
      <w:r>
        <w:t>This report covers the organization profile, objectives, methodology, tools, learning outcomes, challenges, and future scope. It details the comprehensive implementation of the Flight Fare Prediction project.</w:t>
      </w:r>
    </w:p>
    <w:p>
      <w:r>
        <w:t>A complete Machine Learning pipeline was developed in Python to predict domestic flight ticket prices. Utilizing a dataset of over 300,000 records, extensive EDA and data preprocessing were conducted. Five regression algorithms were evaluated. The Random Forest Regressor emerged as the optimal model, achieving an R² score of 98.56%. Strictly following project requirements, the final model was deployed via a functional Flask web application.</w:t>
      </w:r>
    </w:p>
    <w:p>
      <w:r>
        <w:br w:type="page"/>
      </w:r>
    </w:p>
    <w:p>
      <w:pPr>
        <w:jc w:val="center"/>
      </w:pPr>
      <w:r>
        <w:rPr>
          <w:rFonts w:ascii="Times New Roman" w:hAnsi="Times New Roman"/>
          <w:b/>
          <w:color w:val="1F4E79"/>
          <w:sz w:val="32"/>
        </w:rPr>
        <w:t>TABLE OF CONTENTS</w:t>
      </w:r>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8</w:t>
            </w:r>
          </w:p>
        </w:tc>
      </w:tr>
      <w:tr>
        <w:tc>
          <w:tcPr>
            <w:tcW w:type="dxa" w:w="4320"/>
          </w:tcPr>
          <w:p>
            <w:r>
              <w:t xml:space="preserve">  Skills Developed</w:t>
            </w:r>
          </w:p>
        </w:tc>
        <w:tc>
          <w:tcPr>
            <w:tcW w:type="dxa" w:w="4320"/>
          </w:tcPr>
          <w:p>
            <w:pPr>
              <w:jc w:val="right"/>
            </w:pPr>
            <w:r>
              <w:t>8</w:t>
            </w:r>
          </w:p>
        </w:tc>
      </w:tr>
      <w:tr>
        <w:tc>
          <w:tcPr>
            <w:tcW w:type="dxa" w:w="4320"/>
          </w:tcPr>
          <w:p>
            <w:r>
              <w:t xml:space="preserve">  Participant Outcomes</w:t>
            </w:r>
          </w:p>
        </w:tc>
        <w:tc>
          <w:tcPr>
            <w:tcW w:type="dxa" w:w="4320"/>
          </w:tcPr>
          <w:p>
            <w:pPr>
              <w:jc w:val="right"/>
            </w:pPr>
            <w:r>
              <w:t>8</w:t>
            </w:r>
          </w:p>
        </w:tc>
      </w:tr>
      <w:tr>
        <w:tc>
          <w:tcPr>
            <w:tcW w:type="dxa" w:w="4320"/>
          </w:tcPr>
          <w:p>
            <w:r>
              <w:t xml:space="preserve">  Findings</w:t>
            </w:r>
          </w:p>
        </w:tc>
        <w:tc>
          <w:tcPr>
            <w:tcW w:type="dxa" w:w="4320"/>
          </w:tcPr>
          <w:p>
            <w:pPr>
              <w:jc w:val="right"/>
            </w:pPr>
            <w:r>
              <w:t>8</w:t>
            </w:r>
          </w:p>
        </w:tc>
      </w:tr>
      <w:tr>
        <w:tc>
          <w:tcPr>
            <w:tcW w:type="dxa" w:w="4320"/>
          </w:tcPr>
          <w:p>
            <w:r>
              <w:t>Summary, Challenges and Conclusion</w:t>
            </w:r>
          </w:p>
        </w:tc>
        <w:tc>
          <w:tcPr>
            <w:tcW w:type="dxa" w:w="4320"/>
          </w:tcPr>
          <w:p>
            <w:pPr>
              <w:jc w:val="right"/>
            </w:pPr>
            <w:r>
              <w:t>10</w:t>
            </w:r>
          </w:p>
        </w:tc>
      </w:tr>
      <w:tr>
        <w:tc>
          <w:tcPr>
            <w:tcW w:type="dxa" w:w="4320"/>
          </w:tcPr>
          <w:p>
            <w:r>
              <w:t xml:space="preserve">  Challenges</w:t>
            </w:r>
          </w:p>
        </w:tc>
        <w:tc>
          <w:tcPr>
            <w:tcW w:type="dxa" w:w="4320"/>
          </w:tcPr>
          <w:p>
            <w:pPr>
              <w:jc w:val="right"/>
            </w:pPr>
            <w:r>
              <w:t>10</w:t>
            </w:r>
          </w:p>
        </w:tc>
      </w:tr>
      <w:tr>
        <w:tc>
          <w:tcPr>
            <w:tcW w:type="dxa" w:w="4320"/>
          </w:tcPr>
          <w:p>
            <w:r>
              <w:t xml:space="preserve">  Scope for Future Learning</w:t>
            </w:r>
          </w:p>
        </w:tc>
        <w:tc>
          <w:tcPr>
            <w:tcW w:type="dxa" w:w="4320"/>
          </w:tcPr>
          <w:p>
            <w:pPr>
              <w:jc w:val="right"/>
            </w:pPr>
            <w:r>
              <w:t>10</w:t>
            </w:r>
          </w:p>
        </w:tc>
      </w:tr>
      <w:tr>
        <w:tc>
          <w:tcPr>
            <w:tcW w:type="dxa" w:w="4320"/>
          </w:tcPr>
          <w:p>
            <w:r>
              <w:t xml:space="preserve">  Conclusion</w:t>
            </w:r>
          </w:p>
        </w:tc>
        <w:tc>
          <w:tcPr>
            <w:tcW w:type="dxa" w:w="4320"/>
          </w:tcPr>
          <w:p>
            <w:pPr>
              <w:jc w:val="right"/>
            </w:pPr>
            <w:r>
              <w:t>10</w:t>
            </w:r>
          </w:p>
        </w:tc>
      </w:tr>
      <w:tr>
        <w:tc>
          <w:tcPr>
            <w:tcW w:type="dxa" w:w="4320"/>
          </w:tcPr>
          <w:p>
            <w:r>
              <w:t xml:space="preserve">  References</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introduced participants to practical computing concepts and open-source development practices, connecting classroom knowledge with real-world implementation through guided sessions. The hybrid internship heavily emphasized modern Data Science workflows using Python.</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methodology combined concept explanation, live demonstration, guided practice, independent exploration, review, and documentation.</w:t>
      </w:r>
    </w:p>
    <w:p>
      <w:pPr>
        <w:jc w:val="left"/>
      </w:pPr>
      <w:r>
        <w:rPr>
          <w:rFonts w:ascii="Times New Roman" w:hAnsi="Times New Roman"/>
          <w:b/>
          <w:color w:val="1F4E79"/>
          <w:sz w:val="28"/>
        </w:rPr>
        <w:t>Tools and Technologies Used</w:t>
      </w:r>
    </w:p>
    <w:p>
      <w:pPr>
        <w:pStyle w:val="ListBullet"/>
      </w:pPr>
      <w:r>
        <w:t>• Operating system and command-line basics.</w:t>
      </w:r>
    </w:p>
    <w:p>
      <w:pPr>
        <w:pStyle w:val="ListBullet"/>
      </w:pPr>
      <w:r>
        <w:t>• Programming environment: Python 3.13.</w:t>
      </w:r>
    </w:p>
    <w:p>
      <w:pPr>
        <w:pStyle w:val="ListBullet"/>
      </w:pPr>
      <w:r>
        <w:t>• Open-source libraries: Pandas, NumPy, Matplotlib, Scikit-learn.</w:t>
      </w:r>
    </w:p>
    <w:p>
      <w:pPr>
        <w:pStyle w:val="ListBullet"/>
      </w:pPr>
      <w:r>
        <w:t>• Web Deployment: Flask strictly used for the web interface.</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rPr>
              <w:t>Orientation</w:t>
            </w:r>
          </w:p>
        </w:tc>
        <w:tc>
          <w:tcPr>
            <w:tcW w:type="dxa" w:w="1440"/>
            <w:shd w:fill="DAE6F3"/>
          </w:tcPr>
          <w:p>
            <w:r>
              <w:rPr>
                <w:b/>
              </w:rPr>
              <w:t>Concepts</w:t>
            </w:r>
          </w:p>
        </w:tc>
        <w:tc>
          <w:tcPr>
            <w:tcW w:type="dxa" w:w="1440"/>
            <w:shd w:fill="DAE6F3"/>
          </w:tcPr>
          <w:p>
            <w:r>
              <w:rPr>
                <w:b/>
              </w:rPr>
              <w:t>Hands-on</w:t>
            </w:r>
          </w:p>
        </w:tc>
        <w:tc>
          <w:tcPr>
            <w:tcW w:type="dxa" w:w="1440"/>
            <w:shd w:fill="DAE6F3"/>
          </w:tcPr>
          <w:p>
            <w:r>
              <w:rPr>
                <w:b/>
              </w:rPr>
              <w:t>Mini Task</w:t>
            </w:r>
          </w:p>
        </w:tc>
        <w:tc>
          <w:tcPr>
            <w:tcW w:type="dxa" w:w="1440"/>
            <w:shd w:fill="DAE6F3"/>
          </w:tcPr>
          <w:p>
            <w:r>
              <w:rPr>
                <w:b/>
              </w:rPr>
              <w:t>Review</w:t>
            </w:r>
          </w:p>
        </w:tc>
        <w:tc>
          <w:tcPr>
            <w:tcW w:type="dxa" w:w="1440"/>
            <w:shd w:fill="DAE6F3"/>
          </w:tcPr>
          <w:p>
            <w:r>
              <w:rPr>
                <w:b/>
              </w:rPr>
              <w:t>Report</w:t>
            </w:r>
          </w:p>
        </w:tc>
      </w:tr>
      <w:tr>
        <w:tc>
          <w:tcPr>
            <w:tcW w:type="dxa" w:w="1440"/>
          </w:tcPr>
          <w:p>
            <w:r>
              <w:rPr>
                <w:sz w:val="20"/>
              </w:rPr>
              <w:t>Problem Statement</w:t>
            </w:r>
          </w:p>
        </w:tc>
        <w:tc>
          <w:tcPr>
            <w:tcW w:type="dxa" w:w="1440"/>
          </w:tcPr>
          <w:p>
            <w:r>
              <w:rPr>
                <w:sz w:val="20"/>
              </w:rPr>
              <w:t>Regression, Clustering</w:t>
            </w:r>
          </w:p>
        </w:tc>
        <w:tc>
          <w:tcPr>
            <w:tcW w:type="dxa" w:w="1440"/>
          </w:tcPr>
          <w:p>
            <w:r>
              <w:rPr>
                <w:sz w:val="20"/>
              </w:rPr>
              <w:t>Data cleaning, EDA</w:t>
            </w:r>
          </w:p>
        </w:tc>
        <w:tc>
          <w:tcPr>
            <w:tcW w:type="dxa" w:w="1440"/>
          </w:tcPr>
          <w:p>
            <w:r>
              <w:rPr>
                <w:sz w:val="20"/>
              </w:rPr>
              <w:t>Training 5 ML models</w:t>
            </w:r>
          </w:p>
        </w:tc>
        <w:tc>
          <w:tcPr>
            <w:tcW w:type="dxa" w:w="1440"/>
          </w:tcPr>
          <w:p>
            <w:r>
              <w:rPr>
                <w:sz w:val="20"/>
              </w:rPr>
              <w:t>Comparing R² &amp; MAE</w:t>
            </w:r>
          </w:p>
        </w:tc>
        <w:tc>
          <w:tcPr>
            <w:tcW w:type="dxa" w:w="1440"/>
          </w:tcPr>
          <w:p>
            <w:r>
              <w:rPr>
                <w:sz w:val="20"/>
              </w:rPr>
              <w:t>Flask Web App &amp; Doc</w:t>
            </w:r>
          </w:p>
        </w:tc>
      </w:tr>
    </w:tbl>
    <w:p>
      <w:r>
        <w:br/>
        <w:t>The methodology executed for the Flight Fare Prediction project involved systematic steps:</w:t>
      </w:r>
    </w:p>
    <w:p>
      <w:pPr>
        <w:pStyle w:val="ListNumber"/>
      </w:pPr>
      <w:r>
        <w:t>1. Data Loading &amp; Exploration: Handled 300,153 flight records across major Indian cities.</w:t>
      </w:r>
    </w:p>
    <w:p>
      <w:pPr>
        <w:jc w:val="center"/>
      </w:pPr>
      <w:r>
        <w:drawing>
          <wp:inline xmlns:a="http://schemas.openxmlformats.org/drawingml/2006/main" xmlns:pic="http://schemas.openxmlformats.org/drawingml/2006/picture">
            <wp:extent cx="4114800" cy="2028455"/>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4114800" cy="2028455"/>
                    </a:xfrm>
                    <a:prstGeom prst="rect"/>
                  </pic:spPr>
                </pic:pic>
              </a:graphicData>
            </a:graphic>
          </wp:inline>
        </w:drawing>
      </w:r>
    </w:p>
    <w:p>
      <w:pPr>
        <w:pStyle w:val="ListNumber"/>
      </w:pPr>
      <w:r>
        <w:t>2. Exploratory Data Analysis (EDA): Correlation heatmaps identified that duration and days left strongly correlate with ticket price.</w:t>
      </w:r>
    </w:p>
    <w:p>
      <w:pPr>
        <w:jc w:val="center"/>
      </w:pPr>
      <w:r>
        <w:drawing>
          <wp:inline xmlns:a="http://schemas.openxmlformats.org/drawingml/2006/main" xmlns:pic="http://schemas.openxmlformats.org/drawingml/2006/picture">
            <wp:extent cx="4114800" cy="2026069"/>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4114800" cy="2026069"/>
                    </a:xfrm>
                    <a:prstGeom prst="rect"/>
                  </pic:spPr>
                </pic:pic>
              </a:graphicData>
            </a:graphic>
          </wp:inline>
        </w:drawing>
      </w:r>
    </w:p>
    <w:p>
      <w:pPr>
        <w:pStyle w:val="ListNumber"/>
      </w:pPr>
      <w:r>
        <w:t>3. Data Preprocessing: Irrelevant identifiers were dropped. One-Hot and Label Encoding were applied. Outliers were removed via IQR, and numerical features scaled using StandardScaler.</w:t>
      </w:r>
    </w:p>
    <w:p>
      <w:pPr>
        <w:pStyle w:val="ListNumber"/>
      </w:pPr>
      <w:r>
        <w:t>4. Code Implementation (Machine Learning Model): The following code snippet demonstrates the core model training phase utilizing the Random Forest algorithm within the Flight Fare Prediction pipeline:</w:t>
      </w:r>
    </w:p>
    <w:p>
      <w:r>
        <w:rPr>
          <w:rFonts w:ascii="Courier New" w:hAnsi="Courier New"/>
          <w:sz w:val="20"/>
        </w:rPr>
        <w:t>from sklearn.ensemble import RandomForestRegressor</w:t>
        <w:br/>
        <w:t>from sklearn.metrics import mean_absolute_error, r2_score</w:t>
        <w:br/>
        <w:br/>
        <w:t># Initialize and train the Random Forest Regressor</w:t>
        <w:br/>
        <w:t>rf_model = RandomForestRegressor(n_estimators=100, random_state=42, n_jobs=-1)</w:t>
        <w:br/>
        <w:t>rf_model.fit(X_train, y_train)</w:t>
        <w:br/>
      </w:r>
    </w:p>
    <w:p>
      <w:pPr>
        <w:pStyle w:val="ListNumber"/>
      </w:pPr>
      <w:r>
        <w:t>5. Web Application Deployment (Flask): Strictly following project requirements, the final trained Random Forest model was integrated into a Flask Web Application. Below are the execution screenshots of the working website, neatly formatted:</w:t>
      </w:r>
    </w:p>
    <w:p>
      <w:pPr>
        <w:jc w:val="center"/>
      </w:pPr>
      <w:r>
        <w:drawing>
          <wp:inline xmlns:a="http://schemas.openxmlformats.org/drawingml/2006/main" xmlns:pic="http://schemas.openxmlformats.org/drawingml/2006/picture">
            <wp:extent cx="3886200" cy="3700300"/>
            <wp:docPr id="3" name="Picture 3"/>
            <wp:cNvGraphicFramePr>
              <a:graphicFrameLocks noChangeAspect="1"/>
            </wp:cNvGraphicFramePr>
            <a:graphic>
              <a:graphicData uri="http://schemas.openxmlformats.org/drawingml/2006/picture">
                <pic:pic>
                  <pic:nvPicPr>
                    <pic:cNvPr id="0" name="Screenshot 1 .jpeg"/>
                    <pic:cNvPicPr/>
                  </pic:nvPicPr>
                  <pic:blipFill>
                    <a:blip r:embed="rId12"/>
                    <a:stretch>
                      <a:fillRect/>
                    </a:stretch>
                  </pic:blipFill>
                  <pic:spPr>
                    <a:xfrm>
                      <a:off x="0" y="0"/>
                      <a:ext cx="3886200" cy="3700300"/>
                    </a:xfrm>
                    <a:prstGeom prst="rect"/>
                  </pic:spPr>
                </pic:pic>
              </a:graphicData>
            </a:graphic>
          </wp:inline>
        </w:drawing>
      </w:r>
    </w:p>
    <w:p>
      <w:pPr>
        <w:jc w:val="center"/>
      </w:pPr>
      <w:r>
        <w:rPr>
          <w:i/>
        </w:rPr>
        <w:t>Figure: Execution Screenshot 1 - Flask Web Interface</w:t>
      </w:r>
    </w:p>
    <w:p>
      <w:pPr>
        <w:jc w:val="center"/>
      </w:pPr>
      <w:r>
        <w:drawing>
          <wp:inline xmlns:a="http://schemas.openxmlformats.org/drawingml/2006/main" xmlns:pic="http://schemas.openxmlformats.org/drawingml/2006/picture">
            <wp:extent cx="3886200" cy="3716997"/>
            <wp:docPr id="4" name="Picture 4"/>
            <wp:cNvGraphicFramePr>
              <a:graphicFrameLocks noChangeAspect="1"/>
            </wp:cNvGraphicFramePr>
            <a:graphic>
              <a:graphicData uri="http://schemas.openxmlformats.org/drawingml/2006/picture">
                <pic:pic>
                  <pic:nvPicPr>
                    <pic:cNvPr id="0" name="screenshot 2.jpeg"/>
                    <pic:cNvPicPr/>
                  </pic:nvPicPr>
                  <pic:blipFill>
                    <a:blip r:embed="rId13"/>
                    <a:stretch>
                      <a:fillRect/>
                    </a:stretch>
                  </pic:blipFill>
                  <pic:spPr>
                    <a:xfrm>
                      <a:off x="0" y="0"/>
                      <a:ext cx="3886200" cy="3716997"/>
                    </a:xfrm>
                    <a:prstGeom prst="rect"/>
                  </pic:spPr>
                </pic:pic>
              </a:graphicData>
            </a:graphic>
          </wp:inline>
        </w:drawing>
      </w:r>
    </w:p>
    <w:p>
      <w:pPr>
        <w:jc w:val="center"/>
      </w:pPr>
      <w:r>
        <w:rPr>
          <w:i/>
        </w:rPr>
        <w:t>Figure: Execution Screenshot 2 - Prediction Output</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end-to-end Machine Learning pipelines.</w:t>
      </w:r>
    </w:p>
    <w:p>
      <w:pPr>
        <w:pStyle w:val="ListBullet"/>
      </w:pPr>
      <w:r>
        <w:t>• Ability to follow structured workflows for data preprocessing and encoding.</w:t>
      </w:r>
    </w:p>
    <w:p>
      <w:pPr>
        <w:pStyle w:val="ListBullet"/>
      </w:pPr>
      <w:r>
        <w:t>• Improved communication through documentation and Flask Web Dashboard deployment.</w:t>
      </w:r>
    </w:p>
    <w:p>
      <w:pPr>
        <w:jc w:val="left"/>
      </w:pPr>
      <w:r>
        <w:rPr>
          <w:rFonts w:ascii="Times New Roman" w:hAnsi="Times New Roman"/>
          <w:b/>
          <w:color w:val="1F4E79"/>
          <w:sz w:val="28"/>
        </w:rPr>
        <w:t>Participant Outcomes</w:t>
      </w:r>
    </w:p>
    <w:p>
      <w:r>
        <w:t>The participant completed the assigned practical activity and documented the process. The implementation of a predictive model capable of estimating flight fares within an average error margin of INR 1,250 demonstrated high proficiency.</w:t>
      </w:r>
    </w:p>
    <w:p>
      <w:pPr>
        <w:jc w:val="left"/>
      </w:pPr>
      <w:r>
        <w:rPr>
          <w:rFonts w:ascii="Times New Roman" w:hAnsi="Times New Roman"/>
          <w:b/>
          <w:color w:val="1F4E79"/>
          <w:sz w:val="28"/>
        </w:rPr>
        <w:t>Findings</w:t>
      </w:r>
    </w:p>
    <w:p>
      <w:r>
        <w:t>Five regression models were rigorously trained and tested. Empirical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Random Forest outperformed all other algorithms with an R² score of 98.56%.</w:t>
      </w:r>
    </w:p>
    <w:p>
      <w:pPr>
        <w:jc w:val="center"/>
      </w:pPr>
      <w:r>
        <w:drawing>
          <wp:inline xmlns:a="http://schemas.openxmlformats.org/drawingml/2006/main" xmlns:pic="http://schemas.openxmlformats.org/drawingml/2006/picture">
            <wp:extent cx="4114800" cy="2022647"/>
            <wp:docPr id="5" name="Picture 5"/>
            <wp:cNvGraphicFramePr>
              <a:graphicFrameLocks noChangeAspect="1"/>
            </wp:cNvGraphicFramePr>
            <a:graphic>
              <a:graphicData uri="http://schemas.openxmlformats.org/drawingml/2006/picture">
                <pic:pic>
                  <pic:nvPicPr>
                    <pic:cNvPr id="0" name="12_model_comparison_r2.png"/>
                    <pic:cNvPicPr/>
                  </pic:nvPicPr>
                  <pic:blipFill>
                    <a:blip r:embed="rId14"/>
                    <a:stretch>
                      <a:fillRect/>
                    </a:stretch>
                  </pic:blipFill>
                  <pic:spPr>
                    <a:xfrm>
                      <a:off x="0" y="0"/>
                      <a:ext cx="4114800" cy="2022647"/>
                    </a:xfrm>
                    <a:prstGeom prst="rect"/>
                  </pic:spPr>
                </pic:pic>
              </a:graphicData>
            </a:graphic>
          </wp:inline>
        </w:drawing>
      </w:r>
    </w:p>
    <w:p>
      <w:pPr>
        <w:jc w:val="center"/>
      </w:pPr>
      <w:r>
        <w:drawing>
          <wp:inline xmlns:a="http://schemas.openxmlformats.org/drawingml/2006/main" xmlns:pic="http://schemas.openxmlformats.org/drawingml/2006/picture">
            <wp:extent cx="4114800" cy="2860288"/>
            <wp:docPr id="6" name="Picture 6"/>
            <wp:cNvGraphicFramePr>
              <a:graphicFrameLocks noChangeAspect="1"/>
            </wp:cNvGraphicFramePr>
            <a:graphic>
              <a:graphicData uri="http://schemas.openxmlformats.org/drawingml/2006/picture">
                <pic:pic>
                  <pic:nvPicPr>
                    <pic:cNvPr id="0" name="15_feature_importance_rf.png"/>
                    <pic:cNvPicPr/>
                  </pic:nvPicPr>
                  <pic:blipFill>
                    <a:blip r:embed="rId15"/>
                    <a:stretch>
                      <a:fillRect/>
                    </a:stretch>
                  </pic:blipFill>
                  <pic:spPr>
                    <a:xfrm>
                      <a:off x="0" y="0"/>
                      <a:ext cx="4114800" cy="2860288"/>
                    </a:xfrm>
                    <a:prstGeom prst="rect"/>
                  </pic:spPr>
                </pic:pic>
              </a:graphicData>
            </a:graphic>
          </wp:inline>
        </w:drawing>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 Adjusting to the complexities of algorithmic hyperparameter tuning.</w:t>
      </w:r>
    </w:p>
    <w:p>
      <w:pPr>
        <w:pStyle w:val="ListBullet"/>
      </w:pPr>
      <w:r>
        <w:t>• Encoding categorical data to ensure unseen categories during user inference did not crash the Flask application.</w:t>
      </w:r>
    </w:p>
    <w:p>
      <w:pPr>
        <w:jc w:val="left"/>
      </w:pPr>
      <w:r>
        <w:rPr>
          <w:rFonts w:ascii="Times New Roman" w:hAnsi="Times New Roman"/>
          <w:b/>
          <w:color w:val="1F4E79"/>
          <w:sz w:val="28"/>
        </w:rPr>
        <w:t>Scope for Future Learning</w:t>
      </w:r>
    </w:p>
    <w:p>
      <w:r>
        <w:t>Future enhancements could include transitioning the model to a Deep Neural Network architecture and utilizing real-time API scraping.</w:t>
      </w:r>
    </w:p>
    <w:p>
      <w:pPr>
        <w:jc w:val="left"/>
      </w:pPr>
      <w:r>
        <w:rPr>
          <w:rFonts w:ascii="Times New Roman" w:hAnsi="Times New Roman"/>
          <w:b/>
          <w:color w:val="1F4E79"/>
          <w:sz w:val="28"/>
        </w:rPr>
        <w:t>Conclusion</w:t>
      </w:r>
    </w:p>
    <w:p>
      <w:r>
        <w:t>The training programme provided useful exposure to open-source technology, practical implementation, and professional documentation. The successful completion of the Flight Fare Prediction system strictly deployed using Flask serves as a testament to the curriculum's effectiveness.</w:t>
      </w:r>
    </w:p>
    <w:p>
      <w:pPr>
        <w:jc w:val="left"/>
      </w:pPr>
      <w:r>
        <w:rPr>
          <w:rFonts w:ascii="Times New Roman" w:hAnsi="Times New Roman"/>
          <w:b/>
          <w:color w:val="1F4E79"/>
          <w:sz w:val="28"/>
        </w:rPr>
        <w:t>References</w:t>
      </w:r>
    </w:p>
    <w:p>
      <w:pPr>
        <w:pStyle w:val="ListBullet"/>
      </w:pPr>
      <w:r>
        <w:t>• ICFOSS official resources and training materials.</w:t>
      </w:r>
    </w:p>
    <w:p>
      <w:pPr>
        <w:pStyle w:val="ListBullet"/>
      </w:pPr>
      <w:r>
        <w:t>• Kaggle Flight Price Prediction Dataset by S. Bathwal.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