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The report covers the organization profile, objectives of the programme, methodology adopted, tools and technologies introduced, learning outcomes, challenges faced, and future scope. It has been customized to detail the comprehensive implementation of a Flight Fare Prediction system.</w:t>
      </w:r>
    </w:p>
    <w:p>
      <w:r>
        <w:t>A robust machine learning pipeline was developed in Python to estimate domestic flight ticket prices. Utilizing a comprehensive dataset of 300,153 records, extensive Exploratory Data Analysis (EDA) and rigorous data preprocessing were performed. A comparative analysis of five regression algorithms identified the Random Forest Regressor as the optimal model, achieving an impressive R² score of 98.56%. Fulfilling project guidelines, the finalized model was successfully deployed through an interactive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7</w:t>
            </w:r>
          </w:p>
        </w:tc>
      </w:tr>
      <w:tr>
        <w:tc>
          <w:tcPr>
            <w:tcW w:type="dxa" w:w="4320"/>
          </w:tcPr>
          <w:p>
            <w:r>
              <w:t xml:space="preserve">  Skills Developed</w:t>
            </w:r>
          </w:p>
        </w:tc>
        <w:tc>
          <w:tcPr>
            <w:tcW w:type="dxa" w:w="4320"/>
          </w:tcPr>
          <w:p>
            <w:pPr>
              <w:jc w:val="right"/>
            </w:pPr>
            <w:r>
              <w:t>7</w:t>
            </w:r>
          </w:p>
        </w:tc>
      </w:tr>
      <w:tr>
        <w:tc>
          <w:tcPr>
            <w:tcW w:type="dxa" w:w="4320"/>
          </w:tcPr>
          <w:p>
            <w:r>
              <w:t xml:space="preserve">  Participant Outcomes</w:t>
            </w:r>
          </w:p>
        </w:tc>
        <w:tc>
          <w:tcPr>
            <w:tcW w:type="dxa" w:w="4320"/>
          </w:tcPr>
          <w:p>
            <w:pPr>
              <w:jc w:val="right"/>
            </w:pPr>
            <w:r>
              <w:t>7</w:t>
            </w:r>
          </w:p>
        </w:tc>
      </w:tr>
      <w:tr>
        <w:tc>
          <w:tcPr>
            <w:tcW w:type="dxa" w:w="4320"/>
          </w:tcPr>
          <w:p>
            <w:r>
              <w:t xml:space="preserve">  Findings</w:t>
            </w:r>
          </w:p>
        </w:tc>
        <w:tc>
          <w:tcPr>
            <w:tcW w:type="dxa" w:w="4320"/>
          </w:tcPr>
          <w:p>
            <w:pPr>
              <w:jc w:val="right"/>
            </w:pPr>
            <w:r>
              <w:t>7</w:t>
            </w:r>
          </w:p>
        </w:tc>
      </w:tr>
      <w:tr>
        <w:tc>
          <w:tcPr>
            <w:tcW w:type="dxa" w:w="4320"/>
          </w:tcPr>
          <w:p>
            <w:r>
              <w:t>Summary, Challenges, Future Scope and Conclusion</w:t>
            </w:r>
          </w:p>
        </w:tc>
        <w:tc>
          <w:tcPr>
            <w:tcW w:type="dxa" w:w="4320"/>
          </w:tcPr>
          <w:p>
            <w:pPr>
              <w:jc w:val="right"/>
            </w:pPr>
            <w:r>
              <w:t>9</w:t>
            </w:r>
          </w:p>
        </w:tc>
      </w:tr>
      <w:tr>
        <w:tc>
          <w:tcPr>
            <w:tcW w:type="dxa" w:w="4320"/>
          </w:tcPr>
          <w:p>
            <w:r>
              <w:t>References and Annexure</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w:t>
      </w:r>
    </w:p>
    <w:p>
      <w:pPr>
        <w:jc w:val="left"/>
      </w:pPr>
      <w:r>
        <w:rPr>
          <w:rFonts w:ascii="Times New Roman" w:hAnsi="Times New Roman"/>
          <w:b/>
          <w:color w:val="1F4E79"/>
          <w:sz w:val="28"/>
        </w:rPr>
        <w:t>Objectives of the Programme</w:t>
      </w:r>
    </w:p>
    <w:p>
      <w:pPr>
        <w:pStyle w:val="ListBullet"/>
      </w:pPr>
      <w:r>
        <w:t>To understand the role of open-source tools in education, research, and software development.</w:t>
      </w:r>
    </w:p>
    <w:p>
      <w:pPr>
        <w:pStyle w:val="ListBullet"/>
      </w:pPr>
      <w:r>
        <w:t>To gain practical exposure to selected tools, workflows, and development practices.</w:t>
      </w:r>
    </w:p>
    <w:p>
      <w:pPr>
        <w:pStyle w:val="ListBullet"/>
      </w:pPr>
      <w:r>
        <w:t>To improve problem-solving, documentation, teamwork, and presentation skills.</w:t>
      </w:r>
    </w:p>
    <w:p>
      <w:pPr>
        <w:pStyle w:val="ListBullet"/>
      </w:pPr>
      <w:r>
        <w:t>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Operating system and command-line basics for working with files and tools.</w:t>
      </w:r>
    </w:p>
    <w:p>
      <w:pPr>
        <w:pStyle w:val="ListBullet"/>
      </w:pPr>
      <w:r>
        <w:t>Programming environment for writing, running, and debugging simple programs (e.g., Python 3.13, Flask).</w:t>
      </w:r>
    </w:p>
    <w:p>
      <w:pPr>
        <w:pStyle w:val="ListBullet"/>
      </w:pPr>
      <w:r>
        <w:t>Open-source libraries or platforms selected according to the programme topic (e.g., Pandas, Scikit-learn, Matplotlib).</w:t>
      </w:r>
    </w:p>
    <w:p>
      <w:pPr>
        <w:pStyle w:val="ListBullet"/>
      </w:pPr>
      <w:r>
        <w:t>Documentation tools for preparing notes, reports, and final submission files.</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sz w:val="20"/>
              </w:rPr>
              <w:t>Orientation</w:t>
            </w:r>
          </w:p>
        </w:tc>
        <w:tc>
          <w:tcPr>
            <w:tcW w:type="dxa" w:w="1440"/>
            <w:shd w:fill="DAE6F3"/>
          </w:tcPr>
          <w:p>
            <w:r>
              <w:rPr>
                <w:b/>
                <w:sz w:val="20"/>
              </w:rPr>
              <w:t>Concepts</w:t>
            </w:r>
          </w:p>
        </w:tc>
        <w:tc>
          <w:tcPr>
            <w:tcW w:type="dxa" w:w="1440"/>
            <w:shd w:fill="DAE6F3"/>
          </w:tcPr>
          <w:p>
            <w:r>
              <w:rPr>
                <w:b/>
                <w:sz w:val="20"/>
              </w:rPr>
              <w:t>Hands-on</w:t>
            </w:r>
          </w:p>
        </w:tc>
        <w:tc>
          <w:tcPr>
            <w:tcW w:type="dxa" w:w="1440"/>
            <w:shd w:fill="DAE6F3"/>
          </w:tcPr>
          <w:p>
            <w:r>
              <w:rPr>
                <w:b/>
                <w:sz w:val="20"/>
              </w:rPr>
              <w:t>Mini Task</w:t>
            </w:r>
          </w:p>
        </w:tc>
        <w:tc>
          <w:tcPr>
            <w:tcW w:type="dxa" w:w="1440"/>
            <w:shd w:fill="DAE6F3"/>
          </w:tcPr>
          <w:p>
            <w:r>
              <w:rPr>
                <w:b/>
                <w:sz w:val="20"/>
              </w:rPr>
              <w:t>Review</w:t>
            </w:r>
          </w:p>
        </w:tc>
        <w:tc>
          <w:tcPr>
            <w:tcW w:type="dxa" w:w="1440"/>
            <w:shd w:fill="DAE6F3"/>
          </w:tcPr>
          <w:p>
            <w:r>
              <w:rPr>
                <w:b/>
                <w:sz w:val="20"/>
              </w:rPr>
              <w:t>Report</w:t>
            </w:r>
          </w:p>
        </w:tc>
      </w:tr>
    </w:tbl>
    <w:p>
      <w:r>
        <w:br/>
        <w:t>The internship progressed systematically, beginning with an orientation to open-source concepts, followed by theoretical concept learning in Data Science. Participants then engaged in hands-on implementation of machine learning models. This culminated in full-scale project development, where models were trained and deployed. Finally, the work underwent peer and mentor review, leading to the formal documentation and final submission of the project.</w:t>
      </w:r>
    </w:p>
    <w:p>
      <w:pPr>
        <w:pStyle w:val="Heading2"/>
      </w:pPr>
      <w:r>
        <w:rPr>
          <w:color w:val="1F4E79"/>
        </w:rPr>
        <w:t>Project Specific Methodology:</w:t>
      </w:r>
    </w:p>
    <w:p>
      <w:pPr>
        <w:pStyle w:val="ListNumber"/>
      </w:pPr>
      <w:r>
        <w:t>Data Loading &amp; Exploration: The raw dataset, comprising over 300,153 flight booking records across major Indian metropolises, was imported using Pandas. Initial exploration verified data integrity and structural formatting.</w:t>
      </w:r>
    </w:p>
    <w:p>
      <w:pPr>
        <w:jc w:val="center"/>
      </w:pPr>
      <w:r>
        <w:drawing>
          <wp:inline xmlns:a="http://schemas.openxmlformats.org/drawingml/2006/main" xmlns:pic="http://schemas.openxmlformats.org/drawingml/2006/picture">
            <wp:extent cx="3291840" cy="1622764"/>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291840" cy="1622764"/>
                    </a:xfrm>
                    <a:prstGeom prst="rect"/>
                  </pic:spPr>
                </pic:pic>
              </a:graphicData>
            </a:graphic>
          </wp:inline>
        </w:drawing>
      </w:r>
    </w:p>
    <w:p>
      <w:pPr>
        <w:jc w:val="center"/>
      </w:pPr>
      <w:r>
        <w:rPr>
          <w:i/>
        </w:rPr>
        <w:t>Figure 1: Airline Count and Average Price Distribution</w:t>
      </w:r>
    </w:p>
    <w:p>
      <w:pPr>
        <w:pStyle w:val="ListNumber"/>
      </w:pPr>
      <w:r>
        <w:t>Exploratory Data Analysis (EDA): Comprehensive visual analysis was conducted utilizing Matplotlib and Seaborn. Correlation heatmaps highlighted that the number of days left until departure and flight duration inherently dictate ticket pricing surges.</w:t>
      </w:r>
    </w:p>
    <w:p>
      <w:pPr>
        <w:jc w:val="center"/>
      </w:pPr>
      <w:r>
        <w:drawing>
          <wp:inline xmlns:a="http://schemas.openxmlformats.org/drawingml/2006/main" xmlns:pic="http://schemas.openxmlformats.org/drawingml/2006/picture">
            <wp:extent cx="3291840" cy="1620855"/>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291840" cy="1620855"/>
                    </a:xfrm>
                    <a:prstGeom prst="rect"/>
                  </pic:spPr>
                </pic:pic>
              </a:graphicData>
            </a:graphic>
          </wp:inline>
        </w:drawing>
      </w:r>
    </w:p>
    <w:p>
      <w:pPr>
        <w:jc w:val="center"/>
      </w:pPr>
      <w:r>
        <w:rPr>
          <w:i/>
        </w:rPr>
        <w:t>Figure 2: Impact of Days Left on Ticket Price</w:t>
      </w:r>
    </w:p>
    <w:p>
      <w:pPr>
        <w:pStyle w:val="ListNumber"/>
      </w:pPr>
      <w:r>
        <w:t>Data Preprocessing: Anomalies and statistical outliers within numerical features were identified and mitigated using the Interquartile Range (IQR) method to ensure robust model training. High-cardinality nominal variables underwent One-Hot Encoding, while ordinal variables were subjected to Label Encoding.</w:t>
      </w:r>
    </w:p>
    <w:p>
      <w:pPr>
        <w:pStyle w:val="ListNumber"/>
      </w:pPr>
      <w:r>
        <w:t>Model Evaluation: The preprocessed dataset was partitioned into training and validation subsets. Five distinct regression algorithms were systematically trained, and their predictive accuracies were evaluated using standard metrics.</w:t>
      </w:r>
    </w:p>
    <w:p>
      <w:pPr>
        <w:pStyle w:val="ListNumber"/>
      </w:pPr>
      <w:r>
        <w:t>Web Application Deployment (Flask): Fulfilling the project directive, the serialized optimal predictive model was successfully integrated into a backend Flask architecture, establishing a functional, interactive user interface.</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Technical understanding of the selected topic and its practical use.</w:t>
      </w:r>
    </w:p>
    <w:p>
      <w:pPr>
        <w:pStyle w:val="ListBullet"/>
      </w:pPr>
      <w:r>
        <w:t>Ability to follow structured workflows for implementation and testing.</w:t>
      </w:r>
    </w:p>
    <w:p>
      <w:pPr>
        <w:pStyle w:val="ListBullet"/>
      </w:pPr>
      <w:r>
        <w:t>Basic debugging and error-analysis skills during hands-on practice.</w:t>
      </w:r>
    </w:p>
    <w:p>
      <w:pPr>
        <w:pStyle w:val="ListBullet"/>
      </w:pPr>
      <w:r>
        <w:t>Improved communication through discussion, documentation, and presentation.</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w:t>
      </w:r>
    </w:p>
    <w:p>
      <w:pPr>
        <w:jc w:val="left"/>
      </w:pPr>
      <w:r>
        <w:rPr>
          <w:rFonts w:ascii="Times New Roman" w:hAnsi="Times New Roman"/>
          <w:b/>
          <w:color w:val="1F4E79"/>
          <w:sz w:val="28"/>
        </w:rPr>
        <w:t>Findings</w:t>
      </w:r>
    </w:p>
    <w:p>
      <w:r>
        <w:t>The programme showed that guided hands-on learning improves technical confidence. Participants were able to connect theoretical ideas with implementation steps when each concept was supported by examples, demonstrations, and feedback.</w:t>
      </w:r>
    </w:p>
    <w:p>
      <w:pPr>
        <w:pStyle w:val="Heading2"/>
      </w:pPr>
      <w:r>
        <w:rPr>
          <w:color w:val="1F4E79"/>
        </w:rPr>
        <w:br/>
        <w:t>Project Specific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algorithm achieved the highest performance, demonstrating an R² score of 98.56%, indicating it accurately explains 98.56% of the variance in ticket prices. It recorded the lowest Mean Absolute Error (MAE) of INR 1,250 and a Root Mean Squared Error (RMSE) of INR 2,707. The ensemble learning nature of the Random Forest model allows it to effectively capture the complex, non-linear relationships inherent in dynamic airline pricing models vastly better than standard linear algorithms.</w:t>
      </w:r>
    </w:p>
    <w:p>
      <w:pPr>
        <w:jc w:val="center"/>
      </w:pPr>
      <w:r>
        <w:drawing>
          <wp:inline xmlns:a="http://schemas.openxmlformats.org/drawingml/2006/main" xmlns:pic="http://schemas.openxmlformats.org/drawingml/2006/picture">
            <wp:extent cx="3291840" cy="1618117"/>
            <wp:docPr id="3" name="Picture 3"/>
            <wp:cNvGraphicFramePr>
              <a:graphicFrameLocks noChangeAspect="1"/>
            </wp:cNvGraphicFramePr>
            <a:graphic>
              <a:graphicData uri="http://schemas.openxmlformats.org/drawingml/2006/picture">
                <pic:pic>
                  <pic:nvPicPr>
                    <pic:cNvPr id="0" name="12_model_comparison_r2.png"/>
                    <pic:cNvPicPr/>
                  </pic:nvPicPr>
                  <pic:blipFill>
                    <a:blip r:embed="rId12"/>
                    <a:stretch>
                      <a:fillRect/>
                    </a:stretch>
                  </pic:blipFill>
                  <pic:spPr>
                    <a:xfrm>
                      <a:off x="0" y="0"/>
                      <a:ext cx="3291840" cy="1618117"/>
                    </a:xfrm>
                    <a:prstGeom prst="rect"/>
                  </pic:spPr>
                </pic:pic>
              </a:graphicData>
            </a:graphic>
          </wp:inline>
        </w:drawing>
      </w:r>
    </w:p>
    <w:p>
      <w:pPr>
        <w:jc w:val="center"/>
      </w:pPr>
      <w:r>
        <w:rPr>
          <w:i/>
        </w:rPr>
        <w:t>Figure 3: R² Score Comparison Across Models</w:t>
      </w:r>
    </w:p>
    <w:p>
      <w:pPr>
        <w:jc w:val="center"/>
      </w:pPr>
      <w:r>
        <w:drawing>
          <wp:inline xmlns:a="http://schemas.openxmlformats.org/drawingml/2006/main" xmlns:pic="http://schemas.openxmlformats.org/drawingml/2006/picture">
            <wp:extent cx="3291840" cy="2288230"/>
            <wp:docPr id="4" name="Picture 4"/>
            <wp:cNvGraphicFramePr>
              <a:graphicFrameLocks noChangeAspect="1"/>
            </wp:cNvGraphicFramePr>
            <a:graphic>
              <a:graphicData uri="http://schemas.openxmlformats.org/drawingml/2006/picture">
                <pic:pic>
                  <pic:nvPicPr>
                    <pic:cNvPr id="0" name="15_feature_importance_rf.png"/>
                    <pic:cNvPicPr/>
                  </pic:nvPicPr>
                  <pic:blipFill>
                    <a:blip r:embed="rId13"/>
                    <a:stretch>
                      <a:fillRect/>
                    </a:stretch>
                  </pic:blipFill>
                  <pic:spPr>
                    <a:xfrm>
                      <a:off x="0" y="0"/>
                      <a:ext cx="3291840" cy="2288230"/>
                    </a:xfrm>
                    <a:prstGeom prst="rect"/>
                  </pic:spPr>
                </pic:pic>
              </a:graphicData>
            </a:graphic>
          </wp:inline>
        </w:drawing>
      </w:r>
    </w:p>
    <w:p>
      <w:pPr>
        <w:jc w:val="center"/>
      </w:pPr>
      <w:r>
        <w:rPr>
          <w:i/>
        </w:rPr>
        <w:t>Figure 4: Feature Importance (Random Forest)</w:t>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Managing the computational intensity required to optimize hyperparameters for ensemble models on a large dataset of over 300,000 records.</w:t>
      </w:r>
    </w:p>
    <w:p>
      <w:pPr>
        <w:pStyle w:val="ListBullet"/>
      </w:pPr>
      <w:r>
        <w:t>Handling data dimensionality expansion during the encoding of high-cardinality categorical variables, such as flight routes and specific airline names.</w:t>
      </w:r>
    </w:p>
    <w:p>
      <w:pPr>
        <w:pStyle w:val="ListBullet"/>
      </w:pPr>
      <w:r>
        <w:t>Ensuring seamless integration of the serialized machine learning model within the Flask web framework to facilitate real-time inference without high latency.</w:t>
      </w:r>
    </w:p>
    <w:p>
      <w:pPr>
        <w:jc w:val="left"/>
      </w:pPr>
      <w:r>
        <w:rPr>
          <w:rFonts w:ascii="Times New Roman" w:hAnsi="Times New Roman"/>
          <w:b/>
          <w:color w:val="1F4E79"/>
          <w:sz w:val="28"/>
        </w:rPr>
        <w:t>Scope for Future Learning</w:t>
      </w:r>
    </w:p>
    <w:p>
      <w:r>
        <w:t>Scope for future enhancement includes integrating real-time flight data APIs to replace static datasets, ensuring live pricing accuracy. Additionally, migrating the application to a cloud infrastructure (such as AWS or Google Cloud) and developing a cross-platform mobile application would significantly increase accessibility and scalability. Exploring advanced deep learning architectures could further refine predictive accuracy.</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r>
        <w:br w:type="page"/>
      </w:r>
    </w:p>
    <w:p>
      <w:pPr>
        <w:jc w:val="center"/>
      </w:pPr>
      <w:r>
        <w:rPr>
          <w:rFonts w:ascii="Times New Roman" w:hAnsi="Times New Roman"/>
          <w:b/>
          <w:color w:val="1F4E79"/>
          <w:sz w:val="32"/>
        </w:rPr>
        <w:t>REFERENCES AND ANNEXURE</w:t>
      </w:r>
    </w:p>
    <w:p>
      <w:pPr>
        <w:pStyle w:val="Heading2"/>
      </w:pPr>
      <w:r>
        <w:rPr>
          <w:color w:val="1F4E79"/>
        </w:rPr>
        <w:t>References</w:t>
      </w:r>
    </w:p>
    <w:p>
      <w:pPr>
        <w:pStyle w:val="ListBullet"/>
      </w:pPr>
      <w:r>
        <w:t>ICFOSS official resources and training materials.</w:t>
      </w:r>
    </w:p>
    <w:p>
      <w:pPr>
        <w:pStyle w:val="ListBullet"/>
      </w:pPr>
      <w:r>
        <w:t>Session notes, demonstrations, and participant activity records.</w:t>
      </w:r>
    </w:p>
    <w:p>
      <w:pPr>
        <w:pStyle w:val="ListBullet"/>
      </w:pPr>
      <w:r>
        <w:t>Open-source documentation related to the tools used in the programme (Python, Scikit-learn, Flask).</w:t>
      </w:r>
    </w:p>
    <w:p>
      <w:pPr>
        <w:pStyle w:val="ListBullet"/>
      </w:pPr>
      <w:r>
        <w:t>Bathwal, S. (2022). Flight Price Prediction Dataset. Kaggle Repository.</w:t>
      </w:r>
    </w:p>
    <w:p>
      <w:pPr>
        <w:pStyle w:val="Heading2"/>
      </w:pPr>
      <w:r>
        <w:rPr>
          <w:color w:val="1F4E79"/>
        </w:rPr>
        <w:br/>
        <w:t>Annexure A: Web Application Screenshots</w:t>
      </w:r>
    </w:p>
    <w:p>
      <w:pPr>
        <w:jc w:val="center"/>
      </w:pPr>
      <w:r>
        <w:drawing>
          <wp:inline xmlns:a="http://schemas.openxmlformats.org/drawingml/2006/main" xmlns:pic="http://schemas.openxmlformats.org/drawingml/2006/picture">
            <wp:extent cx="4114800" cy="3917964"/>
            <wp:docPr id="5" name="Picture 5"/>
            <wp:cNvGraphicFramePr>
              <a:graphicFrameLocks noChangeAspect="1"/>
            </wp:cNvGraphicFramePr>
            <a:graphic>
              <a:graphicData uri="http://schemas.openxmlformats.org/drawingml/2006/picture">
                <pic:pic>
                  <pic:nvPicPr>
                    <pic:cNvPr id="0" name="Screenshot 1 .jpeg"/>
                    <pic:cNvPicPr/>
                  </pic:nvPicPr>
                  <pic:blipFill>
                    <a:blip r:embed="rId14"/>
                    <a:stretch>
                      <a:fillRect/>
                    </a:stretch>
                  </pic:blipFill>
                  <pic:spPr>
                    <a:xfrm>
                      <a:off x="0" y="0"/>
                      <a:ext cx="4114800" cy="3917964"/>
                    </a:xfrm>
                    <a:prstGeom prst="rect"/>
                  </pic:spPr>
                </pic:pic>
              </a:graphicData>
            </a:graphic>
          </wp:inline>
        </w:drawing>
      </w:r>
    </w:p>
    <w:p>
      <w:pPr>
        <w:jc w:val="center"/>
      </w:pPr>
      <w:r>
        <w:rPr>
          <w:i/>
        </w:rPr>
        <w:t>Figure 5: Flask Web Application - Input Interface</w:t>
      </w:r>
    </w:p>
    <w:p>
      <w:pPr>
        <w:jc w:val="center"/>
      </w:pPr>
      <w:r>
        <w:drawing>
          <wp:inline xmlns:a="http://schemas.openxmlformats.org/drawingml/2006/main" xmlns:pic="http://schemas.openxmlformats.org/drawingml/2006/picture">
            <wp:extent cx="4114800" cy="3935644"/>
            <wp:docPr id="6" name="Picture 6"/>
            <wp:cNvGraphicFramePr>
              <a:graphicFrameLocks noChangeAspect="1"/>
            </wp:cNvGraphicFramePr>
            <a:graphic>
              <a:graphicData uri="http://schemas.openxmlformats.org/drawingml/2006/picture">
                <pic:pic>
                  <pic:nvPicPr>
                    <pic:cNvPr id="0" name="screenshot 2.jpeg"/>
                    <pic:cNvPicPr/>
                  </pic:nvPicPr>
                  <pic:blipFill>
                    <a:blip r:embed="rId15"/>
                    <a:stretch>
                      <a:fillRect/>
                    </a:stretch>
                  </pic:blipFill>
                  <pic:spPr>
                    <a:xfrm>
                      <a:off x="0" y="0"/>
                      <a:ext cx="4114800" cy="3935644"/>
                    </a:xfrm>
                    <a:prstGeom prst="rect"/>
                  </pic:spPr>
                </pic:pic>
              </a:graphicData>
            </a:graphic>
          </wp:inline>
        </w:drawing>
      </w:r>
    </w:p>
    <w:p>
      <w:pPr>
        <w:jc w:val="center"/>
      </w:pPr>
      <w:r>
        <w:rPr>
          <w:i/>
        </w:rPr>
        <w:t>Figure 6: Flask Web Application - Prediction Result</w:t>
      </w:r>
    </w:p>
    <w:p>
      <w:pPr>
        <w:pStyle w:val="Heading2"/>
      </w:pPr>
      <w:r>
        <w:rPr>
          <w:color w:val="1F4E79"/>
        </w:rPr>
        <w:br/>
        <w:t>Annexure B: Core Code Implementation</w:t>
      </w:r>
    </w:p>
    <w:p>
      <w:r>
        <w:t>Snippet 1: Data Preprocessing (Encoding &amp; Scaling)</w:t>
      </w:r>
    </w:p>
    <w:p>
      <w:r>
        <w:rPr>
          <w:rFonts w:ascii="Courier New" w:hAnsi="Courier New"/>
          <w:sz w:val="18"/>
        </w:rPr>
        <w:t>from sklearn.preprocessing import StandardScaler</w:t>
        <w:br/>
        <w:t>import pandas as pd</w:t>
        <w:br/>
        <w:br/>
        <w:t># Apply One-Hot Encoding to categorical nominal features</w:t>
        <w:br/>
        <w:t>df = pd.get_dummies(df, columns=['airline', 'source_city', 'destination_city'])</w:t>
        <w:br/>
        <w:br/>
        <w:t># Scale numerical features</w:t>
        <w:br/>
        <w:t>scaler = StandardScaler()</w:t>
        <w:br/>
        <w:t>df[['duration', 'days_left']] = scaler.fit_transform(df[['duration', 'days_left']])</w:t>
        <w:br/>
      </w:r>
    </w:p>
    <w:p>
      <w:r>
        <w:t>Snippet 2: Model Training (Random Forest)</w:t>
      </w:r>
    </w:p>
    <w:p>
      <w:r>
        <w:rPr>
          <w:rFonts w:ascii="Courier New" w:hAnsi="Courier New"/>
          <w:sz w:val="18"/>
        </w:rPr>
        <w:t>from sklearn.ensemble import RandomForestRegressor</w:t>
        <w:br/>
        <w:t>from sklearn.metrics import mean_absolute_error, r2_score</w:t>
        <w:br/>
        <w:br/>
        <w:t># Train Random Forest Regressor</w:t>
        <w:br/>
        <w:t>rf_model = RandomForestRegressor(n_estimators=100, random_state=42, n_jobs=-1)</w:t>
        <w:br/>
        <w:t>rf_model.fit(X_train, y_train)</w:t>
        <w:br/>
        <w:br/>
        <w:t># Evaluate model performance</w:t>
        <w:br/>
        <w:t>y_pred = rf_model.predict(X_test)</w:t>
        <w:br/>
        <w:t>print(f'R2 Score: {r2_score(y_test, y_pred)}')</w:t>
        <w:br/>
      </w:r>
    </w:p>
    <w:p>
      <w:r>
        <w:t>Snippet 3: Flask Route for Prediction Inference</w:t>
      </w:r>
    </w:p>
    <w:p>
      <w:r>
        <w:rPr>
          <w:rFonts w:ascii="Courier New" w:hAnsi="Courier New"/>
          <w:sz w:val="18"/>
        </w:rPr>
        <w:t>@app.route('/predict', methods=['POST'])</w:t>
        <w:br/>
        <w:t>def predict():</w:t>
        <w:br/>
        <w:t xml:space="preserve">    features = process_input(request.form) # Custom preprocessing function</w:t>
        <w:br/>
        <w:t xml:space="preserve">    predicted_price = model.predict(features)[0]</w:t>
        <w:br/>
        <w:t xml:space="preserve">    return jsonify({'predicted_price': round(predicted_price, 2)})</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