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zv31je14i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POS System Overview Dashboard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j8sodzbt6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dashboard provides a comprehensive overview of the POS system’s sales performance. It highlights key performance indicators (KPIs), monthly trends, category-wise distribution, store-wise analysis, and product-level insights. The visualizations are designed to offer actionable insights at a glance and support dynamic filtering by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store 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linxqeled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Performance Indicators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$82.49M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Average Revenue per Month</w:t>
      </w:r>
      <w:r w:rsidDel="00000000" w:rsidR="00000000" w:rsidRPr="00000000">
        <w:rPr>
          <w:rtl w:val="0"/>
        </w:rPr>
        <w:t xml:space="preserve">: $6.87M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Quantity Sold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2.43M units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Average Quantity Sold Every Month</w:t>
      </w:r>
      <w:r w:rsidDel="00000000" w:rsidR="00000000" w:rsidRPr="00000000">
        <w:rPr>
          <w:rtl w:val="0"/>
        </w:rPr>
        <w:t xml:space="preserve">: 202.91K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Transactions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490.987K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Avg Transactions per Month</w:t>
      </w:r>
      <w:r w:rsidDel="00000000" w:rsidR="00000000" w:rsidRPr="00000000">
        <w:rPr>
          <w:rtl w:val="0"/>
        </w:rPr>
        <w:t xml:space="preserve">: 40.92K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Quantity per Transaction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4.96 units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Revenue per Transaction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$168.01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KPIs provide a snapshot of business performance, highlighting the scale of operations and efficiency per transaction.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35003dmfr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 Performance Trend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 illustrates the </w:t>
      </w:r>
      <w:r w:rsidDel="00000000" w:rsidR="00000000" w:rsidRPr="00000000">
        <w:rPr>
          <w:b w:val="1"/>
          <w:rtl w:val="0"/>
        </w:rPr>
        <w:t xml:space="preserve">Total Revenue and Transaction Volume</w:t>
      </w:r>
      <w:r w:rsidDel="00000000" w:rsidR="00000000" w:rsidRPr="00000000">
        <w:rPr>
          <w:rtl w:val="0"/>
        </w:rPr>
        <w:t xml:space="preserve"> by month. A consistent trend with minor fluctuations suggests relatively stable demand throughout the year, with revenue peaking in certain months. This trend helps in identifying high-performing months for better inventory planning and marketing efforts.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d6j8np5o4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c4jzz1i51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 Performing Stores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donut chart</w:t>
      </w:r>
      <w:r w:rsidDel="00000000" w:rsidR="00000000" w:rsidRPr="00000000">
        <w:rPr>
          <w:rtl w:val="0"/>
        </w:rPr>
        <w:t xml:space="preserve"> shows the </w:t>
      </w:r>
      <w:r w:rsidDel="00000000" w:rsidR="00000000" w:rsidRPr="00000000">
        <w:rPr>
          <w:b w:val="1"/>
          <w:rtl w:val="0"/>
        </w:rPr>
        <w:t xml:space="preserve">Top 5 Stores by Revenue</w:t>
      </w:r>
      <w:r w:rsidDel="00000000" w:rsidR="00000000" w:rsidRPr="00000000">
        <w:rPr>
          <w:rtl w:val="0"/>
        </w:rPr>
        <w:t xml:space="preserve">, with the majority of revenue (</w:t>
      </w:r>
      <w:r w:rsidDel="00000000" w:rsidR="00000000" w:rsidRPr="00000000">
        <w:rPr>
          <w:b w:val="1"/>
          <w:rtl w:val="0"/>
        </w:rPr>
        <w:t xml:space="preserve">74.94%</w:t>
      </w:r>
      <w:r w:rsidDel="00000000" w:rsidR="00000000" w:rsidRPr="00000000">
        <w:rPr>
          <w:rtl w:val="0"/>
        </w:rPr>
        <w:t xml:space="preserve">) contributed by </w:t>
      </w:r>
      <w:r w:rsidDel="00000000" w:rsidR="00000000" w:rsidRPr="00000000">
        <w:rPr>
          <w:b w:val="1"/>
          <w:rtl w:val="0"/>
        </w:rPr>
        <w:t xml:space="preserve">"Other Stores"</w:t>
      </w:r>
      <w:r w:rsidDel="00000000" w:rsidR="00000000" w:rsidRPr="00000000">
        <w:rPr>
          <w:rtl w:val="0"/>
        </w:rPr>
        <w:t xml:space="preserve">, indicating a large number of small-to-mid scale stores or potentially missing metadata consolidation. Major identifiable stores include: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Harmony Square 45 (7.63%)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Simply Goods 70 (4.67%)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Cedar Point 15 (4.58%)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helps in identifying the best and underperforming stores.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v6p1n1t8c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Category-Level Analysis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jqvqmc51d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Quantity Sold per Category: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Grocery</w:t>
      </w:r>
      <w:r w:rsidDel="00000000" w:rsidR="00000000" w:rsidRPr="00000000">
        <w:rPr>
          <w:rtl w:val="0"/>
        </w:rPr>
        <w:t xml:space="preserve"> dominates with </w:t>
      </w:r>
      <w:r w:rsidDel="00000000" w:rsidR="00000000" w:rsidRPr="00000000">
        <w:rPr>
          <w:b w:val="1"/>
          <w:rtl w:val="0"/>
        </w:rPr>
        <w:t xml:space="preserve">94.21%</w:t>
      </w:r>
      <w:r w:rsidDel="00000000" w:rsidR="00000000" w:rsidRPr="00000000">
        <w:rPr>
          <w:rtl w:val="0"/>
        </w:rPr>
        <w:t xml:space="preserve"> of total quantity sold.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Clothing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 contribute </w:t>
      </w:r>
      <w:r w:rsidDel="00000000" w:rsidR="00000000" w:rsidRPr="00000000">
        <w:rPr>
          <w:b w:val="1"/>
          <w:rtl w:val="0"/>
        </w:rPr>
        <w:t xml:space="preserve">minor shares</w:t>
      </w:r>
      <w:r w:rsidDel="00000000" w:rsidR="00000000" w:rsidRPr="00000000">
        <w:rPr>
          <w:rtl w:val="0"/>
        </w:rPr>
        <w:t xml:space="preserve">, likely due to differences in unit pricing.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7eg2vbiff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Revenue Share per Category: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 is the top revenue-generating category with </w:t>
      </w:r>
      <w:r w:rsidDel="00000000" w:rsidR="00000000" w:rsidRPr="00000000">
        <w:rPr>
          <w:b w:val="1"/>
          <w:rtl w:val="0"/>
        </w:rPr>
        <w:t xml:space="preserve">83.57%</w:t>
      </w:r>
      <w:r w:rsidDel="00000000" w:rsidR="00000000" w:rsidRPr="00000000">
        <w:rPr>
          <w:rtl w:val="0"/>
        </w:rPr>
        <w:t xml:space="preserve">, despite having fewer units sold.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Grocery</w:t>
      </w:r>
      <w:r w:rsidDel="00000000" w:rsidR="00000000" w:rsidRPr="00000000">
        <w:rPr>
          <w:rtl w:val="0"/>
        </w:rPr>
        <w:t xml:space="preserve"> contributes </w:t>
      </w:r>
      <w:r w:rsidDel="00000000" w:rsidR="00000000" w:rsidRPr="00000000">
        <w:rPr>
          <w:b w:val="1"/>
          <w:rtl w:val="0"/>
        </w:rPr>
        <w:t xml:space="preserve">13%</w:t>
      </w:r>
      <w:r w:rsidDel="00000000" w:rsidR="00000000" w:rsidRPr="00000000">
        <w:rPr>
          <w:rtl w:val="0"/>
        </w:rPr>
        <w:t xml:space="preserve"> to revenue, showing high volume but low per-unit revenue.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Clothing</w:t>
      </w:r>
      <w:r w:rsidDel="00000000" w:rsidR="00000000" w:rsidRPr="00000000">
        <w:rPr>
          <w:rtl w:val="0"/>
        </w:rPr>
        <w:t xml:space="preserve"> has the smallest share at </w:t>
      </w:r>
      <w:r w:rsidDel="00000000" w:rsidR="00000000" w:rsidRPr="00000000">
        <w:rPr>
          <w:b w:val="1"/>
          <w:rtl w:val="0"/>
        </w:rPr>
        <w:t xml:space="preserve">3.43%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insights highlight the high-margin nature of electronics vs. volume-based sales in grocery.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k2y121917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Product-Level Insights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ti4sjjrdabd6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Top Performing Product by Revenue in Each Category: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Grocery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Chicken Breast</w:t>
      </w:r>
      <w:r w:rsidDel="00000000" w:rsidR="00000000" w:rsidRPr="00000000">
        <w:rPr>
          <w:rtl w:val="0"/>
        </w:rPr>
        <w:t xml:space="preserve"> – $1.1M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iPhone 15 Pro</w:t>
      </w:r>
      <w:r w:rsidDel="00000000" w:rsidR="00000000" w:rsidRPr="00000000">
        <w:rPr>
          <w:rtl w:val="0"/>
        </w:rPr>
        <w:t xml:space="preserve"> – $11.37M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Clothing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North Face Jacket</w:t>
      </w:r>
      <w:r w:rsidDel="00000000" w:rsidR="00000000" w:rsidRPr="00000000">
        <w:rPr>
          <w:rtl w:val="0"/>
        </w:rPr>
        <w:t xml:space="preserve"> – $568K</w:t>
        <w:br w:type="textWrapping"/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t6hmu65r5ok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Top Performing Product by Quantity in Each Category: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Grocery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Bananas (1lb)</w:t>
      </w:r>
      <w:r w:rsidDel="00000000" w:rsidR="00000000" w:rsidRPr="00000000">
        <w:rPr>
          <w:rtl w:val="0"/>
        </w:rPr>
        <w:t xml:space="preserve"> – 211K units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Sony WH-1000XM5</w:t>
      </w:r>
      <w:r w:rsidDel="00000000" w:rsidR="00000000" w:rsidRPr="00000000">
        <w:rPr>
          <w:rtl w:val="0"/>
        </w:rPr>
        <w:t xml:space="preserve"> – 13.6K units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Clothing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Adidas T-Shirt</w:t>
      </w:r>
      <w:r w:rsidDel="00000000" w:rsidR="00000000" w:rsidRPr="00000000">
        <w:rPr>
          <w:rtl w:val="0"/>
        </w:rPr>
        <w:t xml:space="preserve"> – 5.8K units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help in identifying products with high sales volumes vs. high revenue contribution, essential for pricing and promotional strategies.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k1fa5e9rq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Filters and Interactivity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dashboard supports filters for: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Category / Product Name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Name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interactivity allows for dynamic drilldowns into specific areas of interest, such as seasonal trends, store-specific performance, or category focus.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eycz43c94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 drive the majority of revenue despite low volume—signaling premium pricing and high-margin products.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Grocery</w:t>
      </w:r>
      <w:r w:rsidDel="00000000" w:rsidR="00000000" w:rsidRPr="00000000">
        <w:rPr>
          <w:rtl w:val="0"/>
        </w:rPr>
        <w:t xml:space="preserve"> accounts for the highest quantity sold, showing strong customer demand and rapid turnover.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stores</w:t>
      </w:r>
      <w:r w:rsidDel="00000000" w:rsidR="00000000" w:rsidRPr="00000000">
        <w:rPr>
          <w:rtl w:val="0"/>
        </w:rPr>
        <w:t xml:space="preserve"> contribute a significant portion of revenue—indicating potential for replication or deeper investment.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analysis reveals consistent sales, with a few standout months that can be explored further for campaign success or event-based spikes.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