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before="0" w:after="120"/>
        <w:jc w:val="center"/>
      </w:pPr>
      <w:r>
        <w:rPr>
          <w:rFonts w:ascii="Arial" w:cs="Arial" w:eastAsia="Arial" w:hAnsi="Arial"/>
          <w:b/>
          <w:bCs/>
          <w:color w:val="1A237E"/>
          <w:sz w:val="48"/>
          <w:szCs w:val="48"/>
        </w:rPr>
        <w:t xml:space="preserve">DIGITAL LITERACY PORTFOLIO</w:t>
      </w:r>
    </w:p>
    <w:p>
      <w:pPr>
        <w:spacing w:before="80" w:after="80"/>
        <w:jc w:val="center"/>
      </w:pPr>
      <w:r>
        <w:rPr>
          <w:rFonts w:ascii="Arial" w:cs="Arial" w:eastAsia="Arial" w:hAnsi="Arial"/>
          <w:color w:val="444444"/>
          <w:sz w:val="32"/>
          <w:szCs w:val="32"/>
        </w:rPr>
        <w:t xml:space="preserve">Project Report</w:t>
      </w:r>
    </w:p>
    <w:p>
      <w:pPr>
        <w:spacing w:before="40" w:after="320"/>
        <w:jc w:val="center"/>
      </w:pPr>
      <w:r>
        <w:rPr>
          <w:rFonts w:ascii="Arial" w:cs="Arial" w:eastAsia="Arial" w:hAnsi="Arial"/>
          <w:i/>
          <w:iCs/>
          <w:color w:val="888888"/>
          <w:sz w:val="26"/>
          <w:szCs w:val="26"/>
        </w:rPr>
        <w:t xml:space="preserve">CSE0001 – Digital Literacy</w:t>
      </w:r>
    </w:p>
    <w:p>
      <w:pPr>
        <w:pBdr>
          <w:bottom w:val="single" w:color="1A237E" w:sz="6" w:space="1"/>
        </w:pBdr>
        <w:spacing w:before="0" w:after="400"/>
        <w:jc w:val="center"/>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none" w:color="FFFFFF" w:sz="0"/>
              <w:left w:val="none" w:color="FFFFFF" w:sz="0"/>
              <w:bottom w:val="none" w:color="FFFFFF" w:sz="0"/>
              <w:right w:val="none" w:color="FFFFFF" w:sz="0"/>
            </w:tcBorders>
            <w:tcMar>
              <w:top w:type="dxa" w:w="80"/>
              <w:left w:type="dxa" w:w="80"/>
              <w:bottom w:type="dxa" w:w="80"/>
              <w:right w:type="dxa" w:w="120"/>
            </w:tcMar>
          </w:tcPr>
          <w:p>
            <w:r>
              <w:rPr>
                <w:rFonts w:ascii="Arial" w:cs="Arial" w:eastAsia="Arial" w:hAnsi="Arial"/>
                <w:b/>
                <w:bCs/>
                <w:color w:val="555555"/>
                <w:sz w:val="24"/>
                <w:szCs w:val="24"/>
              </w:rPr>
              <w:t xml:space="preserve">Name</w:t>
            </w:r>
          </w:p>
        </w:tc>
        <w:tc>
          <w:tcPr>
            <w:tcW w:type="dxa" w:w="44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Arial" w:cs="Arial" w:eastAsia="Arial" w:hAnsi="Arial"/>
                <w:sz w:val="24"/>
                <w:szCs w:val="24"/>
              </w:rPr>
              <w:t xml:space="preserve">Karthik Malepattu</w:t>
            </w:r>
          </w:p>
        </w:tc>
      </w:tr>
      <w:tr>
        <w:tc>
          <w:tcPr>
            <w:tcW w:type="dxa" w:w="2800"/>
            <w:tcBorders>
              <w:top w:val="none" w:color="FFFFFF" w:sz="0"/>
              <w:left w:val="none" w:color="FFFFFF" w:sz="0"/>
              <w:bottom w:val="none" w:color="FFFFFF" w:sz="0"/>
              <w:right w:val="none" w:color="FFFFFF" w:sz="0"/>
            </w:tcBorders>
            <w:tcMar>
              <w:top w:type="dxa" w:w="80"/>
              <w:left w:type="dxa" w:w="80"/>
              <w:bottom w:type="dxa" w:w="80"/>
              <w:right w:type="dxa" w:w="120"/>
            </w:tcMar>
          </w:tcPr>
          <w:p>
            <w:r>
              <w:rPr>
                <w:rFonts w:ascii="Arial" w:cs="Arial" w:eastAsia="Arial" w:hAnsi="Arial"/>
                <w:b/>
                <w:bCs/>
                <w:color w:val="555555"/>
                <w:sz w:val="24"/>
                <w:szCs w:val="24"/>
              </w:rPr>
              <w:t xml:space="preserve">Registration No.</w:t>
            </w:r>
          </w:p>
        </w:tc>
        <w:tc>
          <w:tcPr>
            <w:tcW w:type="dxa" w:w="44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Arial" w:cs="Arial" w:eastAsia="Arial" w:hAnsi="Arial"/>
                <w:sz w:val="24"/>
                <w:szCs w:val="24"/>
              </w:rPr>
              <w:t xml:space="preserve">25MEI10096</w:t>
            </w:r>
          </w:p>
        </w:tc>
      </w:tr>
      <w:tr>
        <w:tc>
          <w:tcPr>
            <w:tcW w:type="dxa" w:w="2800"/>
            <w:tcBorders>
              <w:top w:val="none" w:color="FFFFFF" w:sz="0"/>
              <w:left w:val="none" w:color="FFFFFF" w:sz="0"/>
              <w:bottom w:val="none" w:color="FFFFFF" w:sz="0"/>
              <w:right w:val="none" w:color="FFFFFF" w:sz="0"/>
            </w:tcBorders>
            <w:tcMar>
              <w:top w:type="dxa" w:w="80"/>
              <w:left w:type="dxa" w:w="80"/>
              <w:bottom w:type="dxa" w:w="80"/>
              <w:right w:type="dxa" w:w="120"/>
            </w:tcMar>
          </w:tcPr>
          <w:p>
            <w:r>
              <w:rPr>
                <w:rFonts w:ascii="Arial" w:cs="Arial" w:eastAsia="Arial" w:hAnsi="Arial"/>
                <w:b/>
                <w:bCs/>
                <w:color w:val="555555"/>
                <w:sz w:val="24"/>
                <w:szCs w:val="24"/>
              </w:rPr>
              <w:t xml:space="preserve">Branch</w:t>
            </w:r>
          </w:p>
        </w:tc>
        <w:tc>
          <w:tcPr>
            <w:tcW w:type="dxa" w:w="44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Arial" w:cs="Arial" w:eastAsia="Arial" w:hAnsi="Arial"/>
                <w:sz w:val="24"/>
                <w:szCs w:val="24"/>
              </w:rPr>
              <w:t xml:space="preserve">Integrated M.Tech – Cyber Security</w:t>
            </w:r>
          </w:p>
        </w:tc>
      </w:tr>
      <w:tr>
        <w:tc>
          <w:tcPr>
            <w:tcW w:type="dxa" w:w="2800"/>
            <w:tcBorders>
              <w:top w:val="none" w:color="FFFFFF" w:sz="0"/>
              <w:left w:val="none" w:color="FFFFFF" w:sz="0"/>
              <w:bottom w:val="none" w:color="FFFFFF" w:sz="0"/>
              <w:right w:val="none" w:color="FFFFFF" w:sz="0"/>
            </w:tcBorders>
            <w:tcMar>
              <w:top w:type="dxa" w:w="80"/>
              <w:left w:type="dxa" w:w="80"/>
              <w:bottom w:type="dxa" w:w="80"/>
              <w:right w:type="dxa" w:w="120"/>
            </w:tcMar>
          </w:tcPr>
          <w:p>
            <w:r>
              <w:rPr>
                <w:rFonts w:ascii="Arial" w:cs="Arial" w:eastAsia="Arial" w:hAnsi="Arial"/>
                <w:b/>
                <w:bCs/>
                <w:color w:val="555555"/>
                <w:sz w:val="24"/>
                <w:szCs w:val="24"/>
              </w:rPr>
              <w:t xml:space="preserve">Year</w:t>
            </w:r>
          </w:p>
        </w:tc>
        <w:tc>
          <w:tcPr>
            <w:tcW w:type="dxa" w:w="44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Arial" w:cs="Arial" w:eastAsia="Arial" w:hAnsi="Arial"/>
                <w:sz w:val="24"/>
                <w:szCs w:val="24"/>
              </w:rPr>
              <w:t xml:space="preserve">First Year | 2025–2026</w:t>
            </w:r>
          </w:p>
        </w:tc>
      </w:tr>
      <w:tr>
        <w:tc>
          <w:tcPr>
            <w:tcW w:type="dxa" w:w="2800"/>
            <w:tcBorders>
              <w:top w:val="none" w:color="FFFFFF" w:sz="0"/>
              <w:left w:val="none" w:color="FFFFFF" w:sz="0"/>
              <w:bottom w:val="none" w:color="FFFFFF" w:sz="0"/>
              <w:right w:val="none" w:color="FFFFFF" w:sz="0"/>
            </w:tcBorders>
            <w:tcMar>
              <w:top w:type="dxa" w:w="80"/>
              <w:left w:type="dxa" w:w="80"/>
              <w:bottom w:type="dxa" w:w="80"/>
              <w:right w:type="dxa" w:w="120"/>
            </w:tcMar>
          </w:tcPr>
          <w:p>
            <w:r>
              <w:rPr>
                <w:rFonts w:ascii="Arial" w:cs="Arial" w:eastAsia="Arial" w:hAnsi="Arial"/>
                <w:b/>
                <w:bCs/>
                <w:color w:val="555555"/>
                <w:sz w:val="24"/>
                <w:szCs w:val="24"/>
              </w:rPr>
              <w:t xml:space="preserve">Course Code</w:t>
            </w:r>
          </w:p>
        </w:tc>
        <w:tc>
          <w:tcPr>
            <w:tcW w:type="dxa" w:w="44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Arial" w:cs="Arial" w:eastAsia="Arial" w:hAnsi="Arial"/>
                <w:sz w:val="24"/>
                <w:szCs w:val="24"/>
              </w:rPr>
              <w:t xml:space="preserve">CSE0001 – Digital Literacy</w:t>
            </w:r>
          </w:p>
        </w:tc>
      </w:tr>
      <w:tr>
        <w:tc>
          <w:tcPr>
            <w:tcW w:type="dxa" w:w="2800"/>
            <w:tcBorders>
              <w:top w:val="none" w:color="FFFFFF" w:sz="0"/>
              <w:left w:val="none" w:color="FFFFFF" w:sz="0"/>
              <w:bottom w:val="none" w:color="FFFFFF" w:sz="0"/>
              <w:right w:val="none" w:color="FFFFFF" w:sz="0"/>
            </w:tcBorders>
            <w:tcMar>
              <w:top w:type="dxa" w:w="80"/>
              <w:left w:type="dxa" w:w="80"/>
              <w:bottom w:type="dxa" w:w="80"/>
              <w:right w:type="dxa" w:w="120"/>
            </w:tcMar>
          </w:tcPr>
          <w:p>
            <w:r>
              <w:rPr>
                <w:rFonts w:ascii="Arial" w:cs="Arial" w:eastAsia="Arial" w:hAnsi="Arial"/>
                <w:b/>
                <w:bCs/>
                <w:color w:val="555555"/>
                <w:sz w:val="24"/>
                <w:szCs w:val="24"/>
              </w:rPr>
              <w:t xml:space="preserve">Institution</w:t>
            </w:r>
          </w:p>
        </w:tc>
        <w:tc>
          <w:tcPr>
            <w:tcW w:type="dxa" w:w="44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Arial" w:cs="Arial" w:eastAsia="Arial" w:hAnsi="Arial"/>
                <w:sz w:val="24"/>
                <w:szCs w:val="24"/>
              </w:rPr>
              <w:t xml:space="preserve">VIT Bhopal University, Bhopal, M.P.</w:t>
            </w:r>
          </w:p>
        </w:tc>
      </w:tr>
      <w:tr>
        <w:tc>
          <w:tcPr>
            <w:tcW w:type="dxa" w:w="2800"/>
            <w:tcBorders>
              <w:top w:val="none" w:color="FFFFFF" w:sz="0"/>
              <w:left w:val="none" w:color="FFFFFF" w:sz="0"/>
              <w:bottom w:val="none" w:color="FFFFFF" w:sz="0"/>
              <w:right w:val="none" w:color="FFFFFF" w:sz="0"/>
            </w:tcBorders>
            <w:tcMar>
              <w:top w:type="dxa" w:w="80"/>
              <w:left w:type="dxa" w:w="80"/>
              <w:bottom w:type="dxa" w:w="80"/>
              <w:right w:type="dxa" w:w="120"/>
            </w:tcMar>
          </w:tcPr>
          <w:p>
            <w:r>
              <w:rPr>
                <w:rFonts w:ascii="Arial" w:cs="Arial" w:eastAsia="Arial" w:hAnsi="Arial"/>
                <w:b/>
                <w:bCs/>
                <w:color w:val="555555"/>
                <w:sz w:val="24"/>
                <w:szCs w:val="24"/>
              </w:rPr>
              <w:t xml:space="preserve">Date of Submission</w:t>
            </w:r>
          </w:p>
        </w:tc>
        <w:tc>
          <w:tcPr>
            <w:tcW w:type="dxa" w:w="44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Arial" w:cs="Arial" w:eastAsia="Arial" w:hAnsi="Arial"/>
                <w:sz w:val="24"/>
                <w:szCs w:val="24"/>
              </w:rPr>
              <w:t xml:space="preserve">March 2026</w:t>
            </w:r>
          </w:p>
        </w:tc>
      </w:tr>
    </w:tbl>
    <w:p>
      <w:r>
        <w:br w:type="page"/>
      </w:r>
    </w:p>
    <w:p>
      <w:pPr>
        <w:pStyle w:val="Heading1"/>
        <w:spacing w:before="320" w:after="160"/>
      </w:pPr>
      <w:r>
        <w:rPr>
          <w:rFonts w:ascii="Arial" w:cs="Arial" w:eastAsia="Arial" w:hAnsi="Arial"/>
          <w:b/>
          <w:bCs/>
          <w:color w:val="1A237E"/>
          <w:sz w:val="32"/>
          <w:szCs w:val="32"/>
        </w:rPr>
        <w:t xml:space="preserve">Introduction</w:t>
      </w:r>
    </w:p>
    <w:p>
      <w:pPr>
        <w:pBdr>
          <w:bottom w:val="single" w:color="CCCCCC" w:sz="4" w:space="1"/>
        </w:pBdr>
        <w:spacing w:before="160" w:after="160"/>
      </w:pPr>
    </w:p>
    <w:p>
      <w:pPr>
        <w:spacing w:before="100" w:after="100" w:line="360"/>
      </w:pPr>
      <w:r>
        <w:rPr>
          <w:rFonts w:ascii="Arial" w:cs="Arial" w:eastAsia="Arial" w:hAnsi="Arial"/>
          <w:sz w:val="24"/>
          <w:szCs w:val="24"/>
        </w:rPr>
        <w:t xml:space="preserve">This project report documents my work as a first-year student completing the CSE0001 Digital Literacy course at VIT Bhopal University. The course is structured around a scenario: I have been selected as a Student Digital Ambassador, and my task is to build a Digital Literacy Portfolio that can genuinely help my batchmates navigate the digital world more safely, professionally, and effectively.</w:t>
      </w:r>
    </w:p>
    <w:p>
      <w:pPr>
        <w:spacing w:before="100" w:after="100" w:line="360"/>
      </w:pPr>
      <w:r>
        <w:rPr>
          <w:rFonts w:ascii="Arial" w:cs="Arial" w:eastAsia="Arial" w:hAnsi="Arial"/>
          <w:sz w:val="24"/>
          <w:szCs w:val="24"/>
        </w:rPr>
        <w:t xml:space="preserve"/>
      </w:r>
    </w:p>
    <w:p>
      <w:pPr>
        <w:spacing w:before="100" w:after="100" w:line="360"/>
      </w:pPr>
      <w:r>
        <w:rPr>
          <w:rFonts w:ascii="Arial" w:cs="Arial" w:eastAsia="Arial" w:hAnsi="Arial"/>
          <w:sz w:val="24"/>
          <w:szCs w:val="24"/>
        </w:rPr>
        <w:t xml:space="preserve">The portfolio covers five modules — awareness and communication, digital presence, coding platforms, email etiquette, and cybercrime awareness — each built into a real, usable deliverable rather than a theoretical exercise. Every task in this project produced something I could actually use: a shareable infographic, three active professional profiles, a live quiz form, two email templates I will refer back to, and a cybercrime case study that is directly relevant to students in India.</w:t>
      </w:r>
    </w:p>
    <w:p>
      <w:pPr>
        <w:spacing w:before="100" w:after="100" w:line="360"/>
      </w:pPr>
      <w:r>
        <w:rPr>
          <w:rFonts w:ascii="Arial" w:cs="Arial" w:eastAsia="Arial" w:hAnsi="Arial"/>
          <w:sz w:val="24"/>
          <w:szCs w:val="24"/>
        </w:rPr>
        <w:t xml:space="preserve"/>
      </w:r>
    </w:p>
    <w:p>
      <w:pPr>
        <w:spacing w:before="100" w:after="100" w:line="360"/>
      </w:pPr>
      <w:r>
        <w:rPr>
          <w:rFonts w:ascii="Arial" w:cs="Arial" w:eastAsia="Arial" w:hAnsi="Arial"/>
          <w:sz w:val="24"/>
          <w:szCs w:val="24"/>
        </w:rPr>
        <w:t xml:space="preserve">I am pursuing an Integrated M.Tech in Cyber Security, so several of these tasks — particularly the cybercrime module and the platform-building tasks — felt especially meaningful. My aim was not just to complete the checklist, but to build things that reflect where I want to go and who I am becoming as a professional.</w:t>
      </w:r>
    </w:p>
    <w:p>
      <w:r>
        <w:br w:type="page"/>
      </w:r>
    </w:p>
    <w:p>
      <w:pPr>
        <w:pStyle w:val="Heading1"/>
        <w:spacing w:before="320" w:after="160"/>
      </w:pPr>
      <w:r>
        <w:rPr>
          <w:rFonts w:ascii="Arial" w:cs="Arial" w:eastAsia="Arial" w:hAnsi="Arial"/>
          <w:b/>
          <w:bCs/>
          <w:color w:val="1A237E"/>
          <w:sz w:val="32"/>
          <w:szCs w:val="32"/>
        </w:rPr>
        <w:t xml:space="preserve">Task 1 – Digital Literacy Awareness Infographic</w:t>
      </w:r>
    </w:p>
    <w:p>
      <w:pPr>
        <w:pBdr>
          <w:bottom w:val="single" w:color="CCCCCC" w:sz="4" w:space="1"/>
        </w:pBdr>
        <w:spacing w:before="160" w:after="160"/>
      </w:pPr>
    </w:p>
    <w:p>
      <w:pPr>
        <w:pStyle w:val="Heading2"/>
        <w:spacing w:before="240" w:after="120"/>
      </w:pPr>
      <w:r>
        <w:rPr>
          <w:rFonts w:ascii="Arial" w:cs="Arial" w:eastAsia="Arial" w:hAnsi="Arial"/>
          <w:b/>
          <w:bCs/>
          <w:color w:val="00695C"/>
          <w:sz w:val="26"/>
          <w:szCs w:val="26"/>
        </w:rPr>
        <w:t xml:space="preserve">Tool Used</w:t>
      </w:r>
    </w:p>
    <w:p>
      <w:pPr>
        <w:spacing w:before="100" w:after="100" w:line="360"/>
      </w:pPr>
      <w:r>
        <w:rPr>
          <w:rFonts w:ascii="Arial" w:cs="Arial" w:eastAsia="Arial" w:hAnsi="Arial"/>
          <w:sz w:val="24"/>
          <w:szCs w:val="24"/>
        </w:rPr>
        <w:t xml:space="preserve">Canva (canva.com) — a free, browser-based graphic design tool with a wide library of infographic templates and a drag-and-drop editor.</w:t>
      </w:r>
    </w:p>
    <w:p>
      <w:pPr>
        <w:spacing w:before="100" w:after="100" w:line="360"/>
      </w:pPr>
      <w:r>
        <w:rPr>
          <w:rFonts w:ascii="Arial" w:cs="Arial" w:eastAsia="Arial" w:hAnsi="Arial"/>
          <w:sz w:val="24"/>
          <w:szCs w:val="24"/>
        </w:rPr>
        <w:t xml:space="preserve"/>
      </w:r>
    </w:p>
    <w:p>
      <w:pPr>
        <w:pStyle w:val="Heading2"/>
        <w:spacing w:before="240" w:after="120"/>
      </w:pPr>
      <w:r>
        <w:rPr>
          <w:rFonts w:ascii="Arial" w:cs="Arial" w:eastAsia="Arial" w:hAnsi="Arial"/>
          <w:b/>
          <w:bCs/>
          <w:color w:val="00695C"/>
          <w:sz w:val="26"/>
          <w:szCs w:val="26"/>
        </w:rPr>
        <w:t xml:space="preserve">What I Made</w:t>
      </w:r>
    </w:p>
    <w:p>
      <w:pPr>
        <w:spacing w:before="100" w:after="100" w:line="360"/>
      </w:pPr>
      <w:r>
        <w:rPr>
          <w:rFonts w:ascii="Arial" w:cs="Arial" w:eastAsia="Arial" w:hAnsi="Arial"/>
          <w:sz w:val="24"/>
          <w:szCs w:val="24"/>
        </w:rPr>
        <w:t xml:space="preserve">I designed a single-page infographic titled “Be Digitally Smart” — intended to serve as a quick-reference visual for first-year students encountering these concepts for the first time. The infographic covers five distinct areas arranged in clearly separated colour-coded blocks: the definition of digital literacy, a curated set of tools for student productivity and career growth, three non-negotiable internet safety habits, a side-by-side comparison of a weak versus a strong LinkedIn profile, and a five-point email etiquette checklist.</w:t>
      </w:r>
    </w:p>
    <w:p>
      <w:pPr>
        <w:spacing w:before="100" w:after="100" w:line="360"/>
      </w:pPr>
      <w:r>
        <w:rPr>
          <w:rFonts w:ascii="Arial" w:cs="Arial" w:eastAsia="Arial" w:hAnsi="Arial"/>
          <w:sz w:val="24"/>
          <w:szCs w:val="24"/>
        </w:rPr>
        <w:t xml:space="preserve"/>
      </w:r>
    </w:p>
    <w:p>
      <w:pPr>
        <w:spacing w:before="100" w:after="100" w:line="360"/>
      </w:pPr>
      <w:r>
        <w:rPr>
          <w:rFonts w:ascii="Arial" w:cs="Arial" w:eastAsia="Arial" w:hAnsi="Arial"/>
          <w:sz w:val="24"/>
          <w:szCs w:val="24"/>
        </w:rPr>
        <w:t xml:space="preserve">The layout was intentionally kept clean and scannable. I avoided the common mistake of cramming too much text into visual space — each section uses icons, short labels, and minimal but purposeful copy. The infographic also includes the National Cyber Crime helpline (1930) at the bottom, because I felt a digital literacy visual for Indian students would be incomplete without it.</w:t>
      </w:r>
    </w:p>
    <w:p>
      <w:pPr>
        <w:spacing w:before="100" w:after="100" w:line="360"/>
      </w:pPr>
      <w:r>
        <w:rPr>
          <w:rFonts w:ascii="Arial" w:cs="Arial" w:eastAsia="Arial" w:hAnsi="Arial"/>
          <w:sz w:val="24"/>
          <w:szCs w:val="24"/>
        </w:rPr>
        <w:t xml:space="preserve"/>
      </w:r>
    </w:p>
    <w:p>
      <w:pPr>
        <w:pStyle w:val="Heading2"/>
        <w:spacing w:before="240" w:after="120"/>
      </w:pPr>
      <w:r>
        <w:rPr>
          <w:rFonts w:ascii="Arial" w:cs="Arial" w:eastAsia="Arial" w:hAnsi="Arial"/>
          <w:b/>
          <w:bCs/>
          <w:color w:val="00695C"/>
          <w:sz w:val="26"/>
          <w:szCs w:val="26"/>
        </w:rPr>
        <w:t xml:space="preserve">Reflection</w:t>
      </w:r>
    </w:p>
    <w:p>
      <w:pPr>
        <w:spacing w:before="100" w:after="100" w:line="360"/>
      </w:pPr>
      <w:r>
        <w:rPr>
          <w:rFonts w:ascii="Arial" w:cs="Arial" w:eastAsia="Arial" w:hAnsi="Arial"/>
          <w:sz w:val="24"/>
          <w:szCs w:val="24"/>
        </w:rPr>
        <w:t xml:space="preserve">Using Canva was straightforward for the most part, but the design decisions — what to include, what to leave out, how to sequence the information visually — took more thought than I expected. The most interesting part was building the LinkedIn profile comparison. I had never consciously mapped out what separates a credible profile from a negligent one. Putting it in a visual format forced me to be specific and honest.</w:t>
      </w:r>
    </w:p>
    <w:p>
      <w:pPr>
        <w:spacing w:before="100" w:after="100" w:line="360"/>
      </w:pPr>
      <w:r>
        <w:rPr>
          <w:rFonts w:ascii="Arial" w:cs="Arial" w:eastAsia="Arial" w:hAnsi="Arial"/>
          <w:sz w:val="24"/>
          <w:szCs w:val="24"/>
        </w:rPr>
        <w:t xml:space="preserve"/>
      </w:r>
    </w:p>
    <w:p>
      <w:pPr>
        <w:spacing w:before="100" w:after="100" w:line="360"/>
      </w:pPr>
      <w:r>
        <w:rPr>
          <w:rFonts w:ascii="Arial" w:cs="Arial" w:eastAsia="Arial" w:hAnsi="Arial"/>
          <w:sz w:val="24"/>
          <w:szCs w:val="24"/>
        </w:rPr>
        <w:t xml:space="preserve">The most difficult aspect was the email etiquette section. I wanted it to feel actionable rather than preachy, so I structured it as a five-part checklist instead of a list of rules. That shift in framing — from “here are the rules” to “here are the five things every good email has” — felt more practical for someone who has never written a professional email before.</w:t>
      </w:r>
    </w:p>
    <w:p>
      <w:pPr>
        <w:spacing w:before="100" w:after="100" w:line="360"/>
      </w:pPr>
      <w:r>
        <w:rPr>
          <w:rFonts w:ascii="Arial" w:cs="Arial" w:eastAsia="Arial" w:hAnsi="Arial"/>
          <w:sz w:val="24"/>
          <w:szCs w:val="24"/>
        </w:rPr>
        <w:t xml:space="preserve"/>
      </w:r>
    </w:p>
    <w:p>
      <w:pPr>
        <w:spacing w:before="100" w:after="100" w:line="360"/>
      </w:pPr>
      <w:r>
        <w:rPr>
          <w:rFonts w:ascii="Arial" w:cs="Arial" w:eastAsia="Arial" w:hAnsi="Arial"/>
          <w:sz w:val="24"/>
          <w:szCs w:val="24"/>
        </w:rPr>
        <w:t xml:space="preserve">This task made me realise that design is itself a form of communication. A well-structured visual can change how someone absorbs information, and that skill is as important as any technical ability I will build in this degree.</w:t>
      </w:r>
    </w:p>
    <w:p>
      <w:r>
        <w:br w:type="page"/>
      </w:r>
    </w:p>
    <w:p>
      <w:pPr>
        <w:pStyle w:val="Heading1"/>
        <w:spacing w:before="320" w:after="160"/>
      </w:pPr>
      <w:r>
        <w:rPr>
          <w:rFonts w:ascii="Arial" w:cs="Arial" w:eastAsia="Arial" w:hAnsi="Arial"/>
          <w:b/>
          <w:bCs/>
          <w:color w:val="1A237E"/>
          <w:sz w:val="32"/>
          <w:szCs w:val="32"/>
        </w:rPr>
        <w:t xml:space="preserve">Task 2 – Student Digital Portfolio</w:t>
      </w:r>
    </w:p>
    <w:p>
      <w:pPr>
        <w:pBdr>
          <w:bottom w:val="single" w:color="CCCCCC" w:sz="4" w:space="1"/>
        </w:pBdr>
        <w:spacing w:before="160" w:after="160"/>
      </w:pPr>
    </w:p>
    <w:p>
      <w:pPr>
        <w:pStyle w:val="Heading2"/>
        <w:spacing w:before="240" w:after="120"/>
      </w:pPr>
      <w:r>
        <w:rPr>
          <w:rFonts w:ascii="Arial" w:cs="Arial" w:eastAsia="Arial" w:hAnsi="Arial"/>
          <w:b/>
          <w:bCs/>
          <w:color w:val="00695C"/>
          <w:sz w:val="26"/>
          <w:szCs w:val="26"/>
        </w:rPr>
        <w:t xml:space="preserve">Platforms Set Up</w:t>
      </w:r>
    </w:p>
    <w:p>
      <w:pPr>
        <w:spacing w:before="100" w:after="100" w:line="360"/>
      </w:pPr>
      <w:r>
        <w:rPr>
          <w:rFonts w:ascii="Arial" w:cs="Arial" w:eastAsia="Arial" w:hAnsi="Arial"/>
          <w:sz w:val="24"/>
          <w:szCs w:val="24"/>
        </w:rPr>
        <w:t xml:space="preserve">I created or updated accounts on three platforms: GitHub, LinkedIn, and Kaggle. Each one serves a fundamentally different professional function, and I chose these three specifically because together they cover the dimensions that matter most for a career in Cyber Security and AI.</w:t>
      </w:r>
    </w:p>
    <w:p>
      <w:pPr>
        <w:spacing w:before="100" w:after="100" w:line="360"/>
      </w:pPr>
      <w:r>
        <w:rPr>
          <w:rFonts w:ascii="Arial" w:cs="Arial" w:eastAsia="Arial" w:hAnsi="Arial"/>
          <w:sz w:val="24"/>
          <w:szCs w:val="24"/>
        </w:rPr>
        <w:t xml:space="preserve"/>
      </w:r>
    </w:p>
    <w:p>
      <w:pPr>
        <w:spacing w:before="100" w:after="100" w:line="360"/>
      </w:pPr>
      <w:r>
        <w:rPr>
          <w:rFonts w:ascii="Arial" w:cs="Arial" w:eastAsia="Arial" w:hAnsi="Arial"/>
          <w:sz w:val="24"/>
          <w:szCs w:val="24"/>
        </w:rPr>
        <w:t xml:space="preserve">On GitHub, I created a profile README (a special repository named after my username) that includes my name, branch, year, and a line about what I hope to learn. This public-facing README is the first thing a technical recruiter or research collaborator will see when they visit my profile, so I treated it as a brief but honest introduction.</w:t>
      </w:r>
    </w:p>
    <w:p>
      <w:pPr>
        <w:spacing w:before="100" w:after="100" w:line="360"/>
      </w:pPr>
      <w:r>
        <w:rPr>
          <w:rFonts w:ascii="Arial" w:cs="Arial" w:eastAsia="Arial" w:hAnsi="Arial"/>
          <w:sz w:val="24"/>
          <w:szCs w:val="24"/>
        </w:rPr>
        <w:t xml:space="preserve"/>
      </w:r>
    </w:p>
    <w:p>
      <w:pPr>
        <w:spacing w:before="100" w:after="100" w:line="360"/>
      </w:pPr>
      <w:r>
        <w:rPr>
          <w:rFonts w:ascii="Arial" w:cs="Arial" w:eastAsia="Arial" w:hAnsi="Arial"/>
          <w:sz w:val="24"/>
          <w:szCs w:val="24"/>
        </w:rPr>
        <w:t xml:space="preserve">On LinkedIn, I filled in my Education section with my degree (Integrated M.Tech – Cyber Security), institution (VIT Bhopal University), start year (2025), and expected graduation year (2030). I kept the profile minimal for now, consistent with the brief, and plan to build it progressively as real achievements accumulate.</w:t>
      </w:r>
    </w:p>
    <w:p>
      <w:pPr>
        <w:spacing w:before="100" w:after="100" w:line="360"/>
      </w:pPr>
      <w:r>
        <w:rPr>
          <w:rFonts w:ascii="Arial" w:cs="Arial" w:eastAsia="Arial" w:hAnsi="Arial"/>
          <w:sz w:val="24"/>
          <w:szCs w:val="24"/>
        </w:rPr>
        <w:t xml:space="preserve"/>
      </w:r>
    </w:p>
    <w:p>
      <w:pPr>
        <w:spacing w:before="100" w:after="100" w:line="360"/>
      </w:pPr>
      <w:r>
        <w:rPr>
          <w:rFonts w:ascii="Arial" w:cs="Arial" w:eastAsia="Arial" w:hAnsi="Arial"/>
          <w:sz w:val="24"/>
          <w:szCs w:val="24"/>
        </w:rPr>
        <w:t xml:space="preserve">On Kaggle, I created an account and linked it to my GitHub. While I have not yet published any notebooks, the account is active and will be the place where I document data science and ML work as I progress through the degree.</w:t>
      </w:r>
    </w:p>
    <w:p>
      <w:pPr>
        <w:spacing w:before="100" w:after="100" w:line="360"/>
      </w:pPr>
      <w:r>
        <w:rPr>
          <w:rFonts w:ascii="Arial" w:cs="Arial" w:eastAsia="Arial" w:hAnsi="Arial"/>
          <w:sz w:val="24"/>
          <w:szCs w:val="24"/>
        </w:rPr>
        <w:t xml:space="preserve"/>
      </w:r>
    </w:p>
    <w:p>
      <w:pPr>
        <w:pStyle w:val="Heading2"/>
        <w:spacing w:before="240" w:after="120"/>
      </w:pPr>
      <w:r>
        <w:rPr>
          <w:rFonts w:ascii="Arial" w:cs="Arial" w:eastAsia="Arial" w:hAnsi="Arial"/>
          <w:b/>
          <w:bCs/>
          <w:color w:val="00695C"/>
          <w:sz w:val="26"/>
          <w:szCs w:val="26"/>
        </w:rPr>
        <w:t xml:space="preserve">Purpose of Each Platform</w:t>
      </w:r>
    </w:p>
    <w:p>
      <w:pPr>
        <w:pStyle w:val="ListParagraph"/>
        <w:numPr>
          <w:ilvl w:val="0"/>
          <w:numId w:val="2"/>
        </w:numPr>
        <w:spacing w:before="60" w:after="60" w:line="320"/>
      </w:pPr>
      <w:r>
        <w:rPr>
          <w:rFonts w:ascii="Arial" w:cs="Arial" w:eastAsia="Arial" w:hAnsi="Arial"/>
          <w:sz w:val="24"/>
          <w:szCs w:val="24"/>
        </w:rPr>
        <w:t xml:space="preserve">GitHub — The technical portfolio. Every project I build, every script I write, every contribution I make will be here. It is the most important platform for someone pursuing a technical career.</w:t>
      </w:r>
    </w:p>
    <w:p>
      <w:pPr>
        <w:pStyle w:val="ListParagraph"/>
        <w:numPr>
          <w:ilvl w:val="0"/>
          <w:numId w:val="2"/>
        </w:numPr>
        <w:spacing w:before="60" w:after="60" w:line="320"/>
      </w:pPr>
      <w:r>
        <w:rPr>
          <w:rFonts w:ascii="Arial" w:cs="Arial" w:eastAsia="Arial" w:hAnsi="Arial"/>
          <w:sz w:val="24"/>
          <w:szCs w:val="24"/>
        </w:rPr>
        <w:t xml:space="preserve">LinkedIn — The professional network. Internship recruiters, faculty collaborators, and alumni all use it. An early, well-maintained profile compounds in value over four years.</w:t>
      </w:r>
    </w:p>
    <w:p>
      <w:pPr>
        <w:pStyle w:val="ListParagraph"/>
        <w:numPr>
          <w:ilvl w:val="0"/>
          <w:numId w:val="2"/>
        </w:numPr>
        <w:spacing w:before="60" w:after="60" w:line="320"/>
      </w:pPr>
      <w:r>
        <w:rPr>
          <w:rFonts w:ascii="Arial" w:cs="Arial" w:eastAsia="Arial" w:hAnsi="Arial"/>
          <w:sz w:val="24"/>
          <w:szCs w:val="24"/>
        </w:rPr>
        <w:t xml:space="preserve">Kaggle — The practice arena. For data science and ML work, Kaggle provides both a sandbox for experimentation and a leaderboard for competitive benchmarking.</w:t>
      </w:r>
    </w:p>
    <w:p>
      <w:pPr>
        <w:spacing w:before="100" w:after="100" w:line="360"/>
      </w:pPr>
      <w:r>
        <w:rPr>
          <w:rFonts w:ascii="Arial" w:cs="Arial" w:eastAsia="Arial" w:hAnsi="Arial"/>
          <w:sz w:val="24"/>
          <w:szCs w:val="24"/>
        </w:rPr>
        <w:t xml:space="preserve"/>
      </w:r>
    </w:p>
    <w:p>
      <w:pPr>
        <w:pStyle w:val="Heading2"/>
        <w:spacing w:before="240" w:after="120"/>
      </w:pPr>
      <w:r>
        <w:rPr>
          <w:rFonts w:ascii="Arial" w:cs="Arial" w:eastAsia="Arial" w:hAnsi="Arial"/>
          <w:b/>
          <w:bCs/>
          <w:color w:val="00695C"/>
          <w:sz w:val="26"/>
          <w:szCs w:val="26"/>
        </w:rPr>
        <w:t xml:space="preserve">Four-Year Plan</w:t>
      </w:r>
    </w:p>
    <w:p>
      <w:pPr>
        <w:spacing w:before="100" w:after="100" w:line="360"/>
      </w:pPr>
      <w:r>
        <w:rPr>
          <w:rFonts w:ascii="Arial" w:cs="Arial" w:eastAsia="Arial" w:hAnsi="Arial"/>
          <w:sz w:val="24"/>
          <w:szCs w:val="24"/>
        </w:rPr>
        <w:t xml:space="preserve">Year 1 is about presence — getting these accounts set up and keeping them clean. Year 2 is about contribution — putting real projects on GitHub, attempting Kaggle competitions, and connecting deliberately on LinkedIn. Years 3 and 4 are about differentiation — by then I want a GitHub portfolio that speaks for itself, a LinkedIn profile with internship experience and recommendations, and a Kaggle ranking in the top tiers of at least one relevant competition.</w:t>
      </w:r>
    </w:p>
    <w:p>
      <w:r>
        <w:br w:type="page"/>
      </w:r>
    </w:p>
    <w:p>
      <w:pPr>
        <w:pStyle w:val="Heading1"/>
        <w:spacing w:before="320" w:after="160"/>
      </w:pPr>
      <w:r>
        <w:rPr>
          <w:rFonts w:ascii="Arial" w:cs="Arial" w:eastAsia="Arial" w:hAnsi="Arial"/>
          <w:b/>
          <w:bCs/>
          <w:color w:val="1A237E"/>
          <w:sz w:val="32"/>
          <w:szCs w:val="32"/>
        </w:rPr>
        <w:t xml:space="preserve">Task 3 – Coding &amp; Collaboration Platforms</w:t>
      </w:r>
    </w:p>
    <w:p>
      <w:pPr>
        <w:pBdr>
          <w:bottom w:val="single" w:color="CCCCCC" w:sz="4" w:space="1"/>
        </w:pBdr>
        <w:spacing w:before="160" w:after="160"/>
      </w:pPr>
    </w:p>
    <w:p>
      <w:pPr>
        <w:pStyle w:val="Heading2"/>
        <w:spacing w:before="240" w:after="120"/>
      </w:pPr>
      <w:r>
        <w:rPr>
          <w:rFonts w:ascii="Arial" w:cs="Arial" w:eastAsia="Arial" w:hAnsi="Arial"/>
          <w:b/>
          <w:bCs/>
          <w:color w:val="00695C"/>
          <w:sz w:val="26"/>
          <w:szCs w:val="26"/>
        </w:rPr>
        <w:t xml:space="preserve">Part A – HackerRank</w:t>
      </w:r>
    </w:p>
    <w:p>
      <w:pPr>
        <w:spacing w:before="100" w:after="100" w:line="360"/>
      </w:pPr>
      <w:r>
        <w:rPr>
          <w:rFonts w:ascii="Arial" w:cs="Arial" w:eastAsia="Arial" w:hAnsi="Arial"/>
          <w:sz w:val="24"/>
          <w:szCs w:val="24"/>
        </w:rPr>
        <w:t xml:space="preserve">I chose HackerRank for the coding challenge because its domain-based structure makes it easy to navigate as a beginner. I completed the Python Introduction challenge (“Say Hello, World! With Python”), scoring 5 out of 5 points. I then attempted two follow-up challenges — If-Else and Arithmetic Operators — to get a feel for the progression.</w:t>
      </w:r>
    </w:p>
    <w:p>
      <w:pPr>
        <w:spacing w:before="100" w:after="100" w:line="360"/>
      </w:pPr>
      <w:r>
        <w:rPr>
          <w:rFonts w:ascii="Arial" w:cs="Arial" w:eastAsia="Arial" w:hAnsi="Arial"/>
          <w:sz w:val="24"/>
          <w:szCs w:val="24"/>
        </w:rPr>
        <w:t xml:space="preserve"/>
      </w:r>
    </w:p>
    <w:p>
      <w:pPr>
        <w:spacing w:before="100" w:after="100" w:line="360"/>
      </w:pPr>
      <w:r>
        <w:rPr>
          <w:rFonts w:ascii="Arial" w:cs="Arial" w:eastAsia="Arial" w:hAnsi="Arial"/>
          <w:sz w:val="24"/>
          <w:szCs w:val="24"/>
        </w:rPr>
        <w:t xml:space="preserve">The experience was encouraging. The platform gives immediate feedback, which is important for learning. The badge system is a small motivator, but the more meaningful thing is having a structured ladder of increasing difficulty to climb.</w:t>
      </w:r>
    </w:p>
    <w:p>
      <w:pPr>
        <w:spacing w:before="100" w:after="100" w:line="360"/>
      </w:pPr>
      <w:r>
        <w:rPr>
          <w:rFonts w:ascii="Arial" w:cs="Arial" w:eastAsia="Arial" w:hAnsi="Arial"/>
          <w:sz w:val="24"/>
          <w:szCs w:val="24"/>
        </w:rPr>
        <w:t xml:space="preserve"/>
      </w:r>
    </w:p>
    <w:p>
      <w:pPr>
        <w:pStyle w:val="Heading2"/>
        <w:spacing w:before="240" w:after="120"/>
      </w:pPr>
      <w:r>
        <w:rPr>
          <w:rFonts w:ascii="Arial" w:cs="Arial" w:eastAsia="Arial" w:hAnsi="Arial"/>
          <w:b/>
          <w:bCs/>
          <w:color w:val="00695C"/>
          <w:sz w:val="26"/>
          <w:szCs w:val="26"/>
        </w:rPr>
        <w:t xml:space="preserve">Part B – Google Forms Quiz</w:t>
      </w:r>
    </w:p>
    <w:p>
      <w:pPr>
        <w:spacing w:before="100" w:after="100" w:line="360"/>
      </w:pPr>
      <w:r>
        <w:rPr>
          <w:rFonts w:ascii="Arial" w:cs="Arial" w:eastAsia="Arial" w:hAnsi="Arial"/>
          <w:sz w:val="24"/>
          <w:szCs w:val="24"/>
        </w:rPr>
        <w:t xml:space="preserve">I built a five-question Digital Literacy Awareness Quiz using Google Forms. The quiz includes four multiple-choice questions and one short-answer question. Topics covered: the definition of digital literacy, password strength, two-factor authentication, platform selection for code portfolios, and an open-ended reflection question.</w:t>
      </w:r>
    </w:p>
    <w:p>
      <w:pPr>
        <w:spacing w:before="100" w:after="100" w:line="360"/>
      </w:pPr>
      <w:r>
        <w:rPr>
          <w:rFonts w:ascii="Arial" w:cs="Arial" w:eastAsia="Arial" w:hAnsi="Arial"/>
          <w:sz w:val="24"/>
          <w:szCs w:val="24"/>
        </w:rPr>
        <w:t xml:space="preserve"/>
      </w:r>
    </w:p>
    <w:p>
      <w:pPr>
        <w:spacing w:before="100" w:after="100" w:line="360"/>
      </w:pPr>
      <w:r>
        <w:rPr>
          <w:rFonts w:ascii="Arial" w:cs="Arial" w:eastAsia="Arial" w:hAnsi="Arial"/>
          <w:sz w:val="24"/>
          <w:szCs w:val="24"/>
        </w:rPr>
        <w:t xml:space="preserve">The form is linked to a Google Sheet for automatic response collection. Every submission from a respondent populates a new row in the sheet with a timestamp — this is Google Sheets’ basic form functionality, but experiencing it firsthand made the power of integrated cloud tools very concrete.</w:t>
      </w:r>
    </w:p>
    <w:p>
      <w:pPr>
        <w:spacing w:before="100" w:after="100" w:line="360"/>
      </w:pPr>
      <w:r>
        <w:rPr>
          <w:rFonts w:ascii="Arial" w:cs="Arial" w:eastAsia="Arial" w:hAnsi="Arial"/>
          <w:sz w:val="24"/>
          <w:szCs w:val="24"/>
        </w:rPr>
        <w:t xml:space="preserve"/>
      </w:r>
    </w:p>
    <w:p>
      <w:pPr>
        <w:pStyle w:val="Heading2"/>
        <w:spacing w:before="240" w:after="120"/>
      </w:pPr>
      <w:r>
        <w:rPr>
          <w:rFonts w:ascii="Arial" w:cs="Arial" w:eastAsia="Arial" w:hAnsi="Arial"/>
          <w:b/>
          <w:bCs/>
          <w:color w:val="00695C"/>
          <w:sz w:val="26"/>
          <w:szCs w:val="26"/>
        </w:rPr>
        <w:t xml:space="preserve">Reflection</w:t>
      </w:r>
    </w:p>
    <w:p>
      <w:pPr>
        <w:spacing w:before="100" w:after="100" w:line="360"/>
      </w:pPr>
      <w:r>
        <w:rPr>
          <w:rFonts w:ascii="Arial" w:cs="Arial" w:eastAsia="Arial" w:hAnsi="Arial"/>
          <w:sz w:val="24"/>
          <w:szCs w:val="24"/>
        </w:rPr>
        <w:t xml:space="preserve">The HackerRank challenge was technically trivial, but the platform itself is not. Understanding how coding practice platforms work — domain progression, badges, timed challenges, leaderboards — is useful because these are the tools I will be using for the next several years.</w:t>
      </w:r>
    </w:p>
    <w:p>
      <w:pPr>
        <w:spacing w:before="100" w:after="100" w:line="360"/>
      </w:pPr>
      <w:r>
        <w:rPr>
          <w:rFonts w:ascii="Arial" w:cs="Arial" w:eastAsia="Arial" w:hAnsi="Arial"/>
          <w:sz w:val="24"/>
          <w:szCs w:val="24"/>
        </w:rPr>
        <w:t xml:space="preserve"/>
      </w:r>
    </w:p>
    <w:p>
      <w:pPr>
        <w:spacing w:before="100" w:after="100" w:line="360"/>
      </w:pPr>
      <w:r>
        <w:rPr>
          <w:rFonts w:ascii="Arial" w:cs="Arial" w:eastAsia="Arial" w:hAnsi="Arial"/>
          <w:sz w:val="24"/>
          <w:szCs w:val="24"/>
        </w:rPr>
        <w:t xml:space="preserve">The Google Form task was more genuinely challenging. Writing good multiple-choice questions requires thinking carefully about what makes a wrong answer plausible. A bad quiz question is one where the wrong options are obviously wrong — which means you can guess without understanding. I tried to design distractors that a real student who had not studied might choose. That shift in thinking, from answering questions to designing them, felt like a meaningful one.</w:t>
      </w:r>
    </w:p>
    <w:p>
      <w:pPr>
        <w:spacing w:before="100" w:after="100" w:line="360"/>
      </w:pPr>
      <w:r>
        <w:rPr>
          <w:rFonts w:ascii="Arial" w:cs="Arial" w:eastAsia="Arial" w:hAnsi="Arial"/>
          <w:sz w:val="24"/>
          <w:szCs w:val="24"/>
        </w:rPr>
        <w:t xml:space="preserve"/>
      </w:r>
    </w:p>
    <w:p>
      <w:pPr>
        <w:spacing w:before="100" w:after="100" w:line="360"/>
      </w:pPr>
      <w:r>
        <w:rPr>
          <w:rFonts w:ascii="Arial" w:cs="Arial" w:eastAsia="Arial" w:hAnsi="Arial"/>
          <w:sz w:val="24"/>
          <w:szCs w:val="24"/>
        </w:rPr>
        <w:t xml:space="preserve">Both tools will be directly useful: HackerRank for daily coding practice, and Google Forms for any peer survey, feedback collection, or quiz I run as part of studies or extracurricular projects.</w:t>
      </w:r>
    </w:p>
    <w:p>
      <w:r>
        <w:br w:type="page"/>
      </w:r>
    </w:p>
    <w:p>
      <w:pPr>
        <w:pStyle w:val="Heading1"/>
        <w:spacing w:before="320" w:after="160"/>
      </w:pPr>
      <w:r>
        <w:rPr>
          <w:rFonts w:ascii="Arial" w:cs="Arial" w:eastAsia="Arial" w:hAnsi="Arial"/>
          <w:b/>
          <w:bCs/>
          <w:color w:val="1A237E"/>
          <w:sz w:val="32"/>
          <w:szCs w:val="32"/>
        </w:rPr>
        <w:t xml:space="preserve">Task 4 – Professional Email &amp; Etiquette</w:t>
      </w:r>
    </w:p>
    <w:p>
      <w:pPr>
        <w:pBdr>
          <w:bottom w:val="single" w:color="CCCCCC" w:sz="4" w:space="1"/>
        </w:pBdr>
        <w:spacing w:before="160" w:after="160"/>
      </w:pPr>
    </w:p>
    <w:p>
      <w:pPr>
        <w:pStyle w:val="Heading2"/>
        <w:spacing w:before="240" w:after="120"/>
      </w:pPr>
      <w:r>
        <w:rPr>
          <w:rFonts w:ascii="Arial" w:cs="Arial" w:eastAsia="Arial" w:hAnsi="Arial"/>
          <w:b/>
          <w:bCs/>
          <w:color w:val="00695C"/>
          <w:sz w:val="26"/>
          <w:szCs w:val="26"/>
        </w:rPr>
        <w:t xml:space="preserve">Email Drafts</w:t>
      </w:r>
    </w:p>
    <w:p>
      <w:pPr>
        <w:spacing w:before="100" w:after="100" w:line="360"/>
      </w:pPr>
      <w:r>
        <w:rPr>
          <w:rFonts w:ascii="Arial" w:cs="Arial" w:eastAsia="Arial" w:hAnsi="Arial"/>
          <w:sz w:val="24"/>
          <w:szCs w:val="24"/>
        </w:rPr>
        <w:t xml:space="preserve">I drafted two professional emails. The first is a request for an assignment deadline extension addressed to a faculty member. The second is an expression of internship interest addressed to a company’s recruitment team.</w:t>
      </w:r>
    </w:p>
    <w:p>
      <w:pPr>
        <w:spacing w:before="100" w:after="100" w:line="360"/>
      </w:pPr>
      <w:r>
        <w:rPr>
          <w:rFonts w:ascii="Arial" w:cs="Arial" w:eastAsia="Arial" w:hAnsi="Arial"/>
          <w:sz w:val="24"/>
          <w:szCs w:val="24"/>
        </w:rPr>
        <w:t xml:space="preserve"/>
      </w:r>
    </w:p>
    <w:p>
      <w:pPr>
        <w:spacing w:before="100" w:after="100" w:line="360"/>
      </w:pPr>
      <w:r>
        <w:rPr>
          <w:rFonts w:ascii="Arial" w:cs="Arial" w:eastAsia="Arial" w:hAnsi="Arial"/>
          <w:sz w:val="24"/>
          <w:szCs w:val="24"/>
        </w:rPr>
        <w:t xml:space="preserve">Both emails follow the five-part structure I documented in the Task 1 infographic: clear subject line, professional greeting, structured body (context → request → assurance), appropriate sign-off, and a complete signature including registration number and branch. This structure is not arbitrary — each element serves a purpose in making the email legible and professional to a busy recipient.</w:t>
      </w:r>
    </w:p>
    <w:p>
      <w:pPr>
        <w:spacing w:before="100" w:after="100" w:line="360"/>
      </w:pPr>
      <w:r>
        <w:rPr>
          <w:rFonts w:ascii="Arial" w:cs="Arial" w:eastAsia="Arial" w:hAnsi="Arial"/>
          <w:sz w:val="24"/>
          <w:szCs w:val="24"/>
        </w:rPr>
        <w:t xml:space="preserve"/>
      </w:r>
    </w:p>
    <w:p>
      <w:pPr>
        <w:pStyle w:val="Heading2"/>
        <w:spacing w:before="240" w:after="120"/>
      </w:pPr>
      <w:r>
        <w:rPr>
          <w:rFonts w:ascii="Arial" w:cs="Arial" w:eastAsia="Arial" w:hAnsi="Arial"/>
          <w:b/>
          <w:bCs/>
          <w:color w:val="00695C"/>
          <w:sz w:val="26"/>
          <w:szCs w:val="26"/>
        </w:rPr>
        <w:t xml:space="preserve">Key Learnings</w:t>
      </w:r>
    </w:p>
    <w:p>
      <w:pPr>
        <w:spacing w:before="100" w:after="100" w:line="360"/>
      </w:pPr>
      <w:r>
        <w:rPr>
          <w:rFonts w:ascii="Arial" w:cs="Arial" w:eastAsia="Arial" w:hAnsi="Arial"/>
          <w:sz w:val="24"/>
          <w:szCs w:val="24"/>
        </w:rPr>
        <w:t xml:space="preserve">The most useful insight from this task came from drafting the internship email. I realised how easy it is to write an email that is technically correct but reads as generic and forgettable. The line that made the email feel more human was the one where I mentioned a specific reason I was interested in that company — not just the company’s name, but something concrete about what they do.</w:t>
      </w:r>
    </w:p>
    <w:p>
      <w:pPr>
        <w:spacing w:before="100" w:after="100" w:line="360"/>
      </w:pPr>
      <w:r>
        <w:rPr>
          <w:rFonts w:ascii="Arial" w:cs="Arial" w:eastAsia="Arial" w:hAnsi="Arial"/>
          <w:sz w:val="24"/>
          <w:szCs w:val="24"/>
        </w:rPr>
        <w:t xml:space="preserve"/>
      </w:r>
    </w:p>
    <w:p>
      <w:pPr>
        <w:spacing w:before="100" w:after="100" w:line="360"/>
      </w:pPr>
      <w:r>
        <w:rPr>
          <w:rFonts w:ascii="Arial" w:cs="Arial" w:eastAsia="Arial" w:hAnsi="Arial"/>
          <w:sz w:val="24"/>
          <w:szCs w:val="24"/>
        </w:rPr>
        <w:t xml:space="preserve">The poor digital communication scenario I reflected on: A student at a university in Kerala posted a rant about a specific lecturer on a public Instagram story using the lecturer’s name. The post was screenshotted and shared with the faculty committee before the story expired. The student faced a formal disciplinary inquiry. What could have been done differently: if the student had a genuine grievance, the correct channel was a private email to the course coordinator or student grievance cell — not a public post. Public venting about named individuals in professional contexts almost never produces the desired outcome and frequently produces unintended consequences.</w:t>
      </w:r>
    </w:p>
    <w:p>
      <w:r>
        <w:br w:type="page"/>
      </w:r>
    </w:p>
    <w:p>
      <w:pPr>
        <w:pStyle w:val="Heading1"/>
        <w:spacing w:before="320" w:after="160"/>
      </w:pPr>
      <w:r>
        <w:rPr>
          <w:rFonts w:ascii="Arial" w:cs="Arial" w:eastAsia="Arial" w:hAnsi="Arial"/>
          <w:b/>
          <w:bCs/>
          <w:color w:val="1A237E"/>
          <w:sz w:val="32"/>
          <w:szCs w:val="32"/>
        </w:rPr>
        <w:t xml:space="preserve">Task 5 – Cybercrime Awareness Case Study &amp; Prevention</w:t>
      </w:r>
    </w:p>
    <w:p>
      <w:pPr>
        <w:pBdr>
          <w:bottom w:val="single" w:color="CCCCCC" w:sz="4" w:space="1"/>
        </w:pBdr>
        <w:spacing w:before="160" w:after="160"/>
      </w:pPr>
    </w:p>
    <w:p>
      <w:pPr>
        <w:pStyle w:val="Heading2"/>
        <w:spacing w:before="240" w:after="120"/>
      </w:pPr>
      <w:r>
        <w:rPr>
          <w:rFonts w:ascii="Arial" w:cs="Arial" w:eastAsia="Arial" w:hAnsi="Arial"/>
          <w:b/>
          <w:bCs/>
          <w:color w:val="00695C"/>
          <w:sz w:val="26"/>
          <w:szCs w:val="26"/>
        </w:rPr>
        <w:t xml:space="preserve">Case Study Overview</w:t>
      </w:r>
    </w:p>
    <w:p>
      <w:pPr>
        <w:spacing w:before="100" w:after="100" w:line="360"/>
      </w:pPr>
      <w:r>
        <w:rPr>
          <w:rFonts w:ascii="Arial" w:cs="Arial" w:eastAsia="Arial" w:hAnsi="Arial"/>
          <w:sz w:val="24"/>
          <w:szCs w:val="24"/>
        </w:rPr>
        <w:t xml:space="preserve">I chose UPI/Online Payment Fraud as my cybercrime type because it is the most prevalent financial crime targeting college students in India right now. The National Cyber Crime Portal receives tens of thousands of UPI-related complaints every month, and students — many using UPI independently for the first time — are among the most frequently targeted groups.</w:t>
      </w:r>
    </w:p>
    <w:p>
      <w:pPr>
        <w:spacing w:before="100" w:after="100" w:line="360"/>
      </w:pPr>
      <w:r>
        <w:rPr>
          <w:rFonts w:ascii="Arial" w:cs="Arial" w:eastAsia="Arial" w:hAnsi="Arial"/>
          <w:sz w:val="24"/>
          <w:szCs w:val="24"/>
        </w:rPr>
        <w:t xml:space="preserve"/>
      </w:r>
    </w:p>
    <w:p>
      <w:pPr>
        <w:spacing w:before="100" w:after="100" w:line="360"/>
      </w:pPr>
      <w:r>
        <w:rPr>
          <w:rFonts w:ascii="Arial" w:cs="Arial" w:eastAsia="Arial" w:hAnsi="Arial"/>
          <w:sz w:val="24"/>
          <w:szCs w:val="24"/>
        </w:rPr>
        <w:t xml:space="preserve">My case study documents “The OLX Seller Scam” — a realistic composite scenario based on documented complaint patterns. It follows a student selling a laptop who is contacted by a fraudster posing as a military officer, tricked into scanning QR codes, and loses nearly ₹19,000 before realising that scanning a UPI QR code sends money rather than receives it.</w:t>
      </w:r>
    </w:p>
    <w:p>
      <w:pPr>
        <w:spacing w:before="100" w:after="100" w:line="360"/>
      </w:pPr>
      <w:r>
        <w:rPr>
          <w:rFonts w:ascii="Arial" w:cs="Arial" w:eastAsia="Arial" w:hAnsi="Arial"/>
          <w:sz w:val="24"/>
          <w:szCs w:val="24"/>
        </w:rPr>
        <w:t xml:space="preserve"/>
      </w:r>
    </w:p>
    <w:p>
      <w:pPr>
        <w:spacing w:before="100" w:after="100" w:line="360"/>
      </w:pPr>
      <w:r>
        <w:rPr>
          <w:rFonts w:ascii="Arial" w:cs="Arial" w:eastAsia="Arial" w:hAnsi="Arial"/>
          <w:sz w:val="24"/>
          <w:szCs w:val="24"/>
        </w:rPr>
        <w:t xml:space="preserve">The step-by-step breakdown of how the fraud works is the most important part of the case study. Understanding the mechanism — not just the outcome — is what makes the awareness actually useful.</w:t>
      </w:r>
    </w:p>
    <w:p>
      <w:pPr>
        <w:spacing w:before="100" w:after="100" w:line="360"/>
      </w:pPr>
      <w:r>
        <w:rPr>
          <w:rFonts w:ascii="Arial" w:cs="Arial" w:eastAsia="Arial" w:hAnsi="Arial"/>
          <w:sz w:val="24"/>
          <w:szCs w:val="24"/>
        </w:rPr>
        <w:t xml:space="preserve"/>
      </w:r>
    </w:p>
    <w:p>
      <w:pPr>
        <w:pStyle w:val="Heading2"/>
        <w:spacing w:before="240" w:after="120"/>
      </w:pPr>
      <w:r>
        <w:rPr>
          <w:rFonts w:ascii="Arial" w:cs="Arial" w:eastAsia="Arial" w:hAnsi="Arial"/>
          <w:b/>
          <w:bCs/>
          <w:color w:val="00695C"/>
          <w:sz w:val="26"/>
          <w:szCs w:val="26"/>
        </w:rPr>
        <w:t xml:space="preserve">What Surprised Me</w:t>
      </w:r>
    </w:p>
    <w:p>
      <w:pPr>
        <w:spacing w:before="100" w:after="100" w:line="360"/>
      </w:pPr>
      <w:r>
        <w:rPr>
          <w:rFonts w:ascii="Arial" w:cs="Arial" w:eastAsia="Arial" w:hAnsi="Arial"/>
          <w:sz w:val="24"/>
          <w:szCs w:val="24"/>
        </w:rPr>
        <w:t xml:space="preserve">The thing that genuinely surprised me was how technically unsophisticated most UPI fraud is. These scams do not involve hacking, malware, or any advanced technology. They rely entirely on misunderstanding a basic feature of the payment system: that QR codes initiate outgoing payments. The fraud vector is a knowledge gap, not a technical vulnerability. That means the defence is also simple — just knowing how the system works.</w:t>
      </w:r>
    </w:p>
    <w:p>
      <w:pPr>
        <w:spacing w:before="100" w:after="100" w:line="360"/>
      </w:pPr>
      <w:r>
        <w:rPr>
          <w:rFonts w:ascii="Arial" w:cs="Arial" w:eastAsia="Arial" w:hAnsi="Arial"/>
          <w:sz w:val="24"/>
          <w:szCs w:val="24"/>
        </w:rPr>
        <w:t xml:space="preserve"/>
      </w:r>
    </w:p>
    <w:p>
      <w:pPr>
        <w:pStyle w:val="Heading2"/>
        <w:spacing w:before="240" w:after="120"/>
      </w:pPr>
      <w:r>
        <w:rPr>
          <w:rFonts w:ascii="Arial" w:cs="Arial" w:eastAsia="Arial" w:hAnsi="Arial"/>
          <w:b/>
          <w:bCs/>
          <w:color w:val="00695C"/>
          <w:sz w:val="26"/>
          <w:szCs w:val="26"/>
        </w:rPr>
        <w:t xml:space="preserve">One Habit I Will Change</w:t>
      </w:r>
    </w:p>
    <w:p>
      <w:pPr>
        <w:spacing w:before="100" w:after="100" w:line="360"/>
      </w:pPr>
      <w:r>
        <w:rPr>
          <w:rFonts w:ascii="Arial" w:cs="Arial" w:eastAsia="Arial" w:hAnsi="Arial"/>
          <w:sz w:val="24"/>
          <w:szCs w:val="24"/>
        </w:rPr>
        <w:t xml:space="preserve">I will never scan a QR code from an unknown person to “receive” money. I already knew this intellectually, but researching and writing the case study made the mechanism real enough that I feel it now as a reflex. I have also turned on transaction notifications for every rupee on my UPI app so I see each debit in real time, regardless of amount.</w:t>
      </w:r>
    </w:p>
    <w:p>
      <w:r>
        <w:br w:type="page"/>
      </w:r>
    </w:p>
    <w:p>
      <w:pPr>
        <w:pStyle w:val="Heading1"/>
        <w:spacing w:before="320" w:after="160"/>
      </w:pPr>
      <w:r>
        <w:rPr>
          <w:rFonts w:ascii="Arial" w:cs="Arial" w:eastAsia="Arial" w:hAnsi="Arial"/>
          <w:b/>
          <w:bCs/>
          <w:color w:val="1A237E"/>
          <w:sz w:val="32"/>
          <w:szCs w:val="32"/>
        </w:rPr>
        <w:t xml:space="preserve">Conclusion</w:t>
      </w:r>
    </w:p>
    <w:p>
      <w:pPr>
        <w:pBdr>
          <w:bottom w:val="single" w:color="CCCCCC" w:sz="4" w:space="1"/>
        </w:pBdr>
        <w:spacing w:before="160" w:after="160"/>
      </w:pPr>
    </w:p>
    <w:p>
      <w:pPr>
        <w:spacing w:before="100" w:after="100" w:line="360"/>
      </w:pPr>
      <w:r>
        <w:rPr>
          <w:rFonts w:ascii="Arial" w:cs="Arial" w:eastAsia="Arial" w:hAnsi="Arial"/>
          <w:sz w:val="24"/>
          <w:szCs w:val="24"/>
        </w:rPr>
        <w:t xml:space="preserve">This project was more useful than I expected a one-credit, pass/fail course to be. Each task produced something real: a shareable infographic, three active professional profiles, a live quiz, email templates I will actually use, and a cybercrime guide directly relevant to my life as a student.</w:t>
      </w:r>
    </w:p>
    <w:p>
      <w:pPr>
        <w:spacing w:before="100" w:after="100" w:line="360"/>
      </w:pPr>
      <w:r>
        <w:rPr>
          <w:rFonts w:ascii="Arial" w:cs="Arial" w:eastAsia="Arial" w:hAnsi="Arial"/>
          <w:sz w:val="24"/>
          <w:szCs w:val="24"/>
        </w:rPr>
        <w:t xml:space="preserve"/>
      </w:r>
    </w:p>
    <w:p>
      <w:pPr>
        <w:spacing w:before="100" w:after="100" w:line="360"/>
      </w:pPr>
      <w:r>
        <w:rPr>
          <w:rFonts w:ascii="Arial" w:cs="Arial" w:eastAsia="Arial" w:hAnsi="Arial"/>
          <w:sz w:val="24"/>
          <w:szCs w:val="24"/>
        </w:rPr>
        <w:t xml:space="preserve">The most lasting takeaway is that digital literacy is not a skill you learn once. It is a practice — something you maintain and update as the tools, threats, and professional norms evolve. The platforms I set up today will need to be tended. The security habits I documented will need to be kept. And the communication standards I practised here will compound into a reputation over the next four years.</w:t>
      </w:r>
    </w:p>
    <w:p>
      <w:pPr>
        <w:spacing w:before="100" w:after="100" w:line="360"/>
      </w:pPr>
      <w:r>
        <w:rPr>
          <w:rFonts w:ascii="Arial" w:cs="Arial" w:eastAsia="Arial" w:hAnsi="Arial"/>
          <w:sz w:val="24"/>
          <w:szCs w:val="24"/>
        </w:rPr>
        <w:t xml:space="preserve"/>
      </w:r>
    </w:p>
    <w:p>
      <w:pPr>
        <w:spacing w:before="100" w:after="100" w:line="360"/>
      </w:pPr>
      <w:r>
        <w:rPr>
          <w:rFonts w:ascii="Arial" w:cs="Arial" w:eastAsia="Arial" w:hAnsi="Arial"/>
          <w:sz w:val="24"/>
          <w:szCs w:val="24"/>
        </w:rPr>
        <w:t xml:space="preserve">My GitHub repository for this project is not just a submission. It is the first entry in what I intend to be a serious, sustained digital portfolio — one that reflects who I am, what I can do, and where I am headed in Cyber Security and beyond.</w:t>
      </w:r>
    </w:p>
    <w:p>
      <w:r>
        <w:br w:type="page"/>
      </w:r>
    </w:p>
    <w:p>
      <w:pPr>
        <w:pStyle w:val="Heading1"/>
        <w:spacing w:before="320" w:after="160"/>
      </w:pPr>
      <w:r>
        <w:rPr>
          <w:rFonts w:ascii="Arial" w:cs="Arial" w:eastAsia="Arial" w:hAnsi="Arial"/>
          <w:b/>
          <w:bCs/>
          <w:color w:val="1A237E"/>
          <w:sz w:val="32"/>
          <w:szCs w:val="32"/>
        </w:rPr>
        <w:t xml:space="preserve">References</w:t>
      </w:r>
    </w:p>
    <w:p>
      <w:pPr>
        <w:pBdr>
          <w:bottom w:val="single" w:color="CCCCCC" w:sz="4" w:space="1"/>
        </w:pBdr>
        <w:spacing w:before="160" w:after="160"/>
      </w:pPr>
    </w:p>
    <w:p>
      <w:pPr>
        <w:pStyle w:val="ListParagraph"/>
        <w:numPr>
          <w:ilvl w:val="0"/>
          <w:numId w:val="2"/>
        </w:numPr>
        <w:spacing w:before="60" w:after="60" w:line="320"/>
      </w:pPr>
      <w:r>
        <w:rPr>
          <w:rFonts w:ascii="Arial" w:cs="Arial" w:eastAsia="Arial" w:hAnsi="Arial"/>
          <w:sz w:val="24"/>
          <w:szCs w:val="24"/>
        </w:rPr>
        <w:t xml:space="preserve">National Cyber Crime Reporting Portal – cybercrime.gov.in</w:t>
      </w:r>
    </w:p>
    <w:p>
      <w:pPr>
        <w:pStyle w:val="ListParagraph"/>
        <w:numPr>
          <w:ilvl w:val="0"/>
          <w:numId w:val="2"/>
        </w:numPr>
        <w:spacing w:before="60" w:after="60" w:line="320"/>
      </w:pPr>
      <w:r>
        <w:rPr>
          <w:rFonts w:ascii="Arial" w:cs="Arial" w:eastAsia="Arial" w:hAnsi="Arial"/>
          <w:sz w:val="24"/>
          <w:szCs w:val="24"/>
        </w:rPr>
        <w:t xml:space="preserve">Canva – canva.com (used for Task 1 infographic design)</w:t>
      </w:r>
    </w:p>
    <w:p>
      <w:pPr>
        <w:pStyle w:val="ListParagraph"/>
        <w:numPr>
          <w:ilvl w:val="0"/>
          <w:numId w:val="2"/>
        </w:numPr>
        <w:spacing w:before="60" w:after="60" w:line="320"/>
      </w:pPr>
      <w:r>
        <w:rPr>
          <w:rFonts w:ascii="Arial" w:cs="Arial" w:eastAsia="Arial" w:hAnsi="Arial"/>
          <w:sz w:val="24"/>
          <w:szCs w:val="24"/>
        </w:rPr>
        <w:t xml:space="preserve">HackerRank – hackerrank.com (Python domain, introductory challenges)</w:t>
      </w:r>
    </w:p>
    <w:p>
      <w:pPr>
        <w:pStyle w:val="ListParagraph"/>
        <w:numPr>
          <w:ilvl w:val="0"/>
          <w:numId w:val="2"/>
        </w:numPr>
        <w:spacing w:before="60" w:after="60" w:line="320"/>
      </w:pPr>
      <w:r>
        <w:rPr>
          <w:rFonts w:ascii="Arial" w:cs="Arial" w:eastAsia="Arial" w:hAnsi="Arial"/>
          <w:sz w:val="24"/>
          <w:szCs w:val="24"/>
        </w:rPr>
        <w:t xml:space="preserve">Google Forms &amp; Google Sheets – forms.google.com (Task 3 quiz)</w:t>
      </w:r>
    </w:p>
    <w:p>
      <w:pPr>
        <w:pStyle w:val="ListParagraph"/>
        <w:numPr>
          <w:ilvl w:val="0"/>
          <w:numId w:val="2"/>
        </w:numPr>
        <w:spacing w:before="60" w:after="60" w:line="320"/>
      </w:pPr>
      <w:r>
        <w:rPr>
          <w:rFonts w:ascii="Arial" w:cs="Arial" w:eastAsia="Arial" w:hAnsi="Arial"/>
          <w:sz w:val="24"/>
          <w:szCs w:val="24"/>
        </w:rPr>
        <w:t xml:space="preserve">GitHub – github.com (profile README, repository creation)</w:t>
      </w:r>
    </w:p>
    <w:p>
      <w:pPr>
        <w:pStyle w:val="ListParagraph"/>
        <w:numPr>
          <w:ilvl w:val="0"/>
          <w:numId w:val="2"/>
        </w:numPr>
        <w:spacing w:before="60" w:after="60" w:line="320"/>
      </w:pPr>
      <w:r>
        <w:rPr>
          <w:rFonts w:ascii="Arial" w:cs="Arial" w:eastAsia="Arial" w:hAnsi="Arial"/>
          <w:sz w:val="24"/>
          <w:szCs w:val="24"/>
        </w:rPr>
        <w:t xml:space="preserve">LinkedIn – linkedin.com (education section setup)</w:t>
      </w:r>
    </w:p>
    <w:p>
      <w:pPr>
        <w:pStyle w:val="ListParagraph"/>
        <w:numPr>
          <w:ilvl w:val="0"/>
          <w:numId w:val="2"/>
        </w:numPr>
        <w:spacing w:before="60" w:after="60" w:line="320"/>
      </w:pPr>
      <w:r>
        <w:rPr>
          <w:rFonts w:ascii="Arial" w:cs="Arial" w:eastAsia="Arial" w:hAnsi="Arial"/>
          <w:sz w:val="24"/>
          <w:szCs w:val="24"/>
        </w:rPr>
        <w:t xml:space="preserve">Kaggle – kaggle.com (profile creation)</w:t>
      </w:r>
    </w:p>
    <w:p>
      <w:pPr>
        <w:pStyle w:val="ListParagraph"/>
        <w:numPr>
          <w:ilvl w:val="0"/>
          <w:numId w:val="2"/>
        </w:numPr>
        <w:spacing w:before="60" w:after="60" w:line="320"/>
      </w:pPr>
      <w:r>
        <w:rPr>
          <w:rFonts w:ascii="Arial" w:cs="Arial" w:eastAsia="Arial" w:hAnsi="Arial"/>
          <w:sz w:val="24"/>
          <w:szCs w:val="24"/>
        </w:rPr>
        <w:t xml:space="preserve">ET Tech, NDTV, The Hindu – UPI fraud reporting patterns (2023–2025), used for Task 5 case study research</w:t>
      </w:r>
    </w:p>
    <w:p>
      <w:pPr>
        <w:pStyle w:val="ListParagraph"/>
        <w:numPr>
          <w:ilvl w:val="0"/>
          <w:numId w:val="2"/>
        </w:numPr>
        <w:spacing w:before="60" w:after="60" w:line="320"/>
      </w:pPr>
      <w:r>
        <w:rPr>
          <w:rFonts w:ascii="Arial" w:cs="Arial" w:eastAsia="Arial" w:hAnsi="Arial"/>
          <w:sz w:val="24"/>
          <w:szCs w:val="24"/>
        </w:rPr>
        <w:t xml:space="preserve">VIT Bhopal University VITyarthi Portal – Assignment Brief, CSE0001 (2025–26)</w:t>
      </w:r>
    </w:p>
    <w:p>
      <w:pPr>
        <w:spacing w:before="400"/>
      </w:pPr>
    </w:p>
    <w:p>
      <w:pPr>
        <w:pBdr>
          <w:top w:val="single" w:color="CCCCCC" w:sz="4" w:space="1"/>
        </w:pBdr>
        <w:spacing w:before="240" w:after="80"/>
        <w:jc w:val="center"/>
      </w:pPr>
      <w:r>
        <w:rPr>
          <w:rFonts w:ascii="Arial" w:cs="Arial" w:eastAsia="Arial" w:hAnsi="Arial"/>
          <w:i/>
          <w:iCs/>
          <w:color w:val="888888"/>
          <w:sz w:val="20"/>
          <w:szCs w:val="20"/>
        </w:rPr>
        <w:t xml:space="preserve">Karthik Malepattu | 25MEI10096 | CSE0001 – Digital Literacy | VIT Bhopal University | 2025–26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237E"/>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069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2026-03-29T16:20:20.231Z</dcterms:created>
  <dcterms:modified xsi:type="dcterms:W3CDTF">2026-03-29T16:20:20.232Z</dcterms:modified>
</cp:coreProperties>
</file>

<file path=docProps/custom.xml><?xml version="1.0" encoding="utf-8"?>
<Properties xmlns="http://schemas.openxmlformats.org/officeDocument/2006/custom-properties" xmlns:vt="http://schemas.openxmlformats.org/officeDocument/2006/docPropsVTypes"/>
</file>