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0" w:after="160"/>
        <w:jc w:val="center"/>
      </w:pPr>
      <w:r>
        <w:rPr>
          <w:rFonts w:ascii="Calibri" w:hAnsi="Calibri" w:eastAsia="Calibri"/>
          <w:b/>
          <w:color w:val="0B2545"/>
          <w:sz w:val="40"/>
        </w:rPr>
        <w:t xml:space="preserve">SafetyPool:</w:t>
      </w:r>
      <w:r>
        <w:rPr>
          <w:rFonts w:ascii="Calibri" w:hAnsi="Calibri" w:eastAsia="Calibri"/>
          <w:b/>
          <w:color w:val="0B2545"/>
          <w:sz w:val="40"/>
        </w:rPr>
        <w:t xml:space="preserve"> </w:t>
      </w:r>
      <w:r>
        <w:rPr>
          <w:rFonts w:ascii="Calibri" w:hAnsi="Calibri" w:eastAsia="Calibri"/>
          <w:b/>
          <w:color w:val="0B2545"/>
          <w:sz w:val="40"/>
        </w:rPr>
        <w:t xml:space="preserve">Guided</w:t>
      </w:r>
      <w:r>
        <w:rPr>
          <w:rFonts w:ascii="Calibri" w:hAnsi="Calibri" w:eastAsia="Calibri"/>
          <w:b/>
          <w:color w:val="0B2545"/>
          <w:sz w:val="40"/>
        </w:rPr>
        <w:t xml:space="preserve"> </w:t>
      </w:r>
      <w:r>
        <w:rPr>
          <w:rFonts w:ascii="Calibri" w:hAnsi="Calibri" w:eastAsia="Calibri"/>
          <w:b/>
          <w:color w:val="0B2545"/>
          <w:sz w:val="40"/>
        </w:rPr>
        <w:t xml:space="preserve">Exploration</w:t>
      </w:r>
      <w:r>
        <w:rPr>
          <w:rFonts w:ascii="Calibri" w:hAnsi="Calibri" w:eastAsia="Calibri"/>
          <w:b/>
          <w:color w:val="0B2545"/>
          <w:sz w:val="40"/>
        </w:rPr>
        <w:t xml:space="preserve"> </w:t>
      </w:r>
      <w:r>
        <w:rPr>
          <w:rFonts w:ascii="Calibri" w:hAnsi="Calibri" w:eastAsia="Calibri"/>
          <w:b/>
          <w:color w:val="0B2545"/>
          <w:sz w:val="40"/>
        </w:rPr>
        <w:t xml:space="preserve">for</w:t>
      </w:r>
      <w:r>
        <w:rPr>
          <w:rFonts w:ascii="Calibri" w:hAnsi="Calibri" w:eastAsia="Calibri"/>
          <w:b/>
          <w:color w:val="0B2545"/>
          <w:sz w:val="40"/>
        </w:rPr>
        <w:t xml:space="preserve"> </w:t>
      </w:r>
      <w:r>
        <w:rPr>
          <w:rFonts w:ascii="Calibri" w:hAnsi="Calibri" w:eastAsia="Calibri"/>
          <w:b/>
          <w:color w:val="0B2545"/>
          <w:sz w:val="40"/>
        </w:rPr>
        <w:t xml:space="preserve">Deep</w:t>
      </w:r>
      <w:r>
        <w:rPr>
          <w:rFonts w:ascii="Calibri" w:hAnsi="Calibri" w:eastAsia="Calibri"/>
          <w:b/>
          <w:color w:val="0B2545"/>
          <w:sz w:val="40"/>
        </w:rPr>
        <w:t xml:space="preserve"> </w:t>
      </w:r>
      <w:r>
        <w:rPr>
          <w:rFonts w:ascii="Calibri" w:hAnsi="Calibri" w:eastAsia="Calibri"/>
          <w:b/>
          <w:color w:val="0B2545"/>
          <w:sz w:val="40"/>
        </w:rPr>
        <w:t xml:space="preserve">Reinforcement</w:t>
      </w:r>
      <w:r>
        <w:rPr>
          <w:rFonts w:ascii="Calibri" w:hAnsi="Calibri" w:eastAsia="Calibri"/>
          <w:b/>
          <w:color w:val="0B2545"/>
          <w:sz w:val="40"/>
        </w:rPr>
        <w:t xml:space="preserve"> </w:t>
      </w:r>
      <w:r>
        <w:rPr>
          <w:rFonts w:ascii="Calibri" w:hAnsi="Calibri" w:eastAsia="Calibri"/>
          <w:b/>
          <w:color w:val="0B2545"/>
          <w:sz w:val="40"/>
        </w:rPr>
        <w:t xml:space="preserve">Learning</w:t>
      </w:r>
    </w:p>
    <w:p>
      <w:pPr>
        <w:pStyle w:val="Author"/>
        <w:spacing w:after="20"/>
        <w:jc w:val="center"/>
      </w:pPr>
      <w:r>
        <w:rPr>
          <w:rFonts w:ascii="Calibri" w:hAnsi="Calibri" w:eastAsia="Calibri"/>
          <w:sz w:val="22"/>
        </w:rPr>
        <w:t xml:space="preserve">Sai</w:t>
      </w:r>
      <w:r>
        <w:rPr>
          <w:rFonts w:ascii="Calibri" w:hAnsi="Calibri" w:eastAsia="Calibri"/>
          <w:sz w:val="22"/>
        </w:rPr>
        <w:t xml:space="preserve"> </w:t>
      </w:r>
      <w:r>
        <w:rPr>
          <w:rFonts w:ascii="Calibri" w:hAnsi="Calibri" w:eastAsia="Calibri"/>
          <w:sz w:val="22"/>
        </w:rPr>
        <w:t xml:space="preserve">Durga</w:t>
      </w:r>
      <w:r>
        <w:rPr>
          <w:rFonts w:ascii="Calibri" w:hAnsi="Calibri" w:eastAsia="Calibri"/>
          <w:sz w:val="22"/>
        </w:rPr>
        <w:t xml:space="preserve"> </w:t>
      </w:r>
      <w:r>
        <w:rPr>
          <w:rFonts w:ascii="Calibri" w:hAnsi="Calibri" w:eastAsia="Calibri"/>
          <w:sz w:val="22"/>
        </w:rPr>
        <w:t xml:space="preserve">Karthik</w:t>
      </w:r>
      <w:r>
        <w:rPr>
          <w:rFonts w:ascii="Calibri" w:hAnsi="Calibri" w:eastAsia="Calibri"/>
          <w:sz w:val="22"/>
        </w:rPr>
        <w:t xml:space="preserve"> </w:t>
      </w:r>
      <w:r>
        <w:rPr>
          <w:rFonts w:ascii="Calibri" w:hAnsi="Calibri" w:eastAsia="Calibri"/>
          <w:sz w:val="22"/>
        </w:rPr>
        <w:t xml:space="preserve">Nandiraju</w:t>
      </w:r>
    </w:p>
    <w:p>
      <w:pPr>
        <w:pStyle w:val="Author"/>
        <w:spacing w:after="20"/>
        <w:jc w:val="center"/>
      </w:pPr>
      <w:r>
        <w:rPr>
          <w:rFonts w:ascii="Calibri" w:hAnsi="Calibri" w:eastAsia="Calibri"/>
          <w:sz w:val="22"/>
        </w:rPr>
        <w:t xml:space="preserve">Manolo</w:t>
      </w:r>
      <w:r>
        <w:rPr>
          <w:rFonts w:ascii="Calibri" w:hAnsi="Calibri" w:eastAsia="Calibri"/>
          <w:sz w:val="22"/>
        </w:rPr>
        <w:t xml:space="preserve"> </w:t>
      </w:r>
      <w:r>
        <w:rPr>
          <w:rFonts w:ascii="Calibri" w:hAnsi="Calibri" w:eastAsia="Calibri"/>
          <w:sz w:val="22"/>
        </w:rPr>
        <w:t xml:space="preserve">Dulva</w:t>
      </w:r>
      <w:r>
        <w:rPr>
          <w:rFonts w:ascii="Calibri" w:hAnsi="Calibri" w:eastAsia="Calibri"/>
          <w:sz w:val="22"/>
        </w:rPr>
        <w:t xml:space="preserve"> </w:t>
      </w:r>
      <w:r>
        <w:rPr>
          <w:rFonts w:ascii="Calibri" w:hAnsi="Calibri" w:eastAsia="Calibri"/>
          <w:sz w:val="22"/>
        </w:rPr>
        <w:t xml:space="preserve">Hina</w:t>
      </w:r>
    </w:p>
    <w:p>
      <w:pPr>
        <w:pStyle w:val="AbstractTitle"/>
        <w:spacing w:before="240" w:after="80"/>
        <w:jc w:val="left"/>
      </w:pPr>
      <w:r>
        <w:rPr>
          <w:rFonts w:ascii="Calibri" w:hAnsi="Calibri" w:eastAsia="Calibri"/>
          <w:b/>
          <w:color w:val="1F4D78"/>
          <w:sz w:val="22"/>
        </w:rPr>
        <w:t xml:space="preserve">Abstract</w:t>
      </w:r>
    </w:p>
    <w:p>
      <w:pPr>
        <w:pStyle w:val="Abstract"/>
        <w:spacing w:after="200" w:line="276" w:lineRule="auto"/>
        <w:ind w:left="360" w:right="360"/>
      </w:pPr>
      <w:r>
        <w:rPr>
          <w:rFonts w:ascii="Calibri" w:hAnsi="Calibri" w:eastAsia="Calibri"/>
          <w:sz w:val="20"/>
        </w:rPr>
        <w:t xml:space="preserve">Exploration</w:t>
      </w:r>
      <w:r>
        <w:rPr>
          <w:rFonts w:ascii="Calibri" w:hAnsi="Calibri" w:eastAsia="Calibri"/>
          <w:sz w:val="20"/>
        </w:rPr>
        <w:t xml:space="preserve"> </w:t>
      </w:r>
      <w:r>
        <w:rPr>
          <w:rFonts w:ascii="Calibri" w:hAnsi="Calibri" w:eastAsia="Calibri"/>
          <w:sz w:val="20"/>
        </w:rPr>
        <w:t xml:space="preserve">is</w:t>
      </w:r>
      <w:r>
        <w:rPr>
          <w:rFonts w:ascii="Calibri" w:hAnsi="Calibri" w:eastAsia="Calibri"/>
          <w:sz w:val="20"/>
        </w:rPr>
        <w:t xml:space="preserve"> </w:t>
      </w:r>
      <w:r>
        <w:rPr>
          <w:rFonts w:ascii="Calibri" w:hAnsi="Calibri" w:eastAsia="Calibri"/>
          <w:sz w:val="20"/>
        </w:rPr>
        <w:t xml:space="preserve">necessary</w:t>
      </w:r>
      <w:r>
        <w:rPr>
          <w:rFonts w:ascii="Calibri" w:hAnsi="Calibri" w:eastAsia="Calibri"/>
          <w:sz w:val="20"/>
        </w:rPr>
        <w:t xml:space="preserve"> </w:t>
      </w:r>
      <w:r>
        <w:rPr>
          <w:rFonts w:ascii="Calibri" w:hAnsi="Calibri" w:eastAsia="Calibri"/>
          <w:sz w:val="20"/>
        </w:rPr>
        <w:t xml:space="preserve">in</w:t>
      </w:r>
      <w:r>
        <w:rPr>
          <w:rFonts w:ascii="Calibri" w:hAnsi="Calibri" w:eastAsia="Calibri"/>
          <w:sz w:val="20"/>
        </w:rPr>
        <w:t xml:space="preserve"> </w:t>
      </w:r>
      <w:r>
        <w:rPr>
          <w:rFonts w:ascii="Calibri" w:hAnsi="Calibri" w:eastAsia="Calibri"/>
          <w:sz w:val="20"/>
        </w:rPr>
        <w:t xml:space="preserve">deep</w:t>
      </w:r>
      <w:r>
        <w:rPr>
          <w:rFonts w:ascii="Calibri" w:hAnsi="Calibri" w:eastAsia="Calibri"/>
          <w:sz w:val="20"/>
        </w:rPr>
        <w:t xml:space="preserve"> </w:t>
      </w:r>
      <w:r>
        <w:rPr>
          <w:rFonts w:ascii="Calibri" w:hAnsi="Calibri" w:eastAsia="Calibri"/>
          <w:sz w:val="20"/>
        </w:rPr>
        <w:t xml:space="preserve">reinforcement</w:t>
      </w:r>
      <w:r>
        <w:rPr>
          <w:rFonts w:ascii="Calibri" w:hAnsi="Calibri" w:eastAsia="Calibri"/>
          <w:sz w:val="20"/>
        </w:rPr>
        <w:t xml:space="preserve"> </w:t>
      </w:r>
      <w:r>
        <w:rPr>
          <w:rFonts w:ascii="Calibri" w:hAnsi="Calibri" w:eastAsia="Calibri"/>
          <w:sz w:val="20"/>
        </w:rPr>
        <w:t xml:space="preserve">learning,</w:t>
      </w:r>
      <w:r>
        <w:rPr>
          <w:rFonts w:ascii="Calibri" w:hAnsi="Calibri" w:eastAsia="Calibri"/>
          <w:sz w:val="20"/>
        </w:rPr>
        <w:t xml:space="preserve"> </w:t>
      </w:r>
      <w:r>
        <w:rPr>
          <w:rFonts w:ascii="Calibri" w:hAnsi="Calibri" w:eastAsia="Calibri"/>
          <w:sz w:val="20"/>
        </w:rPr>
        <w:t xml:space="preserve">but</w:t>
      </w:r>
      <w:r>
        <w:rPr>
          <w:rFonts w:ascii="Calibri" w:hAnsi="Calibri" w:eastAsia="Calibri"/>
          <w:sz w:val="20"/>
        </w:rPr>
        <w:t xml:space="preserve"> </w:t>
      </w:r>
      <w:r>
        <w:rPr>
          <w:rFonts w:ascii="Calibri" w:hAnsi="Calibri" w:eastAsia="Calibri"/>
          <w:sz w:val="20"/>
        </w:rPr>
        <w:t xml:space="preserve">random</w:t>
      </w:r>
      <w:r>
        <w:rPr>
          <w:rFonts w:ascii="Calibri" w:hAnsi="Calibri" w:eastAsia="Calibri"/>
          <w:sz w:val="20"/>
        </w:rPr>
        <w:t xml:space="preserve"> </w:t>
      </w:r>
      <w:r>
        <w:rPr>
          <w:rFonts w:ascii="Calibri" w:hAnsi="Calibri" w:eastAsia="Calibri"/>
          <w:sz w:val="20"/>
        </w:rPr>
        <w:t xml:space="preserve">actions</w:t>
      </w:r>
      <w:r>
        <w:rPr>
          <w:rFonts w:ascii="Calibri" w:hAnsi="Calibri" w:eastAsia="Calibri"/>
          <w:sz w:val="20"/>
        </w:rPr>
        <w:t xml:space="preserve"> </w:t>
      </w:r>
      <w:r>
        <w:rPr>
          <w:rFonts w:ascii="Calibri" w:hAnsi="Calibri" w:eastAsia="Calibri"/>
          <w:sz w:val="20"/>
        </w:rPr>
        <w:t xml:space="preserve">can</w:t>
      </w:r>
      <w:r>
        <w:rPr>
          <w:rFonts w:ascii="Calibri" w:hAnsi="Calibri" w:eastAsia="Calibri"/>
          <w:sz w:val="20"/>
        </w:rPr>
        <w:t xml:space="preserve"> </w:t>
      </w:r>
      <w:r>
        <w:rPr>
          <w:rFonts w:ascii="Calibri" w:hAnsi="Calibri" w:eastAsia="Calibri"/>
          <w:sz w:val="20"/>
        </w:rPr>
        <w:t xml:space="preserve">create</w:t>
      </w:r>
      <w:r>
        <w:rPr>
          <w:rFonts w:ascii="Calibri" w:hAnsi="Calibri" w:eastAsia="Calibri"/>
          <w:sz w:val="20"/>
        </w:rPr>
        <w:t xml:space="preserve"> </w:t>
      </w:r>
      <w:r>
        <w:rPr>
          <w:rFonts w:ascii="Calibri" w:hAnsi="Calibri" w:eastAsia="Calibri"/>
          <w:sz w:val="20"/>
        </w:rPr>
        <w:t xml:space="preserve">avoidable</w:t>
      </w:r>
      <w:r>
        <w:rPr>
          <w:rFonts w:ascii="Calibri" w:hAnsi="Calibri" w:eastAsia="Calibri"/>
          <w:sz w:val="20"/>
        </w:rPr>
        <w:t xml:space="preserve"> </w:t>
      </w:r>
      <w:r>
        <w:rPr>
          <w:rFonts w:ascii="Calibri" w:hAnsi="Calibri" w:eastAsia="Calibri"/>
          <w:sz w:val="20"/>
        </w:rPr>
        <w:t xml:space="preserve">collisions</w:t>
      </w:r>
      <w:r>
        <w:rPr>
          <w:rFonts w:ascii="Calibri" w:hAnsi="Calibri" w:eastAsia="Calibri"/>
          <w:sz w:val="20"/>
        </w:rPr>
        <w:t xml:space="preserve"> </w:t>
      </w:r>
      <w:r>
        <w:rPr>
          <w:rFonts w:ascii="Calibri" w:hAnsi="Calibri" w:eastAsia="Calibri"/>
          <w:sz w:val="20"/>
        </w:rPr>
        <w:t xml:space="preserve">in</w:t>
      </w:r>
      <w:r>
        <w:rPr>
          <w:rFonts w:ascii="Calibri" w:hAnsi="Calibri" w:eastAsia="Calibri"/>
          <w:sz w:val="20"/>
        </w:rPr>
        <w:t xml:space="preserve"> </w:t>
      </w:r>
      <w:r>
        <w:rPr>
          <w:rFonts w:ascii="Calibri" w:hAnsi="Calibri" w:eastAsia="Calibri"/>
          <w:sz w:val="20"/>
        </w:rPr>
        <w:t xml:space="preserve">driving</w:t>
      </w:r>
      <w:r>
        <w:rPr>
          <w:rFonts w:ascii="Calibri" w:hAnsi="Calibri" w:eastAsia="Calibri"/>
          <w:sz w:val="20"/>
        </w:rPr>
        <w:t xml:space="preserve"> </w:t>
      </w:r>
      <w:r>
        <w:rPr>
          <w:rFonts w:ascii="Calibri" w:hAnsi="Calibri" w:eastAsia="Calibri"/>
          <w:sz w:val="20"/>
        </w:rPr>
        <w:t xml:space="preserve">simulations.</w:t>
      </w:r>
      <w:r>
        <w:rPr>
          <w:rFonts w:ascii="Calibri" w:hAnsi="Calibri" w:eastAsia="Calibri"/>
          <w:sz w:val="20"/>
        </w:rPr>
        <w:t xml:space="preserve"> </w:t>
      </w:r>
      <w:r>
        <w:rPr>
          <w:rFonts w:ascii="Calibri" w:hAnsi="Calibri" w:eastAsia="Calibri"/>
          <w:sz w:val="20"/>
        </w:rPr>
        <w:t xml:space="preserve">We</w:t>
      </w:r>
      <w:r>
        <w:rPr>
          <w:rFonts w:ascii="Calibri" w:hAnsi="Calibri" w:eastAsia="Calibri"/>
          <w:sz w:val="20"/>
        </w:rPr>
        <w:t xml:space="preserve"> </w:t>
      </w:r>
      <w:r>
        <w:rPr>
          <w:rFonts w:ascii="Calibri" w:hAnsi="Calibri" w:eastAsia="Calibri"/>
          <w:sz w:val="20"/>
        </w:rPr>
        <w:t xml:space="preserve">present</w:t>
      </w:r>
      <w:r>
        <w:rPr>
          <w:rFonts w:ascii="Calibri" w:hAnsi="Calibri" w:eastAsia="Calibri"/>
          <w:sz w:val="20"/>
        </w:rPr>
        <w:t xml:space="preserve"> </w:t>
      </w:r>
      <w:r>
        <w:rPr>
          <w:rFonts w:ascii="Calibri" w:hAnsi="Calibri" w:eastAsia="Calibri"/>
          <w:sz w:val="20"/>
        </w:rPr>
        <w:t xml:space="preserve">SafetyPool,</w:t>
      </w:r>
      <w:r>
        <w:rPr>
          <w:rFonts w:ascii="Calibri" w:hAnsi="Calibri" w:eastAsia="Calibri"/>
          <w:sz w:val="20"/>
        </w:rPr>
        <w:t xml:space="preserve"> </w:t>
      </w:r>
      <w:r>
        <w:rPr>
          <w:rFonts w:ascii="Calibri" w:hAnsi="Calibri" w:eastAsia="Calibri"/>
          <w:sz w:val="20"/>
        </w:rPr>
        <w:t xml:space="preserve">a</w:t>
      </w:r>
      <w:r>
        <w:rPr>
          <w:rFonts w:ascii="Calibri" w:hAnsi="Calibri" w:eastAsia="Calibri"/>
          <w:sz w:val="20"/>
        </w:rPr>
        <w:t xml:space="preserve"> </w:t>
      </w:r>
      <w:r>
        <w:rPr>
          <w:rFonts w:ascii="Calibri" w:hAnsi="Calibri" w:eastAsia="Calibri"/>
          <w:sz w:val="20"/>
        </w:rPr>
        <w:t xml:space="preserve">Deep</w:t>
      </w:r>
      <w:r>
        <w:rPr>
          <w:rFonts w:ascii="Calibri" w:hAnsi="Calibri" w:eastAsia="Calibri"/>
          <w:sz w:val="20"/>
        </w:rPr>
        <w:t xml:space="preserve"> </w:t>
      </w:r>
      <w:r>
        <w:rPr>
          <w:rFonts w:ascii="Calibri" w:hAnsi="Calibri" w:eastAsia="Calibri"/>
          <w:sz w:val="20"/>
        </w:rPr>
        <w:t xml:space="preserve">Q-Network</w:t>
      </w:r>
      <w:r>
        <w:rPr>
          <w:rFonts w:ascii="Calibri" w:hAnsi="Calibri" w:eastAsia="Calibri"/>
          <w:sz w:val="20"/>
        </w:rPr>
        <w:t xml:space="preserve"> </w:t>
      </w:r>
      <w:r>
        <w:rPr>
          <w:rFonts w:ascii="Calibri" w:hAnsi="Calibri" w:eastAsia="Calibri"/>
          <w:sz w:val="20"/>
        </w:rPr>
        <w:t xml:space="preserve">(DQN)</w:t>
      </w:r>
      <w:r>
        <w:rPr>
          <w:rFonts w:ascii="Calibri" w:hAnsi="Calibri" w:eastAsia="Calibri"/>
          <w:sz w:val="20"/>
        </w:rPr>
        <w:t xml:space="preserve"> </w:t>
      </w:r>
      <w:r>
        <w:rPr>
          <w:rFonts w:ascii="Calibri" w:hAnsi="Calibri" w:eastAsia="Calibri"/>
          <w:sz w:val="20"/>
        </w:rPr>
        <w:t xml:space="preserve">training</w:t>
      </w:r>
      <w:r>
        <w:rPr>
          <w:rFonts w:ascii="Calibri" w:hAnsi="Calibri" w:eastAsia="Calibri"/>
          <w:sz w:val="20"/>
        </w:rPr>
        <w:t xml:space="preserve"> </w:t>
      </w:r>
      <w:r>
        <w:rPr>
          <w:rFonts w:ascii="Calibri" w:hAnsi="Calibri" w:eastAsia="Calibri"/>
          <w:sz w:val="20"/>
        </w:rPr>
        <w:t xml:space="preserve">framework</w:t>
      </w:r>
      <w:r>
        <w:rPr>
          <w:rFonts w:ascii="Calibri" w:hAnsi="Calibri" w:eastAsia="Calibri"/>
          <w:sz w:val="20"/>
        </w:rPr>
        <w:t xml:space="preserve"> </w:t>
      </w:r>
      <w:r>
        <w:rPr>
          <w:rFonts w:ascii="Calibri" w:hAnsi="Calibri" w:eastAsia="Calibri"/>
          <w:sz w:val="20"/>
        </w:rPr>
        <w:t xml:space="preserve">that</w:t>
      </w:r>
      <w:r>
        <w:rPr>
          <w:rFonts w:ascii="Calibri" w:hAnsi="Calibri" w:eastAsia="Calibri"/>
          <w:sz w:val="20"/>
        </w:rPr>
        <w:t xml:space="preserve"> </w:t>
      </w:r>
      <w:r>
        <w:rPr>
          <w:rFonts w:ascii="Calibri" w:hAnsi="Calibri" w:eastAsia="Calibri"/>
          <w:sz w:val="20"/>
        </w:rPr>
        <w:t xml:space="preserve">stores</w:t>
      </w:r>
      <w:r>
        <w:rPr>
          <w:rFonts w:ascii="Calibri" w:hAnsi="Calibri" w:eastAsia="Calibri"/>
          <w:sz w:val="20"/>
        </w:rPr>
        <w:t xml:space="preserve"> </w:t>
      </w:r>
      <w:r>
        <w:rPr>
          <w:rFonts w:ascii="Calibri" w:hAnsi="Calibri" w:eastAsia="Calibri"/>
          <w:sz w:val="20"/>
        </w:rPr>
        <w:t xml:space="preserve">local</w:t>
      </w:r>
      <w:r>
        <w:rPr>
          <w:rFonts w:ascii="Calibri" w:hAnsi="Calibri" w:eastAsia="Calibri"/>
          <w:sz w:val="20"/>
        </w:rPr>
        <w:t xml:space="preserve"> </w:t>
      </w:r>
      <w:r>
        <w:rPr>
          <w:rFonts w:ascii="Calibri" w:hAnsi="Calibri" w:eastAsia="Calibri"/>
          <w:sz w:val="20"/>
        </w:rPr>
        <w:t xml:space="preserve">evidence</w:t>
      </w:r>
      <w:r>
        <w:rPr>
          <w:rFonts w:ascii="Calibri" w:hAnsi="Calibri" w:eastAsia="Calibri"/>
          <w:sz w:val="20"/>
        </w:rPr>
        <w:t xml:space="preserve"> </w:t>
      </w:r>
      <w:r>
        <w:rPr>
          <w:rFonts w:ascii="Calibri" w:hAnsi="Calibri" w:eastAsia="Calibri"/>
          <w:sz w:val="20"/>
        </w:rPr>
        <w:t xml:space="preserve">about</w:t>
      </w:r>
      <w:r>
        <w:rPr>
          <w:rFonts w:ascii="Calibri" w:hAnsi="Calibri" w:eastAsia="Calibri"/>
          <w:sz w:val="20"/>
        </w:rPr>
        <w:t xml:space="preserve"> </w:t>
      </w:r>
      <w:r>
        <w:rPr>
          <w:rFonts w:ascii="Calibri" w:hAnsi="Calibri" w:eastAsia="Calibri"/>
          <w:sz w:val="20"/>
        </w:rPr>
        <w:t xml:space="preserve">previously</w:t>
      </w:r>
      <w:r>
        <w:rPr>
          <w:rFonts w:ascii="Calibri" w:hAnsi="Calibri" w:eastAsia="Calibri"/>
          <w:sz w:val="20"/>
        </w:rPr>
        <w:t xml:space="preserve"> </w:t>
      </w:r>
      <w:r>
        <w:rPr>
          <w:rFonts w:ascii="Calibri" w:hAnsi="Calibri" w:eastAsia="Calibri"/>
          <w:sz w:val="20"/>
        </w:rPr>
        <w:t xml:space="preserve">visited</w:t>
      </w:r>
      <w:r>
        <w:rPr>
          <w:rFonts w:ascii="Calibri" w:hAnsi="Calibri" w:eastAsia="Calibri"/>
          <w:sz w:val="20"/>
        </w:rPr>
        <w:t xml:space="preserve"> </w:t>
      </w:r>
      <w:r>
        <w:rPr>
          <w:rFonts w:ascii="Calibri" w:hAnsi="Calibri" w:eastAsia="Calibri"/>
          <w:sz w:val="20"/>
        </w:rPr>
        <w:t xml:space="preserve">states</w:t>
      </w:r>
      <w:r>
        <w:rPr>
          <w:rFonts w:ascii="Calibri" w:hAnsi="Calibri" w:eastAsia="Calibri"/>
          <w:sz w:val="20"/>
        </w:rPr>
        <w:t xml:space="preserve"> </w:t>
      </w:r>
      <w:r>
        <w:rPr>
          <w:rFonts w:ascii="Calibri" w:hAnsi="Calibri" w:eastAsia="Calibri"/>
          <w:sz w:val="20"/>
        </w:rPr>
        <w:t xml:space="preserve">and</w:t>
      </w:r>
      <w:r>
        <w:rPr>
          <w:rFonts w:ascii="Calibri" w:hAnsi="Calibri" w:eastAsia="Calibri"/>
          <w:sz w:val="20"/>
        </w:rPr>
        <w:t xml:space="preserve"> </w:t>
      </w:r>
      <w:r>
        <w:rPr>
          <w:rFonts w:ascii="Calibri" w:hAnsi="Calibri" w:eastAsia="Calibri"/>
          <w:sz w:val="20"/>
        </w:rPr>
        <w:t xml:space="preserve">uses</w:t>
      </w:r>
      <w:r>
        <w:rPr>
          <w:rFonts w:ascii="Calibri" w:hAnsi="Calibri" w:eastAsia="Calibri"/>
          <w:sz w:val="20"/>
        </w:rPr>
        <w:t xml:space="preserve"> </w:t>
      </w:r>
      <w:r>
        <w:rPr>
          <w:rFonts w:ascii="Calibri" w:hAnsi="Calibri" w:eastAsia="Calibri"/>
          <w:sz w:val="20"/>
        </w:rPr>
        <w:t xml:space="preserve">this</w:t>
      </w:r>
      <w:r>
        <w:rPr>
          <w:rFonts w:ascii="Calibri" w:hAnsi="Calibri" w:eastAsia="Calibri"/>
          <w:sz w:val="20"/>
        </w:rPr>
        <w:t xml:space="preserve"> </w:t>
      </w:r>
      <w:r>
        <w:rPr>
          <w:rFonts w:ascii="Calibri" w:hAnsi="Calibri" w:eastAsia="Calibri"/>
          <w:sz w:val="20"/>
        </w:rPr>
        <w:t xml:space="preserve">evidence</w:t>
      </w:r>
      <w:r>
        <w:rPr>
          <w:rFonts w:ascii="Calibri" w:hAnsi="Calibri" w:eastAsia="Calibri"/>
          <w:sz w:val="20"/>
        </w:rPr>
        <w:t xml:space="preserve"> </w:t>
      </w:r>
      <w:r>
        <w:rPr>
          <w:rFonts w:ascii="Calibri" w:hAnsi="Calibri" w:eastAsia="Calibri"/>
          <w:sz w:val="20"/>
        </w:rPr>
        <w:t xml:space="preserve">to</w:t>
      </w:r>
      <w:r>
        <w:rPr>
          <w:rFonts w:ascii="Calibri" w:hAnsi="Calibri" w:eastAsia="Calibri"/>
          <w:sz w:val="20"/>
        </w:rPr>
        <w:t xml:space="preserve"> </w:t>
      </w:r>
      <w:r>
        <w:rPr>
          <w:rFonts w:ascii="Calibri" w:hAnsi="Calibri" w:eastAsia="Calibri"/>
          <w:sz w:val="20"/>
        </w:rPr>
        <w:t xml:space="preserve">block</w:t>
      </w:r>
      <w:r>
        <w:rPr>
          <w:rFonts w:ascii="Calibri" w:hAnsi="Calibri" w:eastAsia="Calibri"/>
          <w:sz w:val="20"/>
        </w:rPr>
        <w:t xml:space="preserve"> </w:t>
      </w:r>
      <w:r>
        <w:rPr>
          <w:rFonts w:ascii="Calibri" w:hAnsi="Calibri" w:eastAsia="Calibri"/>
          <w:sz w:val="20"/>
        </w:rPr>
        <w:t xml:space="preserve">actions</w:t>
      </w:r>
      <w:r>
        <w:rPr>
          <w:rFonts w:ascii="Calibri" w:hAnsi="Calibri" w:eastAsia="Calibri"/>
          <w:sz w:val="20"/>
        </w:rPr>
        <w:t xml:space="preserve"> </w:t>
      </w:r>
      <w:r>
        <w:rPr>
          <w:rFonts w:ascii="Calibri" w:hAnsi="Calibri" w:eastAsia="Calibri"/>
          <w:sz w:val="20"/>
        </w:rPr>
        <w:t xml:space="preserve">associated</w:t>
      </w:r>
      <w:r>
        <w:rPr>
          <w:rFonts w:ascii="Calibri" w:hAnsi="Calibri" w:eastAsia="Calibri"/>
          <w:sz w:val="20"/>
        </w:rPr>
        <w:t xml:space="preserve"> </w:t>
      </w:r>
      <w:r>
        <w:rPr>
          <w:rFonts w:ascii="Calibri" w:hAnsi="Calibri" w:eastAsia="Calibri"/>
          <w:sz w:val="20"/>
        </w:rPr>
        <w:t xml:space="preserve">with</w:t>
      </w:r>
      <w:r>
        <w:rPr>
          <w:rFonts w:ascii="Calibri" w:hAnsi="Calibri" w:eastAsia="Calibri"/>
          <w:sz w:val="20"/>
        </w:rPr>
        <w:t xml:space="preserve"> </w:t>
      </w:r>
      <w:r>
        <w:rPr>
          <w:rFonts w:ascii="Calibri" w:hAnsi="Calibri" w:eastAsia="Calibri"/>
          <w:sz w:val="20"/>
        </w:rPr>
        <w:t xml:space="preserve">near-term</w:t>
      </w:r>
      <w:r>
        <w:rPr>
          <w:rFonts w:ascii="Calibri" w:hAnsi="Calibri" w:eastAsia="Calibri"/>
          <w:sz w:val="20"/>
        </w:rPr>
        <w:t xml:space="preserve"> </w:t>
      </w:r>
      <w:r>
        <w:rPr>
          <w:rFonts w:ascii="Calibri" w:hAnsi="Calibri" w:eastAsia="Calibri"/>
          <w:sz w:val="20"/>
        </w:rPr>
        <w:t xml:space="preserve">hazards</w:t>
      </w:r>
      <w:r>
        <w:rPr>
          <w:rFonts w:ascii="Calibri" w:hAnsi="Calibri" w:eastAsia="Calibri"/>
          <w:sz w:val="20"/>
        </w:rPr>
        <w:t xml:space="preserve"> </w:t>
      </w:r>
      <w:r>
        <w:rPr>
          <w:rFonts w:ascii="Calibri" w:hAnsi="Calibri" w:eastAsia="Calibri"/>
          <w:sz w:val="20"/>
        </w:rPr>
        <w:t xml:space="preserve">during</w:t>
      </w:r>
      <w:r>
        <w:rPr>
          <w:rFonts w:ascii="Calibri" w:hAnsi="Calibri" w:eastAsia="Calibri"/>
          <w:sz w:val="20"/>
        </w:rPr>
        <w:t xml:space="preserve"> </w:t>
      </w:r>
      <w:r>
        <w:rPr>
          <w:rFonts w:ascii="Calibri" w:hAnsi="Calibri" w:eastAsia="Calibri"/>
          <w:sz w:val="20"/>
        </w:rPr>
        <w:t xml:space="preserve">exploration.</w:t>
      </w:r>
      <w:r>
        <w:rPr>
          <w:rFonts w:ascii="Calibri" w:hAnsi="Calibri" w:eastAsia="Calibri"/>
          <w:sz w:val="20"/>
        </w:rPr>
        <w:t xml:space="preserve"> </w:t>
      </w:r>
      <w:r>
        <w:rPr>
          <w:rFonts w:ascii="Calibri" w:hAnsi="Calibri" w:eastAsia="Calibri"/>
          <w:sz w:val="20"/>
        </w:rPr>
        <w:t xml:space="preserve">The</w:t>
      </w:r>
      <w:r>
        <w:rPr>
          <w:rFonts w:ascii="Calibri" w:hAnsi="Calibri" w:eastAsia="Calibri"/>
          <w:sz w:val="20"/>
        </w:rPr>
        <w:t xml:space="preserve"> </w:t>
      </w:r>
      <w:r>
        <w:rPr>
          <w:rFonts w:ascii="Calibri" w:hAnsi="Calibri" w:eastAsia="Calibri"/>
          <w:sz w:val="20"/>
        </w:rPr>
        <w:t xml:space="preserve">learned</w:t>
      </w:r>
      <w:r>
        <w:rPr>
          <w:rFonts w:ascii="Calibri" w:hAnsi="Calibri" w:eastAsia="Calibri"/>
          <w:sz w:val="20"/>
        </w:rPr>
        <w:t xml:space="preserve"> </w:t>
      </w:r>
      <w:r>
        <w:rPr>
          <w:rFonts w:ascii="Calibri" w:hAnsi="Calibri" w:eastAsia="Calibri"/>
          <w:sz w:val="20"/>
        </w:rPr>
        <w:t xml:space="preserve">network</w:t>
      </w:r>
      <w:r>
        <w:rPr>
          <w:rFonts w:ascii="Calibri" w:hAnsi="Calibri" w:eastAsia="Calibri"/>
          <w:sz w:val="20"/>
        </w:rPr>
        <w:t xml:space="preserve"> </w:t>
      </w:r>
      <w:r>
        <w:rPr>
          <w:rFonts w:ascii="Calibri" w:hAnsi="Calibri" w:eastAsia="Calibri"/>
          <w:sz w:val="20"/>
        </w:rPr>
        <w:t xml:space="preserve">is</w:t>
      </w:r>
      <w:r>
        <w:rPr>
          <w:rFonts w:ascii="Calibri" w:hAnsi="Calibri" w:eastAsia="Calibri"/>
          <w:sz w:val="20"/>
        </w:rPr>
        <w:t xml:space="preserve"> </w:t>
      </w:r>
      <w:r>
        <w:rPr>
          <w:rFonts w:ascii="Calibri" w:hAnsi="Calibri" w:eastAsia="Calibri"/>
          <w:sz w:val="20"/>
        </w:rPr>
        <w:t xml:space="preserve">evaluated</w:t>
      </w:r>
      <w:r>
        <w:rPr>
          <w:rFonts w:ascii="Calibri" w:hAnsi="Calibri" w:eastAsia="Calibri"/>
          <w:sz w:val="20"/>
        </w:rPr>
        <w:t xml:space="preserve"> </w:t>
      </w:r>
      <w:r>
        <w:rPr>
          <w:rFonts w:ascii="Calibri" w:hAnsi="Calibri" w:eastAsia="Calibri"/>
          <w:sz w:val="20"/>
        </w:rPr>
        <w:t xml:space="preserve">without</w:t>
      </w:r>
      <w:r>
        <w:rPr>
          <w:rFonts w:ascii="Calibri" w:hAnsi="Calibri" w:eastAsia="Calibri"/>
          <w:sz w:val="20"/>
        </w:rPr>
        <w:t xml:space="preserve"> </w:t>
      </w:r>
      <w:r>
        <w:rPr>
          <w:rFonts w:ascii="Calibri" w:hAnsi="Calibri" w:eastAsia="Calibri"/>
          <w:sz w:val="20"/>
        </w:rPr>
        <w:t xml:space="preserve">a</w:t>
      </w:r>
      <w:r>
        <w:rPr>
          <w:rFonts w:ascii="Calibri" w:hAnsi="Calibri" w:eastAsia="Calibri"/>
          <w:sz w:val="20"/>
        </w:rPr>
        <w:t xml:space="preserve"> </w:t>
      </w:r>
      <w:r>
        <w:rPr>
          <w:rFonts w:ascii="Calibri" w:hAnsi="Calibri" w:eastAsia="Calibri"/>
          <w:sz w:val="20"/>
        </w:rPr>
        <w:t xml:space="preserve">safety</w:t>
      </w:r>
      <w:r>
        <w:rPr>
          <w:rFonts w:ascii="Calibri" w:hAnsi="Calibri" w:eastAsia="Calibri"/>
          <w:sz w:val="20"/>
        </w:rPr>
        <w:t xml:space="preserve"> </w:t>
      </w:r>
      <w:r>
        <w:rPr>
          <w:rFonts w:ascii="Calibri" w:hAnsi="Calibri" w:eastAsia="Calibri"/>
          <w:sz w:val="20"/>
        </w:rPr>
        <w:t xml:space="preserve">mask,</w:t>
      </w:r>
      <w:r>
        <w:rPr>
          <w:rFonts w:ascii="Calibri" w:hAnsi="Calibri" w:eastAsia="Calibri"/>
          <w:sz w:val="20"/>
        </w:rPr>
        <w:t xml:space="preserve"> </w:t>
      </w:r>
      <w:r>
        <w:rPr>
          <w:rFonts w:ascii="Calibri" w:hAnsi="Calibri" w:eastAsia="Calibri"/>
          <w:sz w:val="20"/>
        </w:rPr>
        <w:t xml:space="preserve">so</w:t>
      </w:r>
      <w:r>
        <w:rPr>
          <w:rFonts w:ascii="Calibri" w:hAnsi="Calibri" w:eastAsia="Calibri"/>
          <w:sz w:val="20"/>
        </w:rPr>
        <w:t xml:space="preserve"> </w:t>
      </w:r>
      <w:r>
        <w:rPr>
          <w:rFonts w:ascii="Calibri" w:hAnsi="Calibri" w:eastAsia="Calibri"/>
          <w:sz w:val="20"/>
        </w:rPr>
        <w:t xml:space="preserve">test</w:t>
      </w:r>
      <w:r>
        <w:rPr>
          <w:rFonts w:ascii="Calibri" w:hAnsi="Calibri" w:eastAsia="Calibri"/>
          <w:sz w:val="20"/>
        </w:rPr>
        <w:t xml:space="preserve"> </w:t>
      </w:r>
      <w:r>
        <w:rPr>
          <w:rFonts w:ascii="Calibri" w:hAnsi="Calibri" w:eastAsia="Calibri"/>
          <w:sz w:val="20"/>
        </w:rPr>
        <w:t xml:space="preserve">performance</w:t>
      </w:r>
      <w:r>
        <w:rPr>
          <w:rFonts w:ascii="Calibri" w:hAnsi="Calibri" w:eastAsia="Calibri"/>
          <w:sz w:val="20"/>
        </w:rPr>
        <w:t xml:space="preserve"> </w:t>
      </w:r>
      <w:r>
        <w:rPr>
          <w:rFonts w:ascii="Calibri" w:hAnsi="Calibri" w:eastAsia="Calibri"/>
          <w:sz w:val="20"/>
        </w:rPr>
        <w:t xml:space="preserve">measures</w:t>
      </w:r>
      <w:r>
        <w:rPr>
          <w:rFonts w:ascii="Calibri" w:hAnsi="Calibri" w:eastAsia="Calibri"/>
          <w:sz w:val="20"/>
        </w:rPr>
        <w:t xml:space="preserve"> </w:t>
      </w:r>
      <w:r>
        <w:rPr>
          <w:rFonts w:ascii="Calibri" w:hAnsi="Calibri" w:eastAsia="Calibri"/>
          <w:sz w:val="20"/>
        </w:rPr>
        <w:t xml:space="preserve">the</w:t>
      </w:r>
      <w:r>
        <w:rPr>
          <w:rFonts w:ascii="Calibri" w:hAnsi="Calibri" w:eastAsia="Calibri"/>
          <w:sz w:val="20"/>
        </w:rPr>
        <w:t xml:space="preserve"> </w:t>
      </w:r>
      <w:r>
        <w:rPr>
          <w:rFonts w:ascii="Calibri" w:hAnsi="Calibri" w:eastAsia="Calibri"/>
          <w:sz w:val="20"/>
        </w:rPr>
        <w:t xml:space="preserve">frozen</w:t>
      </w:r>
      <w:r>
        <w:rPr>
          <w:rFonts w:ascii="Calibri" w:hAnsi="Calibri" w:eastAsia="Calibri"/>
          <w:sz w:val="20"/>
        </w:rPr>
        <w:t xml:space="preserve"> </w:t>
      </w:r>
      <w:r>
        <w:rPr>
          <w:rFonts w:ascii="Calibri" w:hAnsi="Calibri" w:eastAsia="Calibri"/>
          <w:sz w:val="20"/>
        </w:rPr>
        <w:t xml:space="preserve">policy</w:t>
      </w:r>
      <w:r>
        <w:rPr>
          <w:rFonts w:ascii="Calibri" w:hAnsi="Calibri" w:eastAsia="Calibri"/>
          <w:sz w:val="20"/>
        </w:rPr>
        <w:t xml:space="preserve"> </w:t>
      </w:r>
      <w:r>
        <w:rPr>
          <w:rFonts w:ascii="Calibri" w:hAnsi="Calibri" w:eastAsia="Calibri"/>
          <w:sz w:val="20"/>
        </w:rPr>
        <w:t xml:space="preserve">rather</w:t>
      </w:r>
      <w:r>
        <w:rPr>
          <w:rFonts w:ascii="Calibri" w:hAnsi="Calibri" w:eastAsia="Calibri"/>
          <w:sz w:val="20"/>
        </w:rPr>
        <w:t xml:space="preserve"> </w:t>
      </w:r>
      <w:r>
        <w:rPr>
          <w:rFonts w:ascii="Calibri" w:hAnsi="Calibri" w:eastAsia="Calibri"/>
          <w:sz w:val="20"/>
        </w:rPr>
        <w:t xml:space="preserve">than</w:t>
      </w:r>
      <w:r>
        <w:rPr>
          <w:rFonts w:ascii="Calibri" w:hAnsi="Calibri" w:eastAsia="Calibri"/>
          <w:sz w:val="20"/>
        </w:rPr>
        <w:t xml:space="preserve"> </w:t>
      </w:r>
      <w:r>
        <w:rPr>
          <w:rFonts w:ascii="Calibri" w:hAnsi="Calibri" w:eastAsia="Calibri"/>
          <w:sz w:val="20"/>
        </w:rPr>
        <w:t xml:space="preserve">an</w:t>
      </w:r>
      <w:r>
        <w:rPr>
          <w:rFonts w:ascii="Calibri" w:hAnsi="Calibri" w:eastAsia="Calibri"/>
          <w:sz w:val="20"/>
        </w:rPr>
        <w:t xml:space="preserve"> </w:t>
      </w:r>
      <w:r>
        <w:rPr>
          <w:rFonts w:ascii="Calibri" w:hAnsi="Calibri" w:eastAsia="Calibri"/>
          <w:sz w:val="20"/>
        </w:rPr>
        <w:t xml:space="preserve">external</w:t>
      </w:r>
      <w:r>
        <w:rPr>
          <w:rFonts w:ascii="Calibri" w:hAnsi="Calibri" w:eastAsia="Calibri"/>
          <w:sz w:val="20"/>
        </w:rPr>
        <w:t xml:space="preserve"> </w:t>
      </w:r>
      <w:r>
        <w:rPr>
          <w:rFonts w:ascii="Calibri" w:hAnsi="Calibri" w:eastAsia="Calibri"/>
          <w:sz w:val="20"/>
        </w:rPr>
        <w:t xml:space="preserve">controller.</w:t>
      </w:r>
      <w:r>
        <w:rPr>
          <w:rFonts w:ascii="Calibri" w:hAnsi="Calibri" w:eastAsia="Calibri"/>
          <w:sz w:val="20"/>
        </w:rPr>
        <w:t xml:space="preserve"> </w:t>
      </w:r>
      <w:r>
        <w:rPr>
          <w:rFonts w:ascii="Calibri" w:hAnsi="Calibri" w:eastAsia="Calibri"/>
          <w:sz w:val="20"/>
        </w:rPr>
        <w:t xml:space="preserve">We</w:t>
      </w:r>
      <w:r>
        <w:rPr>
          <w:rFonts w:ascii="Calibri" w:hAnsi="Calibri" w:eastAsia="Calibri"/>
          <w:sz w:val="20"/>
        </w:rPr>
        <w:t xml:space="preserve"> </w:t>
      </w:r>
      <w:r>
        <w:rPr>
          <w:rFonts w:ascii="Calibri" w:hAnsi="Calibri" w:eastAsia="Calibri"/>
          <w:sz w:val="20"/>
        </w:rPr>
        <w:t xml:space="preserve">compare</w:t>
      </w:r>
      <w:r>
        <w:rPr>
          <w:rFonts w:ascii="Calibri" w:hAnsi="Calibri" w:eastAsia="Calibri"/>
          <w:sz w:val="20"/>
        </w:rPr>
        <w:t xml:space="preserve"> </w:t>
      </w:r>
      <w:r>
        <w:rPr>
          <w:rFonts w:ascii="Calibri" w:hAnsi="Calibri" w:eastAsia="Calibri"/>
          <w:sz w:val="20"/>
        </w:rPr>
        <w:t xml:space="preserve">SafetyPool</w:t>
      </w:r>
      <w:r>
        <w:rPr>
          <w:rFonts w:ascii="Calibri" w:hAnsi="Calibri" w:eastAsia="Calibri"/>
          <w:sz w:val="20"/>
        </w:rPr>
        <w:t xml:space="preserve"> </w:t>
      </w:r>
      <w:r>
        <w:rPr>
          <w:rFonts w:ascii="Calibri" w:hAnsi="Calibri" w:eastAsia="Calibri"/>
          <w:sz w:val="20"/>
        </w:rPr>
        <w:t xml:space="preserve">against</w:t>
      </w:r>
      <w:r>
        <w:rPr>
          <w:rFonts w:ascii="Calibri" w:hAnsi="Calibri" w:eastAsia="Calibri"/>
          <w:sz w:val="20"/>
        </w:rPr>
        <w:t xml:space="preserve"> </w:t>
      </w:r>
      <w:r>
        <w:rPr>
          <w:rFonts w:ascii="Calibri" w:hAnsi="Calibri" w:eastAsia="Calibri"/>
          <w:sz w:val="20"/>
        </w:rPr>
        <w:t xml:space="preserve">Epsilon-Greedy</w:t>
      </w:r>
      <w:r>
        <w:rPr>
          <w:rFonts w:ascii="Calibri" w:hAnsi="Calibri" w:eastAsia="Calibri"/>
          <w:sz w:val="20"/>
        </w:rPr>
        <w:t xml:space="preserve"> </w:t>
      </w:r>
      <w:r>
        <w:rPr>
          <w:rFonts w:ascii="Calibri" w:hAnsi="Calibri" w:eastAsia="Calibri"/>
          <w:sz w:val="20"/>
        </w:rPr>
        <w:t xml:space="preserve">DQN,</w:t>
      </w:r>
      <w:r>
        <w:rPr>
          <w:rFonts w:ascii="Calibri" w:hAnsi="Calibri" w:eastAsia="Calibri"/>
          <w:sz w:val="20"/>
        </w:rPr>
        <w:t xml:space="preserve"> </w:t>
      </w:r>
      <w:r>
        <w:rPr>
          <w:rFonts w:ascii="Calibri" w:hAnsi="Calibri" w:eastAsia="Calibri"/>
          <w:sz w:val="20"/>
        </w:rPr>
        <w:t xml:space="preserve">NoisyNet</w:t>
      </w:r>
      <w:r>
        <w:rPr>
          <w:rFonts w:ascii="Calibri" w:hAnsi="Calibri" w:eastAsia="Calibri"/>
          <w:sz w:val="20"/>
        </w:rPr>
        <w:t xml:space="preserve"> </w:t>
      </w:r>
      <w:r>
        <w:rPr>
          <w:rFonts w:ascii="Calibri" w:hAnsi="Calibri" w:eastAsia="Calibri"/>
          <w:sz w:val="20"/>
        </w:rPr>
        <w:t xml:space="preserve">DQN,</w:t>
      </w:r>
      <w:r>
        <w:rPr>
          <w:rFonts w:ascii="Calibri" w:hAnsi="Calibri" w:eastAsia="Calibri"/>
          <w:sz w:val="20"/>
        </w:rPr>
        <w:t xml:space="preserve"> </w:t>
      </w:r>
      <w:r>
        <w:rPr>
          <w:rFonts w:ascii="Calibri" w:hAnsi="Calibri" w:eastAsia="Calibri"/>
          <w:sz w:val="20"/>
        </w:rPr>
        <w:t xml:space="preserve">and</w:t>
      </w:r>
      <w:r>
        <w:rPr>
          <w:rFonts w:ascii="Calibri" w:hAnsi="Calibri" w:eastAsia="Calibri"/>
          <w:sz w:val="20"/>
        </w:rPr>
        <w:t xml:space="preserve"> </w:t>
      </w:r>
      <w:r>
        <w:rPr>
          <w:rFonts w:ascii="Calibri" w:hAnsi="Calibri" w:eastAsia="Calibri"/>
          <w:sz w:val="20"/>
        </w:rPr>
        <w:t xml:space="preserve">DQN</w:t>
      </w:r>
      <w:r>
        <w:rPr>
          <w:rFonts w:ascii="Calibri" w:hAnsi="Calibri" w:eastAsia="Calibri"/>
          <w:sz w:val="20"/>
        </w:rPr>
        <w:t xml:space="preserve"> </w:t>
      </w:r>
      <w:r>
        <w:rPr>
          <w:rFonts w:ascii="Calibri" w:hAnsi="Calibri" w:eastAsia="Calibri"/>
          <w:sz w:val="20"/>
        </w:rPr>
        <w:t xml:space="preserve">with</w:t>
      </w:r>
      <w:r>
        <w:rPr>
          <w:rFonts w:ascii="Calibri" w:hAnsi="Calibri" w:eastAsia="Calibri"/>
          <w:sz w:val="20"/>
        </w:rPr>
        <w:t xml:space="preserve"> </w:t>
      </w:r>
      <w:r>
        <w:rPr>
          <w:rFonts w:ascii="Calibri" w:hAnsi="Calibri" w:eastAsia="Calibri"/>
          <w:sz w:val="20"/>
        </w:rPr>
        <w:t xml:space="preserve">Random</w:t>
      </w:r>
      <w:r>
        <w:rPr>
          <w:rFonts w:ascii="Calibri" w:hAnsi="Calibri" w:eastAsia="Calibri"/>
          <w:sz w:val="20"/>
        </w:rPr>
        <w:t xml:space="preserve"> </w:t>
      </w:r>
      <w:r>
        <w:rPr>
          <w:rFonts w:ascii="Calibri" w:hAnsi="Calibri" w:eastAsia="Calibri"/>
          <w:sz w:val="20"/>
        </w:rPr>
        <w:t xml:space="preserve">Network</w:t>
      </w:r>
      <w:r>
        <w:rPr>
          <w:rFonts w:ascii="Calibri" w:hAnsi="Calibri" w:eastAsia="Calibri"/>
          <w:sz w:val="20"/>
        </w:rPr>
        <w:t xml:space="preserve"> </w:t>
      </w:r>
      <w:r>
        <w:rPr>
          <w:rFonts w:ascii="Calibri" w:hAnsi="Calibri" w:eastAsia="Calibri"/>
          <w:sz w:val="20"/>
        </w:rPr>
        <w:t xml:space="preserve">Distillation</w:t>
      </w:r>
      <w:r>
        <w:rPr>
          <w:rFonts w:ascii="Calibri" w:hAnsi="Calibri" w:eastAsia="Calibri"/>
          <w:sz w:val="20"/>
        </w:rPr>
        <w:t xml:space="preserve"> </w:t>
      </w:r>
      <w:r>
        <w:rPr>
          <w:rFonts w:ascii="Calibri" w:hAnsi="Calibri" w:eastAsia="Calibri"/>
          <w:sz w:val="20"/>
        </w:rPr>
        <w:t xml:space="preserve">in</w:t>
      </w:r>
      <w:r>
        <w:rPr>
          <w:rFonts w:ascii="Calibri" w:hAnsi="Calibri" w:eastAsia="Calibri"/>
          <w:sz w:val="20"/>
        </w:rPr>
        <w:t xml:space="preserve"> </w:t>
      </w:r>
      <w:r>
        <w:rPr>
          <w:rFonts w:ascii="Calibri" w:hAnsi="Calibri" w:eastAsia="Calibri"/>
          <w:sz w:val="20"/>
        </w:rPr>
        <w:t xml:space="preserve">MetaDrive</w:t>
      </w:r>
      <w:r>
        <w:rPr>
          <w:rFonts w:ascii="Calibri" w:hAnsi="Calibri" w:eastAsia="Calibri"/>
          <w:sz w:val="20"/>
        </w:rPr>
        <w:t xml:space="preserve"> </w:t>
      </w:r>
      <w:r>
        <w:rPr>
          <w:rFonts w:ascii="Calibri" w:hAnsi="Calibri" w:eastAsia="Calibri"/>
          <w:sz w:val="20"/>
        </w:rPr>
        <w:t xml:space="preserve">and</w:t>
      </w:r>
      <w:r>
        <w:rPr>
          <w:rFonts w:ascii="Calibri" w:hAnsi="Calibri" w:eastAsia="Calibri"/>
          <w:sz w:val="20"/>
        </w:rPr>
        <w:t xml:space="preserve"> </w:t>
      </w:r>
      <w:r>
        <w:rPr>
          <w:rFonts w:ascii="Calibri" w:hAnsi="Calibri" w:eastAsia="Calibri"/>
          <w:sz w:val="20"/>
        </w:rPr>
        <w:t xml:space="preserve">HighwayEnv.</w:t>
      </w:r>
      <w:r>
        <w:rPr>
          <w:rFonts w:ascii="Calibri" w:hAnsi="Calibri" w:eastAsia="Calibri"/>
          <w:sz w:val="20"/>
        </w:rPr>
        <w:t xml:space="preserve"> </w:t>
      </w:r>
      <w:r>
        <w:rPr>
          <w:rFonts w:ascii="Calibri" w:hAnsi="Calibri" w:eastAsia="Calibri"/>
          <w:sz w:val="20"/>
        </w:rPr>
        <w:t xml:space="preserve">Each</w:t>
      </w:r>
      <w:r>
        <w:rPr>
          <w:rFonts w:ascii="Calibri" w:hAnsi="Calibri" w:eastAsia="Calibri"/>
          <w:sz w:val="20"/>
        </w:rPr>
        <w:t xml:space="preserve"> </w:t>
      </w:r>
      <w:r>
        <w:rPr>
          <w:rFonts w:ascii="Calibri" w:hAnsi="Calibri" w:eastAsia="Calibri"/>
          <w:sz w:val="20"/>
        </w:rPr>
        <w:t xml:space="preserve">environment-specific</w:t>
      </w:r>
      <w:r>
        <w:rPr>
          <w:rFonts w:ascii="Calibri" w:hAnsi="Calibri" w:eastAsia="Calibri"/>
          <w:sz w:val="20"/>
        </w:rPr>
        <w:t xml:space="preserve"> </w:t>
      </w:r>
      <w:r>
        <w:rPr>
          <w:rFonts w:ascii="Calibri" w:hAnsi="Calibri" w:eastAsia="Calibri"/>
          <w:sz w:val="20"/>
        </w:rPr>
        <w:t xml:space="preserve">analysis</w:t>
      </w:r>
      <w:r>
        <w:rPr>
          <w:rFonts w:ascii="Calibri" w:hAnsi="Calibri" w:eastAsia="Calibri"/>
          <w:sz w:val="20"/>
        </w:rPr>
        <w:t xml:space="preserve"> </w:t>
      </w:r>
      <w:r>
        <w:rPr>
          <w:rFonts w:ascii="Calibri" w:hAnsi="Calibri" w:eastAsia="Calibri"/>
          <w:sz w:val="20"/>
        </w:rPr>
        <w:t xml:space="preserve">uses</w:t>
      </w:r>
      <w:r>
        <w:rPr>
          <w:rFonts w:ascii="Calibri" w:hAnsi="Calibri" w:eastAsia="Calibri"/>
          <w:sz w:val="20"/>
        </w:rPr>
        <w:t xml:space="preserve"> </w:t>
      </w:r>
      <w:r>
        <w:rPr>
          <w:rFonts w:ascii="Calibri" w:hAnsi="Calibri" w:eastAsia="Calibri"/>
          <w:sz w:val="20"/>
        </w:rPr>
        <w:t xml:space="preserve">23</w:t>
      </w:r>
      <w:r>
        <w:rPr>
          <w:rFonts w:ascii="Calibri" w:hAnsi="Calibri" w:eastAsia="Calibri"/>
          <w:sz w:val="20"/>
        </w:rPr>
        <w:t xml:space="preserve"> </w:t>
      </w:r>
      <w:r>
        <w:rPr>
          <w:rFonts w:ascii="Calibri" w:hAnsi="Calibri" w:eastAsia="Calibri"/>
          <w:sz w:val="20"/>
        </w:rPr>
        <w:t xml:space="preserve">matched</w:t>
      </w:r>
      <w:r>
        <w:rPr>
          <w:rFonts w:ascii="Calibri" w:hAnsi="Calibri" w:eastAsia="Calibri"/>
          <w:sz w:val="20"/>
        </w:rPr>
        <w:t xml:space="preserve"> </w:t>
      </w:r>
      <w:r>
        <w:rPr>
          <w:rFonts w:ascii="Calibri" w:hAnsi="Calibri" w:eastAsia="Calibri"/>
          <w:sz w:val="20"/>
        </w:rPr>
        <w:t xml:space="preserve">training</w:t>
      </w:r>
      <w:r>
        <w:rPr>
          <w:rFonts w:ascii="Calibri" w:hAnsi="Calibri" w:eastAsia="Calibri"/>
          <w:sz w:val="20"/>
        </w:rPr>
        <w:t xml:space="preserve"> </w:t>
      </w:r>
      <w:r>
        <w:rPr>
          <w:rFonts w:ascii="Calibri" w:hAnsi="Calibri" w:eastAsia="Calibri"/>
          <w:sz w:val="20"/>
        </w:rPr>
        <w:t xml:space="preserve">seeds,</w:t>
      </w:r>
      <w:r>
        <w:rPr>
          <w:rFonts w:ascii="Calibri" w:hAnsi="Calibri" w:eastAsia="Calibri"/>
          <w:sz w:val="20"/>
        </w:rPr>
        <w:t xml:space="preserve"> </w:t>
      </w:r>
      <w:r>
        <w:rPr>
          <w:rFonts w:ascii="Calibri" w:hAnsi="Calibri" w:eastAsia="Calibri"/>
          <w:sz w:val="20"/>
        </w:rPr>
        <w:t xml:space="preserve">500</w:t>
      </w:r>
      <w:r>
        <w:rPr>
          <w:rFonts w:ascii="Calibri" w:hAnsi="Calibri" w:eastAsia="Calibri"/>
          <w:sz w:val="20"/>
        </w:rPr>
        <w:t xml:space="preserve"> </w:t>
      </w:r>
      <w:r>
        <w:rPr>
          <w:rFonts w:ascii="Calibri" w:hAnsi="Calibri" w:eastAsia="Calibri"/>
          <w:sz w:val="20"/>
        </w:rPr>
        <w:t xml:space="preserve">training</w:t>
      </w:r>
      <w:r>
        <w:rPr>
          <w:rFonts w:ascii="Calibri" w:hAnsi="Calibri" w:eastAsia="Calibri"/>
          <w:sz w:val="20"/>
        </w:rPr>
        <w:t xml:space="preserve"> </w:t>
      </w:r>
      <w:r>
        <w:rPr>
          <w:rFonts w:ascii="Calibri" w:hAnsi="Calibri" w:eastAsia="Calibri"/>
          <w:sz w:val="20"/>
        </w:rPr>
        <w:t xml:space="preserve">episodes,</w:t>
      </w:r>
      <w:r>
        <w:rPr>
          <w:rFonts w:ascii="Calibri" w:hAnsi="Calibri" w:eastAsia="Calibri"/>
          <w:sz w:val="20"/>
        </w:rPr>
        <w:t xml:space="preserve"> </w:t>
      </w:r>
      <w:r>
        <w:rPr>
          <w:rFonts w:ascii="Calibri" w:hAnsi="Calibri" w:eastAsia="Calibri"/>
          <w:sz w:val="20"/>
        </w:rPr>
        <w:t xml:space="preserve">and</w:t>
      </w:r>
      <w:r>
        <w:rPr>
          <w:rFonts w:ascii="Calibri" w:hAnsi="Calibri" w:eastAsia="Calibri"/>
          <w:sz w:val="20"/>
        </w:rPr>
        <w:t xml:space="preserve"> </w:t>
      </w:r>
      <w:r>
        <w:rPr>
          <w:rFonts w:ascii="Calibri" w:hAnsi="Calibri" w:eastAsia="Calibri"/>
          <w:sz w:val="20"/>
        </w:rPr>
        <w:t xml:space="preserve">300</w:t>
      </w:r>
      <w:r>
        <w:rPr>
          <w:rFonts w:ascii="Calibri" w:hAnsi="Calibri" w:eastAsia="Calibri"/>
          <w:sz w:val="20"/>
        </w:rPr>
        <w:t xml:space="preserve"> </w:t>
      </w:r>
      <w:r>
        <w:rPr>
          <w:rFonts w:ascii="Calibri" w:hAnsi="Calibri" w:eastAsia="Calibri"/>
          <w:sz w:val="20"/>
        </w:rPr>
        <w:t xml:space="preserve">test</w:t>
      </w:r>
      <w:r>
        <w:rPr>
          <w:rFonts w:ascii="Calibri" w:hAnsi="Calibri" w:eastAsia="Calibri"/>
          <w:sz w:val="20"/>
        </w:rPr>
        <w:t xml:space="preserve"> </w:t>
      </w:r>
      <w:r>
        <w:rPr>
          <w:rFonts w:ascii="Calibri" w:hAnsi="Calibri" w:eastAsia="Calibri"/>
          <w:sz w:val="20"/>
        </w:rPr>
        <w:t xml:space="preserve">episodes</w:t>
      </w:r>
      <w:r>
        <w:rPr>
          <w:rFonts w:ascii="Calibri" w:hAnsi="Calibri" w:eastAsia="Calibri"/>
          <w:sz w:val="20"/>
        </w:rPr>
        <w:t xml:space="preserve"> </w:t>
      </w:r>
      <w:r>
        <w:rPr>
          <w:rFonts w:ascii="Calibri" w:hAnsi="Calibri" w:eastAsia="Calibri"/>
          <w:sz w:val="20"/>
        </w:rPr>
        <w:t xml:space="preserve">per</w:t>
      </w:r>
      <w:r>
        <w:rPr>
          <w:rFonts w:ascii="Calibri" w:hAnsi="Calibri" w:eastAsia="Calibri"/>
          <w:sz w:val="20"/>
        </w:rPr>
        <w:t xml:space="preserve"> </w:t>
      </w:r>
      <w:r>
        <w:rPr>
          <w:rFonts w:ascii="Calibri" w:hAnsi="Calibri" w:eastAsia="Calibri"/>
          <w:sz w:val="20"/>
        </w:rPr>
        <w:t xml:space="preserve">seed.</w:t>
      </w:r>
      <w:r>
        <w:rPr>
          <w:rFonts w:ascii="Calibri" w:hAnsi="Calibri" w:eastAsia="Calibri"/>
          <w:sz w:val="20"/>
        </w:rPr>
        <w:t xml:space="preserve"> </w:t>
      </w:r>
      <w:r>
        <w:rPr>
          <w:rFonts w:ascii="Calibri" w:hAnsi="Calibri" w:eastAsia="Calibri"/>
          <w:sz w:val="20"/>
        </w:rPr>
        <w:t xml:space="preserve">Collision</w:t>
      </w:r>
      <w:r>
        <w:rPr>
          <w:rFonts w:ascii="Calibri" w:hAnsi="Calibri" w:eastAsia="Calibri"/>
          <w:sz w:val="20"/>
        </w:rPr>
        <w:t xml:space="preserve"> </w:t>
      </w:r>
      <w:r>
        <w:rPr>
          <w:rFonts w:ascii="Calibri" w:hAnsi="Calibri" w:eastAsia="Calibri"/>
          <w:sz w:val="20"/>
        </w:rPr>
        <w:t xml:space="preserve">Restricted</w:t>
      </w:r>
      <w:r>
        <w:rPr>
          <w:rFonts w:ascii="Calibri" w:hAnsi="Calibri" w:eastAsia="Calibri"/>
          <w:sz w:val="20"/>
        </w:rPr>
        <w:t xml:space="preserve"> </w:t>
      </w:r>
      <w:r>
        <w:rPr>
          <w:rFonts w:ascii="Calibri" w:hAnsi="Calibri" w:eastAsia="Calibri"/>
          <w:sz w:val="20"/>
        </w:rPr>
        <w:t xml:space="preserve">Mean</w:t>
      </w:r>
      <w:r>
        <w:rPr>
          <w:rFonts w:ascii="Calibri" w:hAnsi="Calibri" w:eastAsia="Calibri"/>
          <w:sz w:val="20"/>
        </w:rPr>
        <w:t xml:space="preserve"> </w:t>
      </w:r>
      <w:r>
        <w:rPr>
          <w:rFonts w:ascii="Calibri" w:hAnsi="Calibri" w:eastAsia="Calibri"/>
          <w:sz w:val="20"/>
        </w:rPr>
        <w:t xml:space="preserve">Survival</w:t>
      </w:r>
      <w:r>
        <w:rPr>
          <w:rFonts w:ascii="Calibri" w:hAnsi="Calibri" w:eastAsia="Calibri"/>
          <w:sz w:val="20"/>
        </w:rPr>
        <w:t xml:space="preserve"> </w:t>
      </w:r>
      <w:r>
        <w:rPr>
          <w:rFonts w:ascii="Calibri" w:hAnsi="Calibri" w:eastAsia="Calibri"/>
          <w:sz w:val="20"/>
        </w:rPr>
        <w:t xml:space="preserve">Time</w:t>
      </w:r>
      <w:r>
        <w:rPr>
          <w:rFonts w:ascii="Calibri" w:hAnsi="Calibri" w:eastAsia="Calibri"/>
          <w:sz w:val="20"/>
        </w:rPr>
        <w:t xml:space="preserve"> </w:t>
      </w:r>
      <w:r>
        <w:rPr>
          <w:rFonts w:ascii="Calibri" w:hAnsi="Calibri" w:eastAsia="Calibri"/>
          <w:sz w:val="20"/>
        </w:rPr>
        <w:t xml:space="preserve">(RMST)</w:t>
      </w:r>
      <w:r>
        <w:rPr>
          <w:rFonts w:ascii="Calibri" w:hAnsi="Calibri" w:eastAsia="Calibri"/>
          <w:sz w:val="20"/>
        </w:rPr>
        <w:t xml:space="preserve"> </w:t>
      </w:r>
      <w:r>
        <w:rPr>
          <w:rFonts w:ascii="Calibri" w:hAnsi="Calibri" w:eastAsia="Calibri"/>
          <w:sz w:val="20"/>
        </w:rPr>
        <w:t xml:space="preserve">through</w:t>
      </w:r>
      <w:r>
        <w:rPr>
          <w:rFonts w:ascii="Calibri" w:hAnsi="Calibri" w:eastAsia="Calibri"/>
          <w:sz w:val="20"/>
        </w:rPr>
        <w:t xml:space="preserve"> </w:t>
      </w:r>
      <w:r>
        <w:rPr>
          <w:rFonts w:ascii="Calibri" w:hAnsi="Calibri" w:eastAsia="Calibri"/>
          <w:sz w:val="20"/>
        </w:rPr>
        <w:t xml:space="preserve">the</w:t>
      </w:r>
      <w:r>
        <w:rPr>
          <w:rFonts w:ascii="Calibri" w:hAnsi="Calibri" w:eastAsia="Calibri"/>
          <w:sz w:val="20"/>
        </w:rPr>
        <w:t xml:space="preserve"> </w:t>
      </w:r>
      <w:r>
        <w:rPr>
          <w:rFonts w:ascii="Calibri" w:hAnsi="Calibri" w:eastAsia="Calibri"/>
          <w:sz w:val="20"/>
        </w:rPr>
        <w:t xml:space="preserve">fixed</w:t>
      </w:r>
      <w:r>
        <w:rPr>
          <w:rFonts w:ascii="Calibri" w:hAnsi="Calibri" w:eastAsia="Calibri"/>
          <w:sz w:val="20"/>
        </w:rPr>
        <w:t xml:space="preserve"> </w:t>
      </w:r>
      <w:r>
        <w:rPr>
          <w:rFonts w:ascii="Calibri" w:hAnsi="Calibri" w:eastAsia="Calibri"/>
          <w:sz w:val="20"/>
        </w:rPr>
        <w:t xml:space="preserve">500-step</w:t>
      </w:r>
      <w:r>
        <w:rPr>
          <w:rFonts w:ascii="Calibri" w:hAnsi="Calibri" w:eastAsia="Calibri"/>
          <w:sz w:val="20"/>
        </w:rPr>
        <w:t xml:space="preserve"> </w:t>
      </w:r>
      <w:r>
        <w:rPr>
          <w:rFonts w:ascii="Calibri" w:hAnsi="Calibri" w:eastAsia="Calibri"/>
          <w:sz w:val="20"/>
        </w:rPr>
        <w:t xml:space="preserve">test</w:t>
      </w:r>
      <w:r>
        <w:rPr>
          <w:rFonts w:ascii="Calibri" w:hAnsi="Calibri" w:eastAsia="Calibri"/>
          <w:sz w:val="20"/>
        </w:rPr>
        <w:t xml:space="preserve"> </w:t>
      </w:r>
      <w:r>
        <w:rPr>
          <w:rFonts w:ascii="Calibri" w:hAnsi="Calibri" w:eastAsia="Calibri"/>
          <w:sz w:val="20"/>
        </w:rPr>
        <w:t xml:space="preserve">window</w:t>
      </w:r>
      <w:r>
        <w:rPr>
          <w:rFonts w:ascii="Calibri" w:hAnsi="Calibri" w:eastAsia="Calibri"/>
          <w:sz w:val="20"/>
        </w:rPr>
        <w:t xml:space="preserve"> </w:t>
      </w:r>
      <w:r>
        <w:rPr>
          <w:rFonts w:ascii="Calibri" w:hAnsi="Calibri" w:eastAsia="Calibri"/>
          <w:sz w:val="20"/>
        </w:rPr>
        <w:t xml:space="preserve">is</w:t>
      </w:r>
      <w:r>
        <w:rPr>
          <w:rFonts w:ascii="Calibri" w:hAnsi="Calibri" w:eastAsia="Calibri"/>
          <w:sz w:val="20"/>
        </w:rPr>
        <w:t xml:space="preserve"> </w:t>
      </w:r>
      <w:r>
        <w:rPr>
          <w:rFonts w:ascii="Calibri" w:hAnsi="Calibri" w:eastAsia="Calibri"/>
          <w:sz w:val="20"/>
        </w:rPr>
        <w:t xml:space="preserve">the</w:t>
      </w:r>
      <w:r>
        <w:rPr>
          <w:rFonts w:ascii="Calibri" w:hAnsi="Calibri" w:eastAsia="Calibri"/>
          <w:sz w:val="20"/>
        </w:rPr>
        <w:t xml:space="preserve"> </w:t>
      </w:r>
      <w:r>
        <w:rPr>
          <w:rFonts w:ascii="Calibri" w:hAnsi="Calibri" w:eastAsia="Calibri"/>
          <w:sz w:val="20"/>
        </w:rPr>
        <w:t xml:space="preserve">sole</w:t>
      </w:r>
      <w:r>
        <w:rPr>
          <w:rFonts w:ascii="Calibri" w:hAnsi="Calibri" w:eastAsia="Calibri"/>
          <w:sz w:val="20"/>
        </w:rPr>
        <w:t xml:space="preserve"> </w:t>
      </w:r>
      <w:r>
        <w:rPr>
          <w:rFonts w:ascii="Calibri" w:hAnsi="Calibri" w:eastAsia="Calibri"/>
          <w:sz w:val="20"/>
        </w:rPr>
        <w:t xml:space="preserve">reported</w:t>
      </w:r>
      <w:r>
        <w:rPr>
          <w:rFonts w:ascii="Calibri" w:hAnsi="Calibri" w:eastAsia="Calibri"/>
          <w:sz w:val="20"/>
        </w:rPr>
        <w:t xml:space="preserve"> </w:t>
      </w:r>
      <w:r>
        <w:rPr>
          <w:rFonts w:ascii="Calibri" w:hAnsi="Calibri" w:eastAsia="Calibri"/>
          <w:sz w:val="20"/>
        </w:rPr>
        <w:t xml:space="preserve">outcome.</w:t>
      </w:r>
      <w:r>
        <w:rPr>
          <w:rFonts w:ascii="Calibri" w:hAnsi="Calibri" w:eastAsia="Calibri"/>
          <w:sz w:val="20"/>
        </w:rPr>
        <w:t xml:space="preserve"> </w:t>
      </w:r>
      <w:r>
        <w:rPr>
          <w:rFonts w:ascii="Calibri" w:hAnsi="Calibri" w:eastAsia="Calibri"/>
          <w:sz w:val="20"/>
        </w:rPr>
        <w:t xml:space="preserve">In</w:t>
      </w:r>
      <w:r>
        <w:rPr>
          <w:rFonts w:ascii="Calibri" w:hAnsi="Calibri" w:eastAsia="Calibri"/>
          <w:sz w:val="20"/>
        </w:rPr>
        <w:t xml:space="preserve"> </w:t>
      </w:r>
      <w:r>
        <w:rPr>
          <w:rFonts w:ascii="Calibri" w:hAnsi="Calibri" w:eastAsia="Calibri"/>
          <w:sz w:val="20"/>
        </w:rPr>
        <w:t xml:space="preserve">MetaDrive,</w:t>
      </w:r>
      <w:r>
        <w:rPr>
          <w:rFonts w:ascii="Calibri" w:hAnsi="Calibri" w:eastAsia="Calibri"/>
          <w:sz w:val="20"/>
        </w:rPr>
        <w:t xml:space="preserve"> </w:t>
      </w:r>
      <w:r>
        <w:rPr>
          <w:rFonts w:ascii="Calibri" w:hAnsi="Calibri" w:eastAsia="Calibri"/>
          <w:sz w:val="20"/>
        </w:rPr>
        <w:t xml:space="preserve">SafetyPool</w:t>
      </w:r>
      <w:r>
        <w:rPr>
          <w:rFonts w:ascii="Calibri" w:hAnsi="Calibri" w:eastAsia="Calibri"/>
          <w:sz w:val="20"/>
        </w:rPr>
        <w:t xml:space="preserve"> </w:t>
      </w:r>
      <w:r>
        <w:rPr>
          <w:rFonts w:ascii="Calibri" w:hAnsi="Calibri" w:eastAsia="Calibri"/>
          <w:sz w:val="20"/>
        </w:rPr>
        <w:t xml:space="preserve">obtains</w:t>
      </w:r>
      <w:r>
        <w:rPr>
          <w:rFonts w:ascii="Calibri" w:hAnsi="Calibri" w:eastAsia="Calibri"/>
          <w:sz w:val="20"/>
        </w:rPr>
        <w:t xml:space="preserve"> </w:t>
      </w:r>
      <w:r>
        <w:rPr>
          <w:rFonts w:ascii="Calibri" w:hAnsi="Calibri" w:eastAsia="Calibri"/>
          <w:sz w:val="20"/>
        </w:rPr>
        <w:t xml:space="preserve">a</w:t>
      </w:r>
      <w:r>
        <w:rPr>
          <w:rFonts w:ascii="Calibri" w:hAnsi="Calibri" w:eastAsia="Calibri"/>
          <w:sz w:val="20"/>
        </w:rPr>
        <w:t xml:space="preserve"> </w:t>
      </w:r>
      <w:r>
        <w:rPr>
          <w:rFonts w:ascii="Calibri" w:hAnsi="Calibri" w:eastAsia="Calibri"/>
          <w:sz w:val="20"/>
        </w:rPr>
        <w:t xml:space="preserve">Collision</w:t>
      </w:r>
      <w:r>
        <w:rPr>
          <w:rFonts w:ascii="Calibri" w:hAnsi="Calibri" w:eastAsia="Calibri"/>
          <w:sz w:val="20"/>
        </w:rPr>
        <w:t xml:space="preserve"> </w:t>
      </w:r>
      <w:r>
        <w:rPr>
          <w:rFonts w:ascii="Calibri" w:hAnsi="Calibri" w:eastAsia="Calibri"/>
          <w:sz w:val="20"/>
        </w:rPr>
        <w:t xml:space="preserve">RMST</w:t>
      </w:r>
      <w:r>
        <w:rPr>
          <w:rFonts w:ascii="Calibri" w:hAnsi="Calibri" w:eastAsia="Calibri"/>
          <w:sz w:val="20"/>
        </w:rPr>
        <w:t xml:space="preserve"> </w:t>
      </w:r>
      <w:r>
        <w:rPr>
          <w:rFonts w:ascii="Calibri" w:hAnsi="Calibri" w:eastAsia="Calibri"/>
          <w:sz w:val="20"/>
        </w:rPr>
        <w:t xml:space="preserve">interquartile</w:t>
      </w:r>
      <w:r>
        <w:rPr>
          <w:rFonts w:ascii="Calibri" w:hAnsi="Calibri" w:eastAsia="Calibri"/>
          <w:sz w:val="20"/>
        </w:rPr>
        <w:t xml:space="preserve"> </w:t>
      </w:r>
      <w:r>
        <w:rPr>
          <w:rFonts w:ascii="Calibri" w:hAnsi="Calibri" w:eastAsia="Calibri"/>
          <w:sz w:val="20"/>
        </w:rPr>
        <w:t xml:space="preserve">mean</w:t>
      </w:r>
      <w:r>
        <w:rPr>
          <w:rFonts w:ascii="Calibri" w:hAnsi="Calibri" w:eastAsia="Calibri"/>
          <w:sz w:val="20"/>
        </w:rPr>
        <w:t xml:space="preserve"> </w:t>
      </w:r>
      <w:r>
        <w:rPr>
          <w:rFonts w:ascii="Calibri" w:hAnsi="Calibri" w:eastAsia="Calibri"/>
          <w:sz w:val="20"/>
        </w:rPr>
        <w:t xml:space="preserve">(IQM)</w:t>
      </w:r>
      <w:r>
        <w:rPr>
          <w:rFonts w:ascii="Calibri" w:hAnsi="Calibri" w:eastAsia="Calibri"/>
          <w:sz w:val="20"/>
        </w:rPr>
        <w:t xml:space="preserve"> </w:t>
      </w:r>
      <w:r>
        <w:rPr>
          <w:rFonts w:ascii="Calibri" w:hAnsi="Calibri" w:eastAsia="Calibri"/>
          <w:sz w:val="20"/>
        </w:rPr>
        <w:t xml:space="preserve">of</w:t>
      </w:r>
      <w:r>
        <w:rPr>
          <w:rFonts w:ascii="Calibri" w:hAnsi="Calibri" w:eastAsia="Calibri"/>
          <w:sz w:val="20"/>
        </w:rPr>
        <w:t xml:space="preserve"> </w:t>
      </w:r>
      <w:r>
        <w:rPr>
          <w:rFonts w:ascii="Calibri" w:hAnsi="Calibri" w:eastAsia="Calibri"/>
          <w:sz w:val="20"/>
        </w:rPr>
        <w:t xml:space="preserve">229.8</w:t>
      </w:r>
      <w:r>
        <w:rPr>
          <w:rFonts w:ascii="Calibri" w:hAnsi="Calibri" w:eastAsia="Calibri"/>
          <w:sz w:val="20"/>
        </w:rPr>
        <w:t xml:space="preserve"> </w:t>
      </w:r>
      <w:r>
        <w:rPr>
          <w:rFonts w:ascii="Calibri" w:hAnsi="Calibri" w:eastAsia="Calibri"/>
          <w:sz w:val="20"/>
        </w:rPr>
        <w:t xml:space="preserve">steps,</w:t>
      </w:r>
      <w:r>
        <w:rPr>
          <w:rFonts w:ascii="Calibri" w:hAnsi="Calibri" w:eastAsia="Calibri"/>
          <w:sz w:val="20"/>
        </w:rPr>
        <w:t xml:space="preserve"> </w:t>
      </w:r>
      <w:r>
        <w:rPr>
          <w:rFonts w:ascii="Calibri" w:hAnsi="Calibri" w:eastAsia="Calibri"/>
          <w:sz w:val="20"/>
        </w:rPr>
        <w:t xml:space="preserve">compared</w:t>
      </w:r>
      <w:r>
        <w:rPr>
          <w:rFonts w:ascii="Calibri" w:hAnsi="Calibri" w:eastAsia="Calibri"/>
          <w:sz w:val="20"/>
        </w:rPr>
        <w:t xml:space="preserve"> </w:t>
      </w:r>
      <w:r>
        <w:rPr>
          <w:rFonts w:ascii="Calibri" w:hAnsi="Calibri" w:eastAsia="Calibri"/>
          <w:sz w:val="20"/>
        </w:rPr>
        <w:t xml:space="preserve">with</w:t>
      </w:r>
      <w:r>
        <w:rPr>
          <w:rFonts w:ascii="Calibri" w:hAnsi="Calibri" w:eastAsia="Calibri"/>
          <w:sz w:val="20"/>
        </w:rPr>
        <w:t xml:space="preserve"> </w:t>
      </w:r>
      <w:r>
        <w:rPr>
          <w:rFonts w:ascii="Calibri" w:hAnsi="Calibri" w:eastAsia="Calibri"/>
          <w:sz w:val="20"/>
        </w:rPr>
        <w:t xml:space="preserve">91.4,</w:t>
      </w:r>
      <w:r>
        <w:rPr>
          <w:rFonts w:ascii="Calibri" w:hAnsi="Calibri" w:eastAsia="Calibri"/>
          <w:sz w:val="20"/>
        </w:rPr>
        <w:t xml:space="preserve"> </w:t>
      </w:r>
      <w:r>
        <w:rPr>
          <w:rFonts w:ascii="Calibri" w:hAnsi="Calibri" w:eastAsia="Calibri"/>
          <w:sz w:val="20"/>
        </w:rPr>
        <w:t xml:space="preserve">92.1,</w:t>
      </w:r>
      <w:r>
        <w:rPr>
          <w:rFonts w:ascii="Calibri" w:hAnsi="Calibri" w:eastAsia="Calibri"/>
          <w:sz w:val="20"/>
        </w:rPr>
        <w:t xml:space="preserve"> </w:t>
      </w:r>
      <w:r>
        <w:rPr>
          <w:rFonts w:ascii="Calibri" w:hAnsi="Calibri" w:eastAsia="Calibri"/>
          <w:sz w:val="20"/>
        </w:rPr>
        <w:t xml:space="preserve">and</w:t>
      </w:r>
      <w:r>
        <w:rPr>
          <w:rFonts w:ascii="Calibri" w:hAnsi="Calibri" w:eastAsia="Calibri"/>
          <w:sz w:val="20"/>
        </w:rPr>
        <w:t xml:space="preserve"> </w:t>
      </w:r>
      <w:r>
        <w:rPr>
          <w:rFonts w:ascii="Calibri" w:hAnsi="Calibri" w:eastAsia="Calibri"/>
          <w:sz w:val="20"/>
        </w:rPr>
        <w:t xml:space="preserve">91.6</w:t>
      </w:r>
      <w:r>
        <w:rPr>
          <w:rFonts w:ascii="Calibri" w:hAnsi="Calibri" w:eastAsia="Calibri"/>
          <w:sz w:val="20"/>
        </w:rPr>
        <w:t xml:space="preserve"> </w:t>
      </w:r>
      <w:r>
        <w:rPr>
          <w:rFonts w:ascii="Calibri" w:hAnsi="Calibri" w:eastAsia="Calibri"/>
          <w:sz w:val="20"/>
        </w:rPr>
        <w:t xml:space="preserve">for</w:t>
      </w:r>
      <w:r>
        <w:rPr>
          <w:rFonts w:ascii="Calibri" w:hAnsi="Calibri" w:eastAsia="Calibri"/>
          <w:sz w:val="20"/>
        </w:rPr>
        <w:t xml:space="preserve"> </w:t>
      </w:r>
      <w:r>
        <w:rPr>
          <w:rFonts w:ascii="Calibri" w:hAnsi="Calibri" w:eastAsia="Calibri"/>
          <w:sz w:val="20"/>
        </w:rPr>
        <w:t xml:space="preserve">the</w:t>
      </w:r>
      <w:r>
        <w:rPr>
          <w:rFonts w:ascii="Calibri" w:hAnsi="Calibri" w:eastAsia="Calibri"/>
          <w:sz w:val="20"/>
        </w:rPr>
        <w:t xml:space="preserve"> </w:t>
      </w:r>
      <w:r>
        <w:rPr>
          <w:rFonts w:ascii="Calibri" w:hAnsi="Calibri" w:eastAsia="Calibri"/>
          <w:sz w:val="20"/>
        </w:rPr>
        <w:t xml:space="preserve">baselines.</w:t>
      </w:r>
      <w:r>
        <w:rPr>
          <w:rFonts w:ascii="Calibri" w:hAnsi="Calibri" w:eastAsia="Calibri"/>
          <w:sz w:val="20"/>
        </w:rPr>
        <w:t xml:space="preserve"> </w:t>
      </w:r>
      <w:r>
        <w:rPr>
          <w:rFonts w:ascii="Calibri" w:hAnsi="Calibri" w:eastAsia="Calibri"/>
          <w:sz w:val="20"/>
        </w:rPr>
        <w:t xml:space="preserve">In</w:t>
      </w:r>
      <w:r>
        <w:rPr>
          <w:rFonts w:ascii="Calibri" w:hAnsi="Calibri" w:eastAsia="Calibri"/>
          <w:sz w:val="20"/>
        </w:rPr>
        <w:t xml:space="preserve"> </w:t>
      </w:r>
      <w:r>
        <w:rPr>
          <w:rFonts w:ascii="Calibri" w:hAnsi="Calibri" w:eastAsia="Calibri"/>
          <w:sz w:val="20"/>
        </w:rPr>
        <w:t xml:space="preserve">the</w:t>
      </w:r>
      <w:r>
        <w:rPr>
          <w:rFonts w:ascii="Calibri" w:hAnsi="Calibri" w:eastAsia="Calibri"/>
          <w:sz w:val="20"/>
        </w:rPr>
        <w:t xml:space="preserve"> </w:t>
      </w:r>
      <w:r>
        <w:rPr>
          <w:rFonts w:ascii="Calibri" w:hAnsi="Calibri" w:eastAsia="Calibri"/>
          <w:sz w:val="20"/>
        </w:rPr>
        <w:t xml:space="preserve">matched</w:t>
      </w:r>
      <w:r>
        <w:rPr>
          <w:rFonts w:ascii="Calibri" w:hAnsi="Calibri" w:eastAsia="Calibri"/>
          <w:sz w:val="20"/>
        </w:rPr>
        <w:t xml:space="preserve"> </w:t>
      </w:r>
      <w:r>
        <w:rPr>
          <w:rFonts w:ascii="Calibri" w:hAnsi="Calibri" w:eastAsia="Calibri"/>
          <w:sz w:val="20"/>
        </w:rPr>
        <w:t xml:space="preserve">23-seed</w:t>
      </w:r>
      <w:r>
        <w:rPr>
          <w:rFonts w:ascii="Calibri" w:hAnsi="Calibri" w:eastAsia="Calibri"/>
          <w:sz w:val="20"/>
        </w:rPr>
        <w:t xml:space="preserve"> </w:t>
      </w:r>
      <w:r>
        <w:rPr>
          <w:rFonts w:ascii="Calibri" w:hAnsi="Calibri" w:eastAsia="Calibri"/>
          <w:sz w:val="20"/>
        </w:rPr>
        <w:t xml:space="preserve">Highway</w:t>
      </w:r>
      <w:r>
        <w:rPr>
          <w:rFonts w:ascii="Calibri" w:hAnsi="Calibri" w:eastAsia="Calibri"/>
          <w:sz w:val="20"/>
        </w:rPr>
        <w:t xml:space="preserve"> </w:t>
      </w:r>
      <w:r>
        <w:rPr>
          <w:rFonts w:ascii="Calibri" w:hAnsi="Calibri" w:eastAsia="Calibri"/>
          <w:sz w:val="20"/>
        </w:rPr>
        <w:t xml:space="preserve">subset,</w:t>
      </w:r>
      <w:r>
        <w:rPr>
          <w:rFonts w:ascii="Calibri" w:hAnsi="Calibri" w:eastAsia="Calibri"/>
          <w:sz w:val="20"/>
        </w:rPr>
        <w:t xml:space="preserve"> </w:t>
      </w:r>
      <w:r>
        <w:rPr>
          <w:rFonts w:ascii="Calibri" w:hAnsi="Calibri" w:eastAsia="Calibri"/>
          <w:sz w:val="20"/>
        </w:rPr>
        <w:t xml:space="preserve">the</w:t>
      </w:r>
      <w:r>
        <w:rPr>
          <w:rFonts w:ascii="Calibri" w:hAnsi="Calibri" w:eastAsia="Calibri"/>
          <w:sz w:val="20"/>
        </w:rPr>
        <w:t xml:space="preserve"> </w:t>
      </w:r>
      <w:r>
        <w:rPr>
          <w:rFonts w:ascii="Calibri" w:hAnsi="Calibri" w:eastAsia="Calibri"/>
          <w:sz w:val="20"/>
        </w:rPr>
        <w:t xml:space="preserve">corresponding</w:t>
      </w:r>
      <w:r>
        <w:rPr>
          <w:rFonts w:ascii="Calibri" w:hAnsi="Calibri" w:eastAsia="Calibri"/>
          <w:sz w:val="20"/>
        </w:rPr>
        <w:t xml:space="preserve"> </w:t>
      </w:r>
      <w:r>
        <w:rPr>
          <w:rFonts w:ascii="Calibri" w:hAnsi="Calibri" w:eastAsia="Calibri"/>
          <w:sz w:val="20"/>
        </w:rPr>
        <w:t xml:space="preserve">IQMs</w:t>
      </w:r>
      <w:r>
        <w:rPr>
          <w:rFonts w:ascii="Calibri" w:hAnsi="Calibri" w:eastAsia="Calibri"/>
          <w:sz w:val="20"/>
        </w:rPr>
        <w:t xml:space="preserve"> </w:t>
      </w:r>
      <w:r>
        <w:rPr>
          <w:rFonts w:ascii="Calibri" w:hAnsi="Calibri" w:eastAsia="Calibri"/>
          <w:sz w:val="20"/>
        </w:rPr>
        <w:t xml:space="preserve">are</w:t>
      </w:r>
      <w:r>
        <w:rPr>
          <w:rFonts w:ascii="Calibri" w:hAnsi="Calibri" w:eastAsia="Calibri"/>
          <w:sz w:val="20"/>
        </w:rPr>
        <w:t xml:space="preserve"> </w:t>
      </w:r>
      <w:r>
        <w:rPr>
          <w:rFonts w:ascii="Calibri" w:hAnsi="Calibri" w:eastAsia="Calibri"/>
          <w:sz w:val="20"/>
        </w:rPr>
        <w:t xml:space="preserve">122.15,</w:t>
      </w:r>
      <w:r>
        <w:rPr>
          <w:rFonts w:ascii="Calibri" w:hAnsi="Calibri" w:eastAsia="Calibri"/>
          <w:sz w:val="20"/>
        </w:rPr>
        <w:t xml:space="preserve"> </w:t>
      </w:r>
      <w:r>
        <w:rPr>
          <w:rFonts w:ascii="Calibri" w:hAnsi="Calibri" w:eastAsia="Calibri"/>
          <w:sz w:val="20"/>
        </w:rPr>
        <w:t xml:space="preserve">5.79,</w:t>
      </w:r>
      <w:r>
        <w:rPr>
          <w:rFonts w:ascii="Calibri" w:hAnsi="Calibri" w:eastAsia="Calibri"/>
          <w:sz w:val="20"/>
        </w:rPr>
        <w:t xml:space="preserve"> </w:t>
      </w:r>
      <w:r>
        <w:rPr>
          <w:rFonts w:ascii="Calibri" w:hAnsi="Calibri" w:eastAsia="Calibri"/>
          <w:sz w:val="20"/>
        </w:rPr>
        <w:t xml:space="preserve">5.68,</w:t>
      </w:r>
      <w:r>
        <w:rPr>
          <w:rFonts w:ascii="Calibri" w:hAnsi="Calibri" w:eastAsia="Calibri"/>
          <w:sz w:val="20"/>
        </w:rPr>
        <w:t xml:space="preserve"> </w:t>
      </w:r>
      <w:r>
        <w:rPr>
          <w:rFonts w:ascii="Calibri" w:hAnsi="Calibri" w:eastAsia="Calibri"/>
          <w:sz w:val="20"/>
        </w:rPr>
        <w:t xml:space="preserve">and</w:t>
      </w:r>
      <w:r>
        <w:rPr>
          <w:rFonts w:ascii="Calibri" w:hAnsi="Calibri" w:eastAsia="Calibri"/>
          <w:sz w:val="20"/>
        </w:rPr>
        <w:t xml:space="preserve"> </w:t>
      </w:r>
      <w:r>
        <w:rPr>
          <w:rFonts w:ascii="Calibri" w:hAnsi="Calibri" w:eastAsia="Calibri"/>
          <w:sz w:val="20"/>
        </w:rPr>
        <w:t xml:space="preserve">6.44</w:t>
      </w:r>
      <w:r>
        <w:rPr>
          <w:rFonts w:ascii="Calibri" w:hAnsi="Calibri" w:eastAsia="Calibri"/>
          <w:sz w:val="20"/>
        </w:rPr>
        <w:t xml:space="preserve"> </w:t>
      </w:r>
      <w:r>
        <w:rPr>
          <w:rFonts w:ascii="Calibri" w:hAnsi="Calibri" w:eastAsia="Calibri"/>
          <w:sz w:val="20"/>
        </w:rPr>
        <w:t xml:space="preserve">steps.</w:t>
      </w:r>
      <w:r>
        <w:rPr>
          <w:rFonts w:ascii="Calibri" w:hAnsi="Calibri" w:eastAsia="Calibri"/>
          <w:sz w:val="20"/>
        </w:rPr>
        <w:t xml:space="preserve"> </w:t>
      </w:r>
      <w:r>
        <w:rPr>
          <w:rFonts w:ascii="Calibri" w:hAnsi="Calibri" w:eastAsia="Calibri"/>
          <w:sz w:val="20"/>
        </w:rPr>
        <w:t xml:space="preserve">Paired</w:t>
      </w:r>
      <w:r>
        <w:rPr>
          <w:rFonts w:ascii="Calibri" w:hAnsi="Calibri" w:eastAsia="Calibri"/>
          <w:sz w:val="20"/>
        </w:rPr>
        <w:t xml:space="preserve"> </w:t>
      </w:r>
      <w:r>
        <w:rPr>
          <w:rFonts w:ascii="Calibri" w:hAnsi="Calibri" w:eastAsia="Calibri"/>
          <w:sz w:val="20"/>
        </w:rPr>
        <w:t xml:space="preserve">Wilcoxon</w:t>
      </w:r>
      <w:r>
        <w:rPr>
          <w:rFonts w:ascii="Calibri" w:hAnsi="Calibri" w:eastAsia="Calibri"/>
          <w:sz w:val="20"/>
        </w:rPr>
        <w:t xml:space="preserve"> </w:t>
      </w:r>
      <w:r>
        <w:rPr>
          <w:rFonts w:ascii="Calibri" w:hAnsi="Calibri" w:eastAsia="Calibri"/>
          <w:sz w:val="20"/>
        </w:rPr>
        <w:t xml:space="preserve">comparisons</w:t>
      </w:r>
      <w:r>
        <w:rPr>
          <w:rFonts w:ascii="Calibri" w:hAnsi="Calibri" w:eastAsia="Calibri"/>
          <w:sz w:val="20"/>
        </w:rPr>
        <w:t xml:space="preserve"> </w:t>
      </w:r>
      <w:r>
        <w:rPr>
          <w:rFonts w:ascii="Calibri" w:hAnsi="Calibri" w:eastAsia="Calibri"/>
          <w:sz w:val="20"/>
        </w:rPr>
        <w:t xml:space="preserve">remain</w:t>
      </w:r>
      <w:r>
        <w:rPr>
          <w:rFonts w:ascii="Calibri" w:hAnsi="Calibri" w:eastAsia="Calibri"/>
          <w:sz w:val="20"/>
        </w:rPr>
        <w:t xml:space="preserve"> </w:t>
      </w:r>
      <w:r>
        <w:rPr>
          <w:rFonts w:ascii="Calibri" w:hAnsi="Calibri" w:eastAsia="Calibri"/>
          <w:sz w:val="20"/>
        </w:rPr>
        <w:t xml:space="preserve">significant</w:t>
      </w:r>
      <w:r>
        <w:rPr>
          <w:rFonts w:ascii="Calibri" w:hAnsi="Calibri" w:eastAsia="Calibri"/>
          <w:sz w:val="20"/>
        </w:rPr>
        <w:t xml:space="preserve"> </w:t>
      </w:r>
      <w:r>
        <w:rPr>
          <w:rFonts w:ascii="Calibri" w:hAnsi="Calibri" w:eastAsia="Calibri"/>
          <w:sz w:val="20"/>
        </w:rPr>
        <w:t xml:space="preserve">against</w:t>
      </w:r>
      <w:r>
        <w:rPr>
          <w:rFonts w:ascii="Calibri" w:hAnsi="Calibri" w:eastAsia="Calibri"/>
          <w:sz w:val="20"/>
        </w:rPr>
        <w:t xml:space="preserve"> </w:t>
      </w:r>
      <w:r>
        <w:rPr>
          <w:rFonts w:ascii="Calibri" w:hAnsi="Calibri" w:eastAsia="Calibri"/>
          <w:sz w:val="20"/>
        </w:rPr>
        <w:t xml:space="preserve">all</w:t>
      </w:r>
      <w:r>
        <w:rPr>
          <w:rFonts w:ascii="Calibri" w:hAnsi="Calibri" w:eastAsia="Calibri"/>
          <w:sz w:val="20"/>
        </w:rPr>
        <w:t xml:space="preserve"> </w:t>
      </w:r>
      <w:r>
        <w:rPr>
          <w:rFonts w:ascii="Calibri" w:hAnsi="Calibri" w:eastAsia="Calibri"/>
          <w:sz w:val="20"/>
        </w:rPr>
        <w:t xml:space="preserve">three</w:t>
      </w:r>
      <w:r>
        <w:rPr>
          <w:rFonts w:ascii="Calibri" w:hAnsi="Calibri" w:eastAsia="Calibri"/>
          <w:sz w:val="20"/>
        </w:rPr>
        <w:t xml:space="preserve"> </w:t>
      </w:r>
      <w:r>
        <w:rPr>
          <w:rFonts w:ascii="Calibri" w:hAnsi="Calibri" w:eastAsia="Calibri"/>
          <w:sz w:val="20"/>
        </w:rPr>
        <w:t xml:space="preserve">baselines</w:t>
      </w:r>
      <w:r>
        <w:rPr>
          <w:rFonts w:ascii="Calibri" w:hAnsi="Calibri" w:eastAsia="Calibri"/>
          <w:sz w:val="20"/>
        </w:rPr>
        <w:t xml:space="preserve"> </w:t>
      </w:r>
      <w:r>
        <w:rPr>
          <w:rFonts w:ascii="Calibri" w:hAnsi="Calibri" w:eastAsia="Calibri"/>
          <w:sz w:val="20"/>
        </w:rPr>
        <w:t xml:space="preserve">after</w:t>
      </w:r>
      <w:r>
        <w:rPr>
          <w:rFonts w:ascii="Calibri" w:hAnsi="Calibri" w:eastAsia="Calibri"/>
          <w:sz w:val="20"/>
        </w:rPr>
        <w:t xml:space="preserve"> </w:t>
      </w:r>
      <w:r>
        <w:rPr>
          <w:rFonts w:ascii="Calibri" w:hAnsi="Calibri" w:eastAsia="Calibri"/>
          <w:sz w:val="20"/>
        </w:rPr>
        <w:t xml:space="preserve">Holm</w:t>
      </w:r>
      <w:r>
        <w:rPr>
          <w:rFonts w:ascii="Calibri" w:hAnsi="Calibri" w:eastAsia="Calibri"/>
          <w:sz w:val="20"/>
        </w:rPr>
        <w:t xml:space="preserve"> </w:t>
      </w:r>
      <w:r>
        <w:rPr>
          <w:rFonts w:ascii="Calibri" w:hAnsi="Calibri" w:eastAsia="Calibri"/>
          <w:sz w:val="20"/>
        </w:rPr>
        <w:t xml:space="preserve">correction</w:t>
      </w:r>
      <w:r>
        <w:rPr>
          <w:rFonts w:ascii="Calibri" w:hAnsi="Calibri" w:eastAsia="Calibri"/>
          <w:sz w:val="20"/>
        </w:rPr>
        <w:t xml:space="preserve"> </w:t>
      </w:r>
      <w:r>
        <w:rPr>
          <w:rFonts w:ascii="Calibri" w:hAnsi="Calibri" w:eastAsia="Calibri"/>
          <w:sz w:val="20"/>
        </w:rPr>
        <w:t xml:space="preserve">in</w:t>
      </w:r>
      <w:r>
        <w:rPr>
          <w:rFonts w:ascii="Calibri" w:hAnsi="Calibri" w:eastAsia="Calibri"/>
          <w:sz w:val="20"/>
        </w:rPr>
        <w:t xml:space="preserve"> </w:t>
      </w:r>
      <w:r>
        <w:rPr>
          <w:rFonts w:ascii="Calibri" w:hAnsi="Calibri" w:eastAsia="Calibri"/>
          <w:sz w:val="20"/>
        </w:rPr>
        <w:t xml:space="preserve">both</w:t>
      </w:r>
      <w:r>
        <w:rPr>
          <w:rFonts w:ascii="Calibri" w:hAnsi="Calibri" w:eastAsia="Calibri"/>
          <w:sz w:val="20"/>
        </w:rPr>
        <w:t xml:space="preserve"> </w:t>
      </w:r>
      <w:r>
        <w:rPr>
          <w:rFonts w:ascii="Calibri" w:hAnsi="Calibri" w:eastAsia="Calibri"/>
          <w:sz w:val="20"/>
        </w:rPr>
        <w:t xml:space="preserve">environment-specific</w:t>
      </w:r>
      <w:r>
        <w:rPr>
          <w:rFonts w:ascii="Calibri" w:hAnsi="Calibri" w:eastAsia="Calibri"/>
          <w:sz w:val="20"/>
        </w:rPr>
        <w:t xml:space="preserve"> </w:t>
      </w:r>
      <w:r>
        <w:rPr>
          <w:rFonts w:ascii="Calibri" w:hAnsi="Calibri" w:eastAsia="Calibri"/>
          <w:sz w:val="20"/>
        </w:rPr>
        <w:t xml:space="preserve">analyses.</w:t>
      </w:r>
    </w:p>
    <w:bookmarkStart w:id="20" w:name="introduction"/>
    <w:p>
      <w:pPr>
        <w:pStyle w:val="Heading1"/>
        <w:keepNext/>
      </w:pPr>
      <w:r>
        <w:rPr>
          <w:rFonts w:ascii="Calibri" w:hAnsi="Calibri"/>
        </w:rPr>
        <w:t xml:space="preserve">Introduction</w:t>
      </w:r>
    </w:p>
    <w:p>
      <w:pPr>
        <w:pStyle w:val="FirstParagraph"/>
      </w:pPr>
      <w:r>
        <w:rPr>
          <w:rFonts w:ascii="Calibri" w:hAnsi="Calibri"/>
        </w:rPr>
        <w:t xml:space="preserve">Reinforcement learning (RL) trains an agent by allowing it to interact with an environment and learn from rewards and penalties</w:t>
      </w:r>
      <w:r>
        <w:rPr>
          <w:rFonts w:ascii="Calibri" w:hAnsi="Calibri"/>
        </w:rPr>
        <w:t xml:space="preserve"> </w:t>
      </w:r>
      <w:r>
        <w:rPr>
          <w:rFonts w:ascii="Calibri" w:hAnsi="Calibri"/>
        </w:rPr>
        <w:t xml:space="preserve">(Sutton and Barto 2018)</w:t>
      </w:r>
      <w:r>
        <w:rPr>
          <w:rFonts w:ascii="Calibri" w:hAnsi="Calibri"/>
        </w:rPr>
        <w:t xml:space="preserve">. Deep reinforcement learning (DRL) uses a neural network to represent the agent’s decision rule. In autonomous-driving research, DRL can discover behaviours that are difficult to specify manually, but learning requires exploration: the agent must sometimes try an action whose outcome is uncertain. A randomly selected steering or acceleration command may therefore cause an autonomous vehicle collision or send the vehicle off the road.</w:t>
      </w:r>
    </w:p>
    <w:p>
      <w:pPr>
        <w:pStyle w:val="BodyText"/>
      </w:pPr>
      <w:r>
        <w:rPr>
          <w:rFonts w:ascii="Calibri" w:hAnsi="Calibri"/>
        </w:rPr>
        <w:t xml:space="preserve">This paper investigates whether exploration can be guided by state-specific safety evidence. The proposed algorithm, SafetyPool, extends a Deep Q-Network (DQN). During training, SafetyPool groups similar observations into state pools, records which actions have produced sufficient safe or hazardous evidence, and prevents well-supported hazardous actions from being selected. During testing, this intervention is removed and the frozen DQN selects the action with the largest predicted action-value. This separation matters: a test-time shield can make a weak policy appear safe, whereas our evaluation asks whether guided training changes the policy itself.</w:t>
      </w:r>
    </w:p>
    <w:p>
      <w:pPr>
        <w:pStyle w:val="BodyText"/>
      </w:pPr>
      <w:r>
        <w:rPr>
          <w:rFonts w:ascii="Calibri" w:hAnsi="Calibri"/>
        </w:rPr>
        <w:t xml:space="preserve">We address the following research questions:</w:t>
      </w:r>
    </w:p>
    <w:p>
      <w:pPr>
        <w:numPr>
          <w:ilvl w:val="0"/>
          <w:numId w:val="1001"/>
        </w:numPr>
        <w:spacing w:after="80" w:line="290" w:lineRule="auto"/>
        <w:ind w:left="540" w:hanging="279"/>
      </w:pPr>
      <w:r>
        <w:rPr>
          <w:iCs/>
          <w:rFonts w:ascii="Calibri" w:hAnsi="Calibri"/>
          <w:i/>
        </w:rPr>
        <w:t xml:space="preserve">RQ1:</w:t>
      </w:r>
      <w:r>
        <w:rPr>
          <w:rFonts w:ascii="Calibri" w:hAnsi="Calibri"/>
        </w:rPr>
        <w:t xml:space="preserve"> </w:t>
      </w:r>
      <w:r>
        <w:rPr>
          <w:rFonts w:ascii="Calibri" w:hAnsi="Calibri"/>
        </w:rPr>
        <w:t xml:space="preserve">Does SafetyPool delay or prevent autonomous vehicle collisions relative to common exploration baselines?</w:t>
      </w:r>
    </w:p>
    <w:p>
      <w:pPr>
        <w:numPr>
          <w:ilvl w:val="0"/>
          <w:numId w:val="1001"/>
        </w:numPr>
        <w:spacing w:after="80" w:line="290" w:lineRule="auto"/>
        <w:ind w:left="540" w:hanging="279"/>
      </w:pPr>
      <w:r>
        <w:rPr>
          <w:iCs/>
          <w:rFonts w:ascii="Calibri" w:hAnsi="Calibri"/>
          <w:i/>
        </w:rPr>
        <w:t xml:space="preserve">RQ2:</w:t>
      </w:r>
      <w:r>
        <w:rPr>
          <w:rFonts w:ascii="Calibri" w:hAnsi="Calibri"/>
        </w:rPr>
        <w:t xml:space="preserve"> </w:t>
      </w:r>
      <w:r>
        <w:rPr>
          <w:rFonts w:ascii="Calibri" w:hAnsi="Calibri"/>
        </w:rPr>
        <w:t xml:space="preserve">Are the observed improvements consistent across random seeds and statistically supported?</w:t>
      </w:r>
    </w:p>
    <w:p>
      <w:pPr>
        <w:numPr>
          <w:ilvl w:val="0"/>
          <w:numId w:val="1001"/>
        </w:numPr>
        <w:spacing w:after="80" w:line="290" w:lineRule="auto"/>
        <w:ind w:left="540" w:hanging="279"/>
      </w:pPr>
      <w:r>
        <w:rPr>
          <w:iCs/>
          <w:rFonts w:ascii="Calibri" w:hAnsi="Calibri"/>
          <w:i/>
        </w:rPr>
        <w:t xml:space="preserve">RQ3:</w:t>
      </w:r>
      <w:r>
        <w:rPr>
          <w:rFonts w:ascii="Calibri" w:hAnsi="Calibri"/>
        </w:rPr>
        <w:t xml:space="preserve"> </w:t>
      </w:r>
      <w:r>
        <w:rPr>
          <w:rFonts w:ascii="Calibri" w:hAnsi="Calibri"/>
        </w:rPr>
        <w:t xml:space="preserve">How should the Collision RMST improvement be interpreted?</w:t>
      </w:r>
    </w:p>
    <w:p>
      <w:pPr>
        <w:pStyle w:val="FirstParagraph"/>
      </w:pPr>
      <w:r>
        <w:rPr>
          <w:rFonts w:ascii="Calibri" w:hAnsi="Calibri"/>
        </w:rPr>
        <w:t xml:space="preserve">The contributions of this paper are as follows:</w:t>
      </w:r>
    </w:p>
    <w:p>
      <w:pPr>
        <w:numPr>
          <w:ilvl w:val="0"/>
          <w:numId w:val="1002"/>
        </w:numPr>
        <w:spacing w:after="80" w:line="290" w:lineRule="auto"/>
        <w:ind w:left="540" w:hanging="279"/>
      </w:pPr>
      <w:r>
        <w:rPr>
          <w:rFonts w:ascii="Calibri" w:hAnsi="Calibri"/>
        </w:rPr>
        <w:t xml:space="preserve">an evidence-guided exploration mechanism that separates temporary state candidates, promoted state pools, retired pools, and a bounded hazard memory;</w:t>
      </w:r>
    </w:p>
    <w:p>
      <w:pPr>
        <w:numPr>
          <w:ilvl w:val="0"/>
          <w:numId w:val="1002"/>
        </w:numPr>
        <w:spacing w:after="80" w:line="290" w:lineRule="auto"/>
        <w:ind w:left="540" w:hanging="279"/>
      </w:pPr>
      <w:r>
        <w:rPr>
          <w:rFonts w:ascii="Calibri" w:hAnsi="Calibri"/>
        </w:rPr>
        <w:t xml:space="preserve">environment-specific evaluations in MetaDrive and HighwayEnv over 23 matched seeds and 6,900 test episodes per method, against Epsilon-Greedy DQN, NoisyNet DQN, and DQN with Random Network Distillation (RND); and</w:t>
      </w:r>
    </w:p>
    <w:p>
      <w:pPr>
        <w:numPr>
          <w:ilvl w:val="0"/>
          <w:numId w:val="1002"/>
        </w:numPr>
        <w:spacing w:after="80" w:line="290" w:lineRule="auto"/>
        <w:ind w:left="540" w:hanging="279"/>
      </w:pPr>
      <w:r>
        <w:rPr>
          <w:rFonts w:ascii="Calibri" w:hAnsi="Calibri"/>
        </w:rPr>
        <w:t xml:space="preserve">a Collision RMST analysis supported by robust aggregation, confidence intervals, and matched-seed tests.</w:t>
      </w:r>
    </w:p>
    <w:p>
      <w:pPr>
        <w:pStyle w:val="FirstParagraph"/>
      </w:pPr>
      <w:r>
        <w:rPr>
          <w:rFonts w:ascii="Calibri" w:hAnsi="Calibri"/>
        </w:rPr>
        <w:t xml:space="preserve">The rest of this paper is structured as follows. Section 2 discusses the background and related work. Section 3 presents SafetyPool, Section 4 describes the experimental design, and Section 5 reports and discusses the results. Section 6 concludes the paper and outlines future work.</w:t>
      </w:r>
    </w:p>
    <w:bookmarkEnd w:id="20"/>
    <w:bookmarkStart w:id="25" w:name="background-and-related-work"/>
    <w:p>
      <w:pPr>
        <w:pStyle w:val="Heading1"/>
        <w:keepNext/>
      </w:pPr>
      <w:r>
        <w:rPr>
          <w:rFonts w:ascii="Calibri" w:hAnsi="Calibri"/>
        </w:rPr>
        <w:t xml:space="preserve">Background and Related Work</w:t>
      </w:r>
    </w:p>
    <w:bookmarkStart w:id="22" w:name="X8f5fab3390464370f96a56ccc6b6ed5fcc0bc8a"/>
    <w:p>
      <w:pPr>
        <w:pStyle w:val="Heading2"/>
        <w:keepNext/>
      </w:pPr>
      <w:r>
        <w:rPr>
          <w:rFonts w:ascii="Calibri" w:hAnsi="Calibri"/>
        </w:rPr>
        <w:t xml:space="preserve">Value-based reinforcement learning and exploration</w:t>
      </w:r>
    </w:p>
    <w:p>
      <w:pPr>
        <w:pStyle w:val="FirstParagraph"/>
      </w:pPr>
      <w:r>
        <w:rPr>
          <w:rFonts w:ascii="Calibri" w:hAnsi="Calibri"/>
        </w:rPr>
        <w:t xml:space="preserve">An RL problem is commonly formalised as a Markov decision process (MDP), consisting of states, actions, transition probabilities, rewards, and a discount factor</w:t>
      </w:r>
      <w:r>
        <w:rPr>
          <w:rFonts w:ascii="Calibri" w:hAnsi="Calibri"/>
        </w:rPr>
        <w:t xml:space="preserve"> </w:t>
      </w:r>
      <w:r>
        <w:rPr>
          <w:rFonts w:ascii="Calibri" w:hAnsi="Calibri"/>
        </w:rPr>
        <w:t xml:space="preserve">(Sutton and Barto 2018)</w:t>
      </w:r>
      <w:r>
        <w:rPr>
          <w:rFonts w:ascii="Calibri" w:hAnsi="Calibri"/>
        </w:rPr>
        <w:t xml:space="preserve">. Q-learning estimates the expected discounted return of choosing action</w:t>
      </w:r>
      <w:r>
        <w:rPr>
          <w:rFonts w:ascii="Calibri" w:hAnsi="Calibri"/>
        </w:rPr>
        <w:t xml:space="preserve"> </w:t>
      </w:r>
      <m:oMath>
        <m:r>
          <m:t>a</m:t>
        </m:r>
      </m:oMath>
      <w:r>
        <w:rPr>
          <w:rFonts w:ascii="Calibri" w:hAnsi="Calibri"/>
        </w:rPr>
        <w:t xml:space="preserve"> </w:t>
      </w:r>
      <w:r>
        <w:rPr>
          <w:rFonts w:ascii="Calibri" w:hAnsi="Calibri"/>
        </w:rPr>
        <w:t xml:space="preserve">in state</w:t>
      </w:r>
      <w:r>
        <w:rPr>
          <w:rFonts w:ascii="Calibri" w:hAnsi="Calibri"/>
        </w:rPr>
        <w:t xml:space="preserve"> </w:t>
      </w:r>
      <m:oMath>
        <m:r>
          <m:t>s</m:t>
        </m:r>
      </m:oMath>
      <w:r>
        <w:rPr>
          <w:rFonts w:ascii="Calibri" w:hAnsi="Calibri"/>
        </w:rPr>
        <w:t xml:space="preserve"> </w:t>
      </w:r>
      <w:r>
        <w:rPr>
          <w:rFonts w:ascii="Calibri" w:hAnsi="Calibri"/>
        </w:rPr>
        <w:t xml:space="preserve">(Watkins and Dayan 1992)</w:t>
      </w:r>
      <w:r>
        <w:rPr>
          <w:rFonts w:ascii="Calibri" w:hAnsi="Calibri"/>
        </w:rPr>
        <w:t xml:space="preserve">. A DQN approximates this action-value function,</w:t>
      </w:r>
      <w:r>
        <w:rPr>
          <w:rFonts w:ascii="Calibri" w:hAnsi="Calibri"/>
        </w:rPr>
        <w:t xml:space="preserve"> </w:t>
      </w:r>
      <m:oMath>
        <m:r>
          <m:t>Q</m:t>
        </m:r>
        <m:d>
          <m:dPr>
            <m:begChr m:val="("/>
            <m:endChr m:val=")"/>
            <m:sepChr m:val=""/>
            <m:grow/>
          </m:dPr>
          <m:e>
            <m:r>
              <m:t>s</m:t>
            </m:r>
            <m:r>
              <m:rPr>
                <m:sty m:val="p"/>
              </m:rPr>
              <m:t>,</m:t>
            </m:r>
            <m:r>
              <m:t>a</m:t>
            </m:r>
          </m:e>
        </m:d>
      </m:oMath>
      <w:r>
        <w:rPr>
          <w:rFonts w:ascii="Calibri" w:hAnsi="Calibri"/>
        </w:rPr>
        <w:t xml:space="preserve">, with a neural network</w:t>
      </w:r>
      <w:r>
        <w:rPr>
          <w:rFonts w:ascii="Calibri" w:hAnsi="Calibri"/>
        </w:rPr>
        <w:t xml:space="preserve"> </w:t>
      </w:r>
      <w:r>
        <w:rPr>
          <w:rFonts w:ascii="Calibri" w:hAnsi="Calibri"/>
        </w:rPr>
        <w:t xml:space="preserve">(Mnih et al. 2015)</w:t>
      </w:r>
      <w:r>
        <w:rPr>
          <w:rFonts w:ascii="Calibri" w:hAnsi="Calibri"/>
        </w:rPr>
        <w:t xml:space="preserve">. Double DQN reduces overestimation</w:t>
      </w:r>
      <w:r>
        <w:rPr>
          <w:rFonts w:ascii="Calibri" w:hAnsi="Calibri"/>
        </w:rPr>
        <w:t xml:space="preserve"> </w:t>
      </w:r>
      <w:r>
        <w:rPr>
          <w:rFonts w:ascii="Calibri" w:hAnsi="Calibri"/>
        </w:rPr>
        <w:t xml:space="preserve">(Hasselt, Guez, and Silver 2016)</w:t>
      </w:r>
      <w:r>
        <w:rPr>
          <w:rFonts w:ascii="Calibri" w:hAnsi="Calibri"/>
        </w:rPr>
        <w:t xml:space="preserve">; duelling networks separate state value from action advantage</w:t>
      </w:r>
      <w:r>
        <w:rPr>
          <w:rFonts w:ascii="Calibri" w:hAnsi="Calibri"/>
        </w:rPr>
        <w:t xml:space="preserve"> </w:t>
      </w:r>
      <w:r>
        <w:rPr>
          <w:rFonts w:ascii="Calibri" w:hAnsi="Calibri"/>
        </w:rPr>
        <w:t xml:space="preserve">(Wang et al. 2016)</w:t>
      </w:r>
      <w:r>
        <w:rPr>
          <w:rFonts w:ascii="Calibri" w:hAnsi="Calibri"/>
        </w:rPr>
        <w:t xml:space="preserve">; prioritised replay samples informative transitions more frequently</w:t>
      </w:r>
      <w:r>
        <w:rPr>
          <w:rFonts w:ascii="Calibri" w:hAnsi="Calibri"/>
        </w:rPr>
        <w:t xml:space="preserve"> </w:t>
      </w:r>
      <w:r>
        <w:rPr>
          <w:rFonts w:ascii="Calibri" w:hAnsi="Calibri"/>
        </w:rPr>
        <w:t xml:space="preserve">(Schaul et al. 2016)</w:t>
      </w:r>
      <w:r>
        <w:rPr>
          <w:rFonts w:ascii="Calibri" w:hAnsi="Calibri"/>
        </w:rPr>
        <w:t xml:space="preserve">; and Rainbow combines several such improvements</w:t>
      </w:r>
      <w:r>
        <w:rPr>
          <w:rFonts w:ascii="Calibri" w:hAnsi="Calibri"/>
        </w:rPr>
        <w:t xml:space="preserve"> </w:t>
      </w:r>
      <w:r>
        <w:rPr>
          <w:rFonts w:ascii="Calibri" w:hAnsi="Calibri"/>
        </w:rPr>
        <w:t xml:space="preserve">(Hessel et al. 2018)</w:t>
      </w:r>
      <w:r>
        <w:rPr>
          <w:rFonts w:ascii="Calibri" w:hAnsi="Calibri"/>
        </w:rPr>
        <w:t xml:space="preserve">.</w:t>
      </w:r>
    </w:p>
    <w:p>
      <w:pPr>
        <w:pStyle w:val="BodyText"/>
      </w:pPr>
      <w:r>
        <w:rPr>
          <w:rFonts w:ascii="Calibri" w:hAnsi="Calibri"/>
        </w:rPr>
        <w:t xml:space="preserve">Exploration methods decide how the learner gathers experience. Epsilon-Greedy chooses a random action with probability</w:t>
      </w:r>
      <w:r>
        <w:rPr>
          <w:rFonts w:ascii="Calibri" w:hAnsi="Calibri"/>
        </w:rPr>
        <w:t xml:space="preserve"> </w:t>
      </w:r>
      <m:oMath>
        <m:r>
          <m:t>ϵ</m:t>
        </m:r>
      </m:oMath>
      <w:r>
        <w:rPr>
          <w:rFonts w:ascii="Calibri" w:hAnsi="Calibri"/>
        </w:rPr>
        <w:t xml:space="preserve">. NoisyNet injects learned noise into network parameters</w:t>
      </w:r>
      <w:r>
        <w:rPr>
          <w:rFonts w:ascii="Calibri" w:hAnsi="Calibri"/>
        </w:rPr>
        <w:t xml:space="preserve"> </w:t>
      </w:r>
      <w:r>
        <w:rPr>
          <w:rFonts w:ascii="Calibri" w:hAnsi="Calibri"/>
        </w:rPr>
        <w:t xml:space="preserve">(Fortunato et al. 2018)</w:t>
      </w:r>
      <w:r>
        <w:rPr>
          <w:rFonts w:ascii="Calibri" w:hAnsi="Calibri"/>
        </w:rPr>
        <w:t xml:space="preserve">. RND supplies intrinsic reward when a fixed random network is difficult for a predictor to imitate</w:t>
      </w:r>
      <w:r>
        <w:rPr>
          <w:rFonts w:ascii="Calibri" w:hAnsi="Calibri"/>
        </w:rPr>
        <w:t xml:space="preserve"> </w:t>
      </w:r>
      <w:r>
        <w:rPr>
          <w:rFonts w:ascii="Calibri" w:hAnsi="Calibri"/>
        </w:rPr>
        <w:t xml:space="preserve">(Burda et al. 2018)</w:t>
      </w:r>
      <w:r>
        <w:rPr>
          <w:rFonts w:ascii="Calibri" w:hAnsi="Calibri"/>
        </w:rPr>
        <w:t xml:space="preserve">. Other approaches use visitation counts</w:t>
      </w:r>
      <w:r>
        <w:rPr>
          <w:rFonts w:ascii="Calibri" w:hAnsi="Calibri"/>
        </w:rPr>
        <w:t xml:space="preserve"> </w:t>
      </w:r>
      <w:r>
        <w:rPr>
          <w:rFonts w:ascii="Calibri" w:hAnsi="Calibri"/>
        </w:rPr>
        <w:t xml:space="preserve">(Bellemare et al. 2016)</w:t>
      </w:r>
      <w:r>
        <w:rPr>
          <w:rFonts w:ascii="Calibri" w:hAnsi="Calibri"/>
        </w:rPr>
        <w:t xml:space="preserve">, prediction error</w:t>
      </w:r>
      <w:r>
        <w:rPr>
          <w:rFonts w:ascii="Calibri" w:hAnsi="Calibri"/>
        </w:rPr>
        <w:t xml:space="preserve"> </w:t>
      </w:r>
      <w:r>
        <w:rPr>
          <w:rFonts w:ascii="Calibri" w:hAnsi="Calibri"/>
        </w:rPr>
        <w:t xml:space="preserve">(Pathak et al. 2017)</w:t>
      </w:r>
      <w:r>
        <w:rPr>
          <w:rFonts w:ascii="Calibri" w:hAnsi="Calibri"/>
        </w:rPr>
        <w:t xml:space="preserve">, and bootstrapped value functions</w:t>
      </w:r>
      <w:r>
        <w:rPr>
          <w:rFonts w:ascii="Calibri" w:hAnsi="Calibri"/>
        </w:rPr>
        <w:t xml:space="preserve"> </w:t>
      </w:r>
      <w:r>
        <w:rPr>
          <w:rFonts w:ascii="Calibri" w:hAnsi="Calibri"/>
        </w:rPr>
        <w:t xml:space="preserve">(Osband et al. 2016)</w:t>
      </w:r>
      <w:r>
        <w:rPr>
          <w:rFonts w:ascii="Calibri" w:hAnsi="Calibri"/>
        </w:rPr>
        <w:t xml:space="preserve">. These methods promote novelty or uncertainty; they do not necessarily distinguish an informative action from a repeatedly hazardous one.</w:t>
      </w:r>
    </w:p>
    <w:p>
      <w:pPr>
        <w:pStyle w:val="BodyText"/>
      </w:pPr>
      <w:r>
        <w:rPr>
          <w:rFonts w:ascii="Calibri" w:hAnsi="Calibri"/>
        </w:rPr>
        <w:t xml:space="preserve">SafetyPool advances this line of work by making empirical state–action outcomes part of the exploration decision rather than relying only on novelty, uncertainty, or a fixed constraint. It guides the experiences collected by the DQN during training while leaving the learned policy to act independently during evaluation. Table 1 positions SafetyPool relative to representative exploration and safety approaches by comparing their training-time exploration, source of safety knowledge, and evaluation behaviour.</w:t>
      </w:r>
    </w:p>
    <w:bookmarkStart w:id="21" w:name="tab:related"/>
    <w:p>
      <w:pPr>
        <w:pStyle w:val="TableCaption"/>
      </w:pPr>
      <w:r>
        <w:rPr>
          <w:rFonts w:ascii="Calibri" w:hAnsi="Calibri"/>
        </w:rPr>
        <w:t xml:space="preserve">Table 1. Relationship between SafetyPool and representative exploration and safety approaches. Evaluation behaviour shows whether the learned policy acts directly or an auxiliary mechanism may override it.</w:t>
      </w:r>
    </w:p>
    <w:tbl>
      <w:tblPr>
        <w:tblStyle w:val="Table"/>
        <w:tblW w:type="dxa" w:w="9360"/>
        <w:jc w:val="center"/>
        <w:tblLayout w:type="fixed"/>
        <w:tblLook w:firstRow="1" w:lastRow="0" w:firstColumn="0" w:lastColumn="0" w:noHBand="0" w:noVBand="0" w:val="0020"/>
        <w:tblCaption w:val="Table 1. Relationship between SafetyPool and representative exploration and safety approaches. Evaluation behaviour shows whether the learned policy acts directly or an auxiliary mechanism may override it."/>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00"/>
        <w:gridCol w:w="3500"/>
        <w:gridCol w:w="4060"/>
      </w:tblGrid>
      <w:tr>
        <w:trPr>
          <w:tblHeader w:val="true"/>
        </w:trPr>
        <w:tc>
          <w:tcPr>
            <w:tcW w:w="1800" w:type="dxa"/>
            <w:tcMar>
              <w:top w:w="80" w:type="dxa"/>
              <w:bottom w:w="80" w:type="dxa"/>
              <w:start w:w="120" w:type="dxa"/>
              <w:end w:w="120" w:type="dxa"/>
            </w:tcMar>
            <w:vAlign w:val="center"/>
            <w:shd w:fill="F4F6F9"/>
          </w:tcPr>
          <w:p>
            <w:pPr>
              <w:pStyle w:val="Compact"/>
              <w:spacing w:before="0" w:after="40" w:line="240" w:lineRule="auto"/>
              <w:jc w:val="left"/>
            </w:pPr>
            <w:r>
              <w:rPr>
                <w:rFonts w:ascii="Calibri" w:hAnsi="Calibri" w:eastAsia="Calibri"/>
                <w:b/>
                <w:color w:val="0B2545"/>
                <w:sz w:val="18"/>
              </w:rPr>
              <w:t xml:space="preserve">Approach</w:t>
            </w:r>
          </w:p>
        </w:tc>
        <w:tc>
          <w:tcPr>
            <w:tcW w:w="3500" w:type="dxa"/>
            <w:tcMar>
              <w:top w:w="80" w:type="dxa"/>
              <w:bottom w:w="80" w:type="dxa"/>
              <w:start w:w="120" w:type="dxa"/>
              <w:end w:w="120" w:type="dxa"/>
            </w:tcMar>
            <w:vAlign w:val="center"/>
            <w:shd w:fill="F4F6F9"/>
          </w:tcPr>
          <w:p>
            <w:pPr>
              <w:pStyle w:val="Compact"/>
              <w:spacing w:before="0" w:after="40" w:line="240" w:lineRule="auto"/>
              <w:jc w:val="left"/>
            </w:pPr>
            <w:r>
              <w:rPr>
                <w:rFonts w:ascii="Calibri" w:hAnsi="Calibri" w:eastAsia="Calibri"/>
                <w:b/>
                <w:color w:val="0B2545"/>
                <w:sz w:val="18"/>
              </w:rPr>
              <w:t xml:space="preserve">Training guidance</w:t>
            </w:r>
          </w:p>
        </w:tc>
        <w:tc>
          <w:tcPr>
            <w:tcW w:w="4060" w:type="dxa"/>
            <w:tcMar>
              <w:top w:w="80" w:type="dxa"/>
              <w:bottom w:w="80" w:type="dxa"/>
              <w:start w:w="120" w:type="dxa"/>
              <w:end w:w="120" w:type="dxa"/>
            </w:tcMar>
            <w:vAlign w:val="center"/>
            <w:shd w:fill="F4F6F9"/>
          </w:tcPr>
          <w:p>
            <w:pPr>
              <w:pStyle w:val="Compact"/>
              <w:spacing w:before="0" w:after="40" w:line="240" w:lineRule="auto"/>
              <w:jc w:val="left"/>
            </w:pPr>
            <w:r>
              <w:rPr>
                <w:rFonts w:ascii="Calibri" w:hAnsi="Calibri" w:eastAsia="Calibri"/>
                <w:b/>
                <w:color w:val="0B2545"/>
                <w:sz w:val="18"/>
              </w:rPr>
              <w:t xml:space="preserve">Safety knowledge and evaluation role</w:t>
            </w:r>
          </w:p>
        </w:tc>
      </w:tr>
      <w:tr>
        <w:tc>
          <w:tcPr>
            <w:tcW w:w="180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Epsilon-Greedy</w:t>
            </w:r>
          </w:p>
        </w:tc>
        <w:tc>
          <w:tcPr>
            <w:tcW w:w="350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Random action with probability</w:t>
            </w:r>
            <w:r>
              <w:rPr>
                <w:rFonts w:ascii="Calibri" w:hAnsi="Calibri" w:eastAsia="Calibri"/>
                <w:sz w:val="18"/>
              </w:rPr>
              <w:t xml:space="preserve"> </w:t>
            </w:r>
            <m:oMath>
              <m:r>
                <m:t>ϵ</m:t>
              </m:r>
            </m:oMath>
          </w:p>
        </w:tc>
        <w:tc>
          <w:tcPr>
            <w:tcW w:w="406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No safety knowledge; learned DQN acts directly during evaluation</w:t>
            </w:r>
          </w:p>
        </w:tc>
      </w:tr>
      <w:tr>
        <w:tc>
          <w:tcPr>
            <w:tcW w:w="180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NoisyNet</w:t>
            </w:r>
          </w:p>
        </w:tc>
        <w:tc>
          <w:tcPr>
            <w:tcW w:w="350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Learned parameter noise</w:t>
            </w:r>
          </w:p>
        </w:tc>
        <w:tc>
          <w:tcPr>
            <w:tcW w:w="406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No safety knowledge; learned DQN acts directly during evaluation</w:t>
            </w:r>
          </w:p>
        </w:tc>
      </w:tr>
      <w:tr>
        <w:tc>
          <w:tcPr>
            <w:tcW w:w="180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RND</w:t>
            </w:r>
          </w:p>
        </w:tc>
        <w:tc>
          <w:tcPr>
            <w:tcW w:w="350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Prediction-error novelty bonus</w:t>
            </w:r>
          </w:p>
        </w:tc>
        <w:tc>
          <w:tcPr>
            <w:tcW w:w="406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No safety knowledge; learned DQN acts directly during evaluation</w:t>
            </w:r>
          </w:p>
        </w:tc>
      </w:tr>
      <w:tr>
        <w:tc>
          <w:tcPr>
            <w:tcW w:w="180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Formal shield</w:t>
            </w:r>
          </w:p>
        </w:tc>
        <w:tc>
          <w:tcPr>
            <w:tcW w:w="350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Base explorer constrained by logical rules</w:t>
            </w:r>
          </w:p>
        </w:tc>
        <w:tc>
          <w:tcPr>
            <w:tcW w:w="406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Hand-specified safety rules; shield may override the policy</w:t>
            </w:r>
          </w:p>
        </w:tc>
      </w:tr>
      <w:tr>
        <w:tc>
          <w:tcPr>
            <w:tcW w:w="180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Recovery policy</w:t>
            </w:r>
          </w:p>
        </w:tc>
        <w:tc>
          <w:tcPr>
            <w:tcW w:w="350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Base policy plus recovery controller</w:t>
            </w:r>
          </w:p>
        </w:tc>
        <w:tc>
          <w:tcPr>
            <w:tcW w:w="406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Learned risk model; recovery controller may override the policy</w:t>
            </w:r>
          </w:p>
        </w:tc>
      </w:tr>
      <w:tr>
        <w:tc>
          <w:tcPr>
            <w:tcW w:w="1800" w:type="dxa"/>
            <w:tcMar>
              <w:top w:w="80" w:type="dxa"/>
              <w:bottom w:w="80" w:type="dxa"/>
              <w:start w:w="120" w:type="dxa"/>
              <w:end w:w="120" w:type="dxa"/>
            </w:tcMar>
            <w:vAlign w:val="center"/>
          </w:tcPr>
          <w:p>
            <w:pPr>
              <w:pStyle w:val="Compact"/>
              <w:spacing w:before="0" w:after="40" w:line="240" w:lineRule="auto"/>
              <w:jc w:val="left"/>
            </w:pPr>
            <w:r>
              <w:rPr>
                <w:bCs/>
                <w:rFonts w:ascii="Calibri" w:hAnsi="Calibri" w:eastAsia="Calibri"/>
                <w:b/>
                <w:sz w:val="18"/>
              </w:rPr>
              <w:t xml:space="preserve">SafetyPool</w:t>
            </w:r>
          </w:p>
        </w:tc>
        <w:tc>
          <w:tcPr>
            <w:tcW w:w="350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Matched-state outcome evidence guides selection among safe and unknown actions</w:t>
            </w:r>
          </w:p>
        </w:tc>
        <w:tc>
          <w:tcPr>
            <w:tcW w:w="406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Empirical action outcomes; SafetyPool is disabled and the frozen DQN acts directly during evaluation</w:t>
            </w:r>
          </w:p>
        </w:tc>
      </w:tr>
    </w:tbl>
    <w:bookmarkEnd w:id="21"/>
    <w:bookmarkEnd w:id="22"/>
    <w:bookmarkStart w:id="23" w:name="safety-mechanisms"/>
    <w:p>
      <w:pPr>
        <w:pStyle w:val="Heading2"/>
        <w:keepNext/>
      </w:pPr>
      <w:r>
        <w:rPr>
          <w:rFonts w:ascii="Calibri" w:hAnsi="Calibri"/>
        </w:rPr>
        <w:t xml:space="preserve">Safety mechanisms</w:t>
      </w:r>
    </w:p>
    <w:p>
      <w:pPr>
        <w:pStyle w:val="FirstParagraph"/>
      </w:pPr>
      <w:r>
        <w:rPr>
          <w:rFonts w:ascii="Calibri" w:hAnsi="Calibri"/>
        </w:rPr>
        <w:t xml:space="preserve">Safe RL includes constrained optimisation, risk-sensitive objectives, external shields, recovery policies, and action correction</w:t>
      </w:r>
      <w:r>
        <w:rPr>
          <w:rFonts w:ascii="Calibri" w:hAnsi="Calibri"/>
        </w:rPr>
        <w:t xml:space="preserve"> </w:t>
      </w:r>
      <w:r>
        <w:rPr>
          <w:rFonts w:ascii="Calibri" w:hAnsi="Calibri"/>
        </w:rPr>
        <w:t xml:space="preserve">(García and Fernández 2015)</w:t>
      </w:r>
      <w:r>
        <w:rPr>
          <w:rFonts w:ascii="Calibri" w:hAnsi="Calibri"/>
        </w:rPr>
        <w:t xml:space="preserve">. Constrained MDPs represent safety as an explicit cost budget</w:t>
      </w:r>
      <w:r>
        <w:rPr>
          <w:rFonts w:ascii="Calibri" w:hAnsi="Calibri"/>
        </w:rPr>
        <w:t xml:space="preserve"> </w:t>
      </w:r>
      <w:r>
        <w:rPr>
          <w:rFonts w:ascii="Calibri" w:hAnsi="Calibri"/>
        </w:rPr>
        <w:t xml:space="preserve">(Altman 1999)</w:t>
      </w:r>
      <w:r>
        <w:rPr>
          <w:rFonts w:ascii="Calibri" w:hAnsi="Calibri"/>
        </w:rPr>
        <w:t xml:space="preserve">; constrained policy optimisation seeks approximately feasible policy updates</w:t>
      </w:r>
      <w:r>
        <w:rPr>
          <w:rFonts w:ascii="Calibri" w:hAnsi="Calibri"/>
        </w:rPr>
        <w:t xml:space="preserve"> </w:t>
      </w:r>
      <w:r>
        <w:rPr>
          <w:rFonts w:ascii="Calibri" w:hAnsi="Calibri"/>
        </w:rPr>
        <w:t xml:space="preserve">(Achiam et al. 2017)</w:t>
      </w:r>
      <w:r>
        <w:rPr>
          <w:rFonts w:ascii="Calibri" w:hAnsi="Calibri"/>
        </w:rPr>
        <w:t xml:space="preserve">. Shielding rejects actions that violate a formal safety specification</w:t>
      </w:r>
      <w:r>
        <w:rPr>
          <w:rFonts w:ascii="Calibri" w:hAnsi="Calibri"/>
        </w:rPr>
        <w:t xml:space="preserve"> </w:t>
      </w:r>
      <w:r>
        <w:rPr>
          <w:rFonts w:ascii="Calibri" w:hAnsi="Calibri"/>
        </w:rPr>
        <w:t xml:space="preserve">(Alshiekh et al. 2018)</w:t>
      </w:r>
      <w:r>
        <w:rPr>
          <w:rFonts w:ascii="Calibri" w:hAnsi="Calibri"/>
        </w:rPr>
        <w:t xml:space="preserve">, while safety layers correct continuous actions using learned constraints</w:t>
      </w:r>
      <w:r>
        <w:rPr>
          <w:rFonts w:ascii="Calibri" w:hAnsi="Calibri"/>
        </w:rPr>
        <w:t xml:space="preserve"> </w:t>
      </w:r>
      <w:r>
        <w:rPr>
          <w:rFonts w:ascii="Calibri" w:hAnsi="Calibri"/>
        </w:rPr>
        <w:t xml:space="preserve">(Dalal et al. 2018)</w:t>
      </w:r>
      <w:r>
        <w:rPr>
          <w:rFonts w:ascii="Calibri" w:hAnsi="Calibri"/>
        </w:rPr>
        <w:t xml:space="preserve">. Recovery RL learns a separate policy for leaving unsafe regions</w:t>
      </w:r>
      <w:r>
        <w:rPr>
          <w:rFonts w:ascii="Calibri" w:hAnsi="Calibri"/>
        </w:rPr>
        <w:t xml:space="preserve"> </w:t>
      </w:r>
      <w:r>
        <w:rPr>
          <w:rFonts w:ascii="Calibri" w:hAnsi="Calibri"/>
        </w:rPr>
        <w:t xml:space="preserve">(Thananjeyan et al. 2021)</w:t>
      </w:r>
      <w:r>
        <w:rPr>
          <w:rFonts w:ascii="Calibri" w:hAnsi="Calibri"/>
        </w:rPr>
        <w:t xml:space="preserve">, and Lyapunov methods enforce stability-style constraints</w:t>
      </w:r>
      <w:r>
        <w:rPr>
          <w:rFonts w:ascii="Calibri" w:hAnsi="Calibri"/>
        </w:rPr>
        <w:t xml:space="preserve"> </w:t>
      </w:r>
      <w:r>
        <w:rPr>
          <w:rFonts w:ascii="Calibri" w:hAnsi="Calibri"/>
        </w:rPr>
        <w:t xml:space="preserve">(Chow et al. 2018)</w:t>
      </w:r>
      <w:r>
        <w:rPr>
          <w:rFonts w:ascii="Calibri" w:hAnsi="Calibri"/>
        </w:rPr>
        <w:t xml:space="preserve">. In contrast, SafetyPool uses empirical, local evidence to guide exploration only during training. It neither assumes a formal vehicle-dynamics model nor uses an external test-time shield.</w:t>
      </w:r>
    </w:p>
    <w:bookmarkEnd w:id="23"/>
    <w:bookmarkStart w:id="24" w:name="X3d6b812d513b43aa3d974ce1390165466ed4cff"/>
    <w:p>
      <w:pPr>
        <w:pStyle w:val="Heading2"/>
        <w:keepNext/>
      </w:pPr>
      <w:r>
        <w:rPr>
          <w:rFonts w:ascii="Calibri" w:hAnsi="Calibri"/>
        </w:rPr>
        <w:t xml:space="preserve">Autonomous-driving simulation and evaluation</w:t>
      </w:r>
    </w:p>
    <w:p>
      <w:pPr>
        <w:pStyle w:val="FirstParagraph"/>
      </w:pPr>
      <w:r>
        <w:rPr>
          <w:rFonts w:ascii="Calibri" w:hAnsi="Calibri"/>
        </w:rPr>
        <w:t xml:space="preserve">DRL has been widely explored for autonomous driving</w:t>
      </w:r>
      <w:r>
        <w:rPr>
          <w:rFonts w:ascii="Calibri" w:hAnsi="Calibri"/>
        </w:rPr>
        <w:t xml:space="preserve"> </w:t>
      </w:r>
      <w:r>
        <w:rPr>
          <w:rFonts w:ascii="Calibri" w:hAnsi="Calibri"/>
        </w:rPr>
        <w:t xml:space="preserve">(Kiran et al. 2022; Sallab et al. 2017; Kendall et al. 2019)</w:t>
      </w:r>
      <w:r>
        <w:rPr>
          <w:rFonts w:ascii="Calibri" w:hAnsi="Calibri"/>
        </w:rPr>
        <w:t xml:space="preserve">. MetaDrive supports configurable procedural driving scenarios and standardised agent interaction</w:t>
      </w:r>
      <w:r>
        <w:rPr>
          <w:rFonts w:ascii="Calibri" w:hAnsi="Calibri"/>
        </w:rPr>
        <w:t xml:space="preserve"> </w:t>
      </w:r>
      <w:r>
        <w:rPr>
          <w:rFonts w:ascii="Calibri" w:hAnsi="Calibri"/>
        </w:rPr>
        <w:t xml:space="preserve">(Li et al. 2023)</w:t>
      </w:r>
      <w:r>
        <w:rPr>
          <w:rFonts w:ascii="Calibri" w:hAnsi="Calibri"/>
        </w:rPr>
        <w:t xml:space="preserve">, while HighwayEnv provides a lane-based highway simulator with controllable traffic and vehicle dynamics. Reward shaping can accelerate learning by providing informative feedback when the original reward is sparse. However, poorly designed shaping terms can redirect the policy toward maximising a proxy reward instead of the intended driving objective</w:t>
      </w:r>
      <w:r>
        <w:rPr>
          <w:rFonts w:ascii="Calibri" w:hAnsi="Calibri"/>
        </w:rPr>
        <w:t xml:space="preserve"> </w:t>
      </w:r>
      <w:r>
        <w:rPr>
          <w:rFonts w:ascii="Calibri" w:hAnsi="Calibri"/>
        </w:rPr>
        <w:t xml:space="preserve">(Ng, Harada, and Russell 1999)</w:t>
      </w:r>
      <w:r>
        <w:rPr>
          <w:rFonts w:ascii="Calibri" w:hAnsi="Calibri"/>
        </w:rPr>
        <w:t xml:space="preserve">. We therefore evaluate collision-free time directly rather than using reward as the outcome.</w:t>
      </w:r>
    </w:p>
    <w:p>
      <w:pPr>
        <w:pStyle w:val="BodyText"/>
      </w:pPr>
      <w:r>
        <w:rPr>
          <w:rFonts w:ascii="Calibri" w:hAnsi="Calibri"/>
        </w:rPr>
        <w:t xml:space="preserve">Reliable RL comparisons require more than a mean over a few runs. Henderson et al. document sensitivity to implementation and random seeds</w:t>
      </w:r>
      <w:r>
        <w:rPr>
          <w:rFonts w:ascii="Calibri" w:hAnsi="Calibri"/>
        </w:rPr>
        <w:t xml:space="preserve"> </w:t>
      </w:r>
      <w:r>
        <w:rPr>
          <w:rFonts w:ascii="Calibri" w:hAnsi="Calibri"/>
        </w:rPr>
        <w:t xml:space="preserve">(Henderson et al. 2018)</w:t>
      </w:r>
      <w:r>
        <w:rPr>
          <w:rFonts w:ascii="Calibri" w:hAnsi="Calibri"/>
        </w:rPr>
        <w:t xml:space="preserve">; Agarwal et al. recommend robust aggregate statistics such as the interquartile mean (IQM) and stratified bootstrap confidence intervals</w:t>
      </w:r>
      <w:r>
        <w:rPr>
          <w:rFonts w:ascii="Calibri" w:hAnsi="Calibri"/>
        </w:rPr>
        <w:t xml:space="preserve"> </w:t>
      </w:r>
      <w:r>
        <w:rPr>
          <w:rFonts w:ascii="Calibri" w:hAnsi="Calibri"/>
        </w:rPr>
        <w:t xml:space="preserve">(Agarwal et al. 2021)</w:t>
      </w:r>
      <w:r>
        <w:rPr>
          <w:rFonts w:ascii="Calibri" w:hAnsi="Calibri"/>
        </w:rPr>
        <w:t xml:space="preserve">; Colas et al. discuss appropriate statistical testing</w:t>
      </w:r>
      <w:r>
        <w:rPr>
          <w:rFonts w:ascii="Calibri" w:hAnsi="Calibri"/>
        </w:rPr>
        <w:t xml:space="preserve"> </w:t>
      </w:r>
      <w:r>
        <w:rPr>
          <w:rFonts w:ascii="Calibri" w:hAnsi="Calibri"/>
        </w:rPr>
        <w:t xml:space="preserve">(Colas, Sigaud, and Oudeyer 2019)</w:t>
      </w:r>
      <w:r>
        <w:rPr>
          <w:rFonts w:ascii="Calibri" w:hAnsi="Calibri"/>
        </w:rPr>
        <w:t xml:space="preserve">; and Patterson et al. emphasise transparent empirical design</w:t>
      </w:r>
      <w:r>
        <w:rPr>
          <w:rFonts w:ascii="Calibri" w:hAnsi="Calibri"/>
        </w:rPr>
        <w:t xml:space="preserve"> </w:t>
      </w:r>
      <w:r>
        <w:rPr>
          <w:rFonts w:ascii="Calibri" w:hAnsi="Calibri"/>
        </w:rPr>
        <w:t xml:space="preserve">(Patterson et al. 2024)</w:t>
      </w:r>
      <w:r>
        <w:rPr>
          <w:rFonts w:ascii="Calibri" w:hAnsi="Calibri"/>
        </w:rPr>
        <w:t xml:space="preserve">. Our analysis combines robust aggregation with matched-seed paired tests because the IQM limits the influence of unusually high or low seed outcomes, while pairing compares methods under the same training randomisations. Together, these choices make the comparison more sensitive to method differences and less sensitive to seed-specific variation.</w:t>
      </w:r>
    </w:p>
    <w:bookmarkEnd w:id="24"/>
    <w:bookmarkEnd w:id="25"/>
    <w:bookmarkStart w:id="29" w:name="methodology"/>
    <w:p>
      <w:pPr>
        <w:pStyle w:val="Heading1"/>
        <w:keepNext/>
      </w:pPr>
      <w:r>
        <w:rPr>
          <w:rFonts w:ascii="Calibri" w:hAnsi="Calibri"/>
        </w:rPr>
        <w:t xml:space="preserve">Methodology</w:t>
      </w:r>
    </w:p>
    <w:bookmarkStart w:id="26" w:name="base-learner"/>
    <w:p>
      <w:pPr>
        <w:pStyle w:val="Heading2"/>
        <w:keepNext/>
      </w:pPr>
      <w:r>
        <w:rPr>
          <w:rFonts w:ascii="Calibri" w:hAnsi="Calibri"/>
        </w:rPr>
        <w:t xml:space="preserve">Base learner</w:t>
      </w:r>
    </w:p>
    <w:p>
      <w:pPr>
        <w:pStyle w:val="FirstParagraph"/>
      </w:pPr>
      <w:r>
        <w:rPr>
          <w:rFonts w:ascii="Calibri" w:hAnsi="Calibri"/>
        </w:rPr>
        <w:t xml:space="preserve">The agent receives a vector observation</w:t>
      </w:r>
      <w:r>
        <w:rPr>
          <w:rFonts w:ascii="Calibri" w:hAnsi="Calibri"/>
        </w:rPr>
        <w:t xml:space="preserve"> </w:t>
      </w:r>
      <m:oMath>
        <m:sSub>
          <m:e>
            <m:r>
              <m:t>s</m:t>
            </m:r>
          </m:e>
          <m:sub>
            <m:r>
              <m:t>t</m:t>
            </m:r>
          </m:sub>
        </m:sSub>
      </m:oMath>
      <w:r>
        <w:rPr>
          <w:rFonts w:ascii="Calibri" w:hAnsi="Calibri"/>
        </w:rPr>
        <w:t xml:space="preserve"> </w:t>
      </w:r>
      <w:r>
        <w:rPr>
          <w:rFonts w:ascii="Calibri" w:hAnsi="Calibri"/>
        </w:rPr>
        <w:t xml:space="preserve">at time</w:t>
      </w:r>
      <w:r>
        <w:rPr>
          <w:rFonts w:ascii="Calibri" w:hAnsi="Calibri"/>
        </w:rPr>
        <w:t xml:space="preserve"> </w:t>
      </w:r>
      <m:oMath>
        <m:r>
          <m:t>t</m:t>
        </m:r>
      </m:oMath>
      <w:r>
        <w:rPr>
          <w:rFonts w:ascii="Calibri" w:hAnsi="Calibri"/>
        </w:rPr>
        <w:t xml:space="preserve"> </w:t>
      </w:r>
      <w:r>
        <w:rPr>
          <w:rFonts w:ascii="Calibri" w:hAnsi="Calibri"/>
        </w:rPr>
        <w:t xml:space="preserve">and selects one of nine discrete actions formed by three steering choices and three throttle/brake choices. A DQN with parameters</w:t>
      </w:r>
      <w:r>
        <w:rPr>
          <w:rFonts w:ascii="Calibri" w:hAnsi="Calibri"/>
        </w:rPr>
        <w:t xml:space="preserve"> </w:t>
      </w:r>
      <m:oMath>
        <m:r>
          <m:t>θ</m:t>
        </m:r>
      </m:oMath>
      <w:r>
        <w:rPr>
          <w:rFonts w:ascii="Calibri" w:hAnsi="Calibri"/>
        </w:rPr>
        <w:t xml:space="preserve"> </w:t>
      </w:r>
      <w:r>
        <w:rPr>
          <w:rFonts w:ascii="Calibri" w:hAnsi="Calibri"/>
        </w:rPr>
        <w:t xml:space="preserve">predicts one action-value for each action. The temporal-difference target is</w:t>
      </w:r>
    </w:p>
    <w:p>
      <w:pPr>
        <w:pStyle w:val="BodyText"/>
      </w:pPr>
      <m:oMathPara>
        <m:oMathParaPr>
          <m:jc m:val="center"/>
        </m:oMathParaPr>
        <m:oMath>
          <m:sSub>
            <m:e>
              <m:r>
                <m:t>y</m:t>
              </m:r>
            </m:e>
            <m:sub>
              <m:r>
                <m:t>t</m:t>
              </m:r>
            </m:sub>
          </m:sSub>
          <m:r>
            <m:rPr>
              <m:sty m:val="p"/>
            </m:rPr>
            <m:t>=</m:t>
          </m:r>
          <m:sSub>
            <m:e>
              <m:r>
                <m:t>r</m:t>
              </m:r>
            </m:e>
            <m:sub>
              <m:r>
                <m:t>t</m:t>
              </m:r>
            </m:sub>
          </m:sSub>
          <m:r>
            <m:rPr>
              <m:sty m:val="p"/>
            </m:rPr>
            <m:t>+</m:t>
          </m:r>
          <m:r>
            <m:t>γ</m:t>
          </m:r>
          <m:d>
            <m:dPr>
              <m:begChr m:val="("/>
              <m:endChr m:val=")"/>
              <m:sepChr m:val=""/>
              <m:grow/>
            </m:dPr>
            <m:e>
              <m:r>
                <m:t>1</m:t>
              </m:r>
              <m:r>
                <m:rPr>
                  <m:sty m:val="p"/>
                </m:rPr>
                <m:t>−</m:t>
              </m:r>
              <m:sSub>
                <m:e>
                  <m:r>
                    <m:t>d</m:t>
                  </m:r>
                </m:e>
                <m:sub>
                  <m:r>
                    <m:t>t</m:t>
                  </m:r>
                </m:sub>
              </m:sSub>
            </m:e>
          </m:d>
          <m:limLow>
            <m:e>
              <m:r>
                <m:rPr>
                  <m:sty m:val="p"/>
                </m:rPr>
                <m:t>max</m:t>
              </m:r>
            </m:e>
            <m:lim>
              <m:r>
                <m:t>a</m:t>
              </m:r>
              <m:r>
                <m:rPr>
                  <m:sty m:val="p"/>
                </m:rPr>
                <m:t>′</m:t>
              </m:r>
            </m:lim>
          </m:limLow>
          <m:sSub>
            <m:e>
              <m:r>
                <m:t>Q</m:t>
              </m:r>
            </m:e>
            <m:sub>
              <m:sSup>
                <m:e>
                  <m:r>
                    <m:t>θ</m:t>
                  </m:r>
                </m:e>
                <m:sup>
                  <m:r>
                    <m:rPr>
                      <m:sty m:val="p"/>
                    </m:rPr>
                    <m:t>−</m:t>
                  </m:r>
                </m:sup>
              </m:sSup>
            </m:sub>
          </m:sSub>
          <m:d>
            <m:dPr>
              <m:begChr m:val="("/>
              <m:endChr m:val=")"/>
              <m:sepChr m:val=""/>
              <m:grow/>
            </m:dPr>
            <m:e>
              <m:sSub>
                <m:e>
                  <m:r>
                    <m:t>s</m:t>
                  </m:r>
                </m:e>
                <m:sub>
                  <m:r>
                    <m:t>t</m:t>
                  </m:r>
                  <m:r>
                    <m:rPr>
                      <m:sty m:val="p"/>
                    </m:rPr>
                    <m:t>+</m:t>
                  </m:r>
                  <m:r>
                    <m:t>1</m:t>
                  </m:r>
                </m:sub>
              </m:sSub>
              <m:r>
                <m:rPr>
                  <m:sty m:val="p"/>
                </m:rPr>
                <m:t>,</m:t>
              </m:r>
              <m:r>
                <m:t>a</m:t>
              </m:r>
              <m:r>
                <m:rPr>
                  <m:sty m:val="p"/>
                </m:rPr>
                <m:t>′</m:t>
              </m:r>
            </m:e>
          </m:d>
          <m:r>
            <m:rPr>
              <m:sty m:val="p"/>
            </m:rPr>
            <m:t>,</m:t>
          </m:r>
        </m:oMath>
      </m:oMathPara>
    </w:p>
    <w:p>
      <w:pPr>
        <w:pStyle w:val="FirstParagraph"/>
      </w:pPr>
      <w:r>
        <w:rPr>
          <w:rFonts w:ascii="Calibri" w:hAnsi="Calibri"/>
        </w:rPr>
        <w:t xml:space="preserve">where</w:t>
      </w:r>
      <w:r>
        <w:rPr>
          <w:rFonts w:ascii="Calibri" w:hAnsi="Calibri"/>
        </w:rPr>
        <w:t xml:space="preserve"> </w:t>
      </w:r>
      <m:oMath>
        <m:sSub>
          <m:e>
            <m:r>
              <m:t>r</m:t>
            </m:r>
          </m:e>
          <m:sub>
            <m:r>
              <m:t>t</m:t>
            </m:r>
          </m:sub>
        </m:sSub>
      </m:oMath>
      <w:r>
        <w:rPr>
          <w:rFonts w:ascii="Calibri" w:hAnsi="Calibri"/>
        </w:rPr>
        <w:t xml:space="preserve"> </w:t>
      </w:r>
      <w:r>
        <w:rPr>
          <w:rFonts w:ascii="Calibri" w:hAnsi="Calibri"/>
        </w:rPr>
        <w:t xml:space="preserve">is the reward,</w:t>
      </w:r>
      <w:r>
        <w:rPr>
          <w:rFonts w:ascii="Calibri" w:hAnsi="Calibri"/>
        </w:rPr>
        <w:t xml:space="preserve"> </w:t>
      </w:r>
      <m:oMath>
        <m:r>
          <m:t>γ</m:t>
        </m:r>
        <m:r>
          <m:rPr>
            <m:sty m:val="p"/>
          </m:rPr>
          <m:t>=</m:t>
        </m:r>
        <m:r>
          <m:t>0.99</m:t>
        </m:r>
      </m:oMath>
      <w:r>
        <w:rPr>
          <w:rFonts w:ascii="Calibri" w:hAnsi="Calibri"/>
        </w:rPr>
        <w:t xml:space="preserve"> </w:t>
      </w:r>
      <w:r>
        <w:rPr>
          <w:rFonts w:ascii="Calibri" w:hAnsi="Calibri"/>
        </w:rPr>
        <w:t xml:space="preserve">is the discount factor,</w:t>
      </w:r>
      <w:r>
        <w:rPr>
          <w:rFonts w:ascii="Calibri" w:hAnsi="Calibri"/>
        </w:rPr>
        <w:t xml:space="preserve"> </w:t>
      </w:r>
      <m:oMath>
        <m:sSub>
          <m:e>
            <m:r>
              <m:t>d</m:t>
            </m:r>
          </m:e>
          <m:sub>
            <m:r>
              <m:t>t</m:t>
            </m:r>
          </m:sub>
        </m:sSub>
      </m:oMath>
      <w:r>
        <w:rPr>
          <w:rFonts w:ascii="Calibri" w:hAnsi="Calibri"/>
        </w:rPr>
        <w:t xml:space="preserve"> </w:t>
      </w:r>
      <w:r>
        <w:rPr>
          <w:rFonts w:ascii="Calibri" w:hAnsi="Calibri"/>
        </w:rPr>
        <w:t xml:space="preserve">is one when the episode ends, and</w:t>
      </w:r>
      <w:r>
        <w:rPr>
          <w:rFonts w:ascii="Calibri" w:hAnsi="Calibri"/>
        </w:rPr>
        <w:t xml:space="preserve"> </w:t>
      </w:r>
      <m:oMath>
        <m:sSup>
          <m:e>
            <m:r>
              <m:t>θ</m:t>
            </m:r>
          </m:e>
          <m:sup>
            <m:r>
              <m:rPr>
                <m:sty m:val="p"/>
              </m:rPr>
              <m:t>−</m:t>
            </m:r>
          </m:sup>
        </m:sSup>
      </m:oMath>
      <w:r>
        <w:rPr>
          <w:rFonts w:ascii="Calibri" w:hAnsi="Calibri"/>
        </w:rPr>
        <w:t xml:space="preserve"> </w:t>
      </w:r>
      <w:r>
        <w:rPr>
          <w:rFonts w:ascii="Calibri" w:hAnsi="Calibri"/>
        </w:rPr>
        <w:t xml:space="preserve">denotes the target network. The online network minimises the squared difference between</w:t>
      </w:r>
      <w:r>
        <w:rPr>
          <w:rFonts w:ascii="Calibri" w:hAnsi="Calibri"/>
        </w:rPr>
        <w:t xml:space="preserve"> </w:t>
      </w:r>
      <m:oMath>
        <m:sSub>
          <m:e>
            <m:r>
              <m:t>y</m:t>
            </m:r>
          </m:e>
          <m:sub>
            <m:r>
              <m:t>t</m:t>
            </m:r>
          </m:sub>
        </m:sSub>
      </m:oMath>
      <w:r>
        <w:rPr>
          <w:rFonts w:ascii="Calibri" w:hAnsi="Calibri"/>
        </w:rPr>
        <w:t xml:space="preserve"> </w:t>
      </w:r>
      <w:r>
        <w:rPr>
          <w:rFonts w:ascii="Calibri" w:hAnsi="Calibri"/>
        </w:rPr>
        <w:t xml:space="preserve">and</w:t>
      </w:r>
      <w:r>
        <w:rPr>
          <w:rFonts w:ascii="Calibri" w:hAnsi="Calibri"/>
        </w:rPr>
        <w:t xml:space="preserve"> </w:t>
      </w:r>
      <m:oMath>
        <m:sSub>
          <m:e>
            <m:r>
              <m:t>Q</m:t>
            </m:r>
          </m:e>
          <m:sub>
            <m:r>
              <m:t>θ</m:t>
            </m:r>
          </m:sub>
        </m:sSub>
        <m:d>
          <m:dPr>
            <m:begChr m:val="("/>
            <m:endChr m:val=")"/>
            <m:sepChr m:val=""/>
            <m:grow/>
          </m:dPr>
          <m:e>
            <m:sSub>
              <m:e>
                <m:r>
                  <m:t>s</m:t>
                </m:r>
              </m:e>
              <m:sub>
                <m:r>
                  <m:t>t</m:t>
                </m:r>
              </m:sub>
            </m:sSub>
            <m:r>
              <m:rPr>
                <m:sty m:val="p"/>
              </m:rPr>
              <m:t>,</m:t>
            </m:r>
            <m:sSub>
              <m:e>
                <m:r>
                  <m:t>a</m:t>
                </m:r>
              </m:e>
              <m:sub>
                <m:r>
                  <m:t>t</m:t>
                </m:r>
              </m:sub>
            </m:sSub>
          </m:e>
        </m:d>
      </m:oMath>
      <w:r>
        <w:rPr>
          <w:rFonts w:ascii="Calibri" w:hAnsi="Calibri"/>
        </w:rPr>
        <w:t xml:space="preserve">. Optimisation uses Adam</w:t>
      </w:r>
      <w:r>
        <w:rPr>
          <w:rFonts w:ascii="Calibri" w:hAnsi="Calibri"/>
        </w:rPr>
        <w:t xml:space="preserve"> </w:t>
      </w:r>
      <w:r>
        <w:rPr>
          <w:rFonts w:ascii="Calibri" w:hAnsi="Calibri"/>
        </w:rPr>
        <w:t xml:space="preserve">(Kingma and Ba 2015)</w:t>
      </w:r>
      <w:r>
        <w:rPr>
          <w:rFonts w:ascii="Calibri" w:hAnsi="Calibri"/>
        </w:rPr>
        <w:t xml:space="preserve">, whose adaptive learning rates are based on first- and second-moment estimates. Neural-network gradients are computed by back-propagation</w:t>
      </w:r>
      <w:r>
        <w:rPr>
          <w:rFonts w:ascii="Calibri" w:hAnsi="Calibri"/>
        </w:rPr>
        <w:t xml:space="preserve"> </w:t>
      </w:r>
      <w:r>
        <w:rPr>
          <w:rFonts w:ascii="Calibri" w:hAnsi="Calibri"/>
        </w:rPr>
        <w:t xml:space="preserve">(Rumelhart, Hinton, and Williams 1986)</w:t>
      </w:r>
      <w:r>
        <w:rPr>
          <w:rFonts w:ascii="Calibri" w:hAnsi="Calibri"/>
        </w:rPr>
        <w:t xml:space="preserve">.</w:t>
      </w:r>
    </w:p>
    <w:bookmarkEnd w:id="26"/>
    <w:bookmarkStart w:id="27" w:name="X26953033ffa33e1544c5a05889395b1c85ed2af"/>
    <w:p>
      <w:pPr>
        <w:pStyle w:val="Heading2"/>
        <w:keepNext/>
      </w:pPr>
      <w:r>
        <w:rPr>
          <w:rFonts w:ascii="Calibri" w:hAnsi="Calibri"/>
        </w:rPr>
        <w:t xml:space="preserve">State candidates, active pools, and hazard memory</w:t>
      </w:r>
    </w:p>
    <w:p>
      <w:pPr>
        <w:pStyle w:val="FirstParagraph"/>
      </w:pPr>
      <w:r>
        <w:rPr>
          <w:rFonts w:ascii="Calibri" w:hAnsi="Calibri"/>
        </w:rPr>
        <w:t xml:space="preserve">SafetyPool maintains bounded memory at three levels.</w:t>
      </w:r>
    </w:p>
    <w:p>
      <w:pPr>
        <w:pStyle w:val="BodyText"/>
      </w:pPr>
      <w:r>
        <w:rPr>
          <w:bCs/>
          <w:rFonts w:ascii="Calibri" w:hAnsi="Calibri"/>
          <w:b/>
        </w:rPr>
        <w:t xml:space="preserve">Candidate states</w:t>
      </w:r>
      <w:r>
        <w:rPr>
          <w:rFonts w:ascii="Calibri" w:hAnsi="Calibri"/>
        </w:rPr>
        <w:t xml:space="preserve"> </w:t>
      </w:r>
      <w:r>
        <w:rPr>
          <w:rFonts w:ascii="Calibri" w:hAnsi="Calibri"/>
        </w:rPr>
        <w:t xml:space="preserve">are newly observed state regions. A candidate must be revisited four times before promotion, which reduces the chance that a single noisy observation creates a permanent rule. At most 150 candidates are retained; eviction begins above a soft limit of 125.</w:t>
      </w:r>
    </w:p>
    <w:p>
      <w:pPr>
        <w:pStyle w:val="BodyText"/>
      </w:pPr>
      <w:r>
        <w:rPr>
          <w:bCs/>
          <w:rFonts w:ascii="Calibri" w:hAnsi="Calibri"/>
          <w:b/>
        </w:rPr>
        <w:t xml:space="preserve">Active state pools</w:t>
      </w:r>
      <w:r>
        <w:rPr>
          <w:rFonts w:ascii="Calibri" w:hAnsi="Calibri"/>
        </w:rPr>
        <w:t xml:space="preserve"> </w:t>
      </w:r>
      <w:r>
        <w:rPr>
          <w:rFonts w:ascii="Calibri" w:hAnsi="Calibri"/>
        </w:rPr>
        <w:t xml:space="preserve">are promoted regions with action-level evidence. A pool stores a representative state, visit counts, observed outcomes, and whether each action is currently considered safe, hazardous, or insufficiently known. The active collection is capped at 500 pools. Retired pools preserve summaries of displaced regions.</w:t>
      </w:r>
    </w:p>
    <w:p>
      <w:pPr>
        <w:pStyle w:val="BodyText"/>
      </w:pPr>
      <w:r>
        <w:rPr>
          <w:bCs/>
          <w:rFonts w:ascii="Calibri" w:hAnsi="Calibri"/>
          <w:b/>
        </w:rPr>
        <w:t xml:space="preserve">Hazard memory</w:t>
      </w:r>
      <w:r>
        <w:rPr>
          <w:rFonts w:ascii="Calibri" w:hAnsi="Calibri"/>
        </w:rPr>
        <w:t xml:space="preserve"> </w:t>
      </w:r>
      <w:r>
        <w:rPr>
          <w:rFonts w:ascii="Calibri" w:hAnsi="Calibri"/>
        </w:rPr>
        <w:t xml:space="preserve">retains up to 125 hazardous summaries even when their original pools are removed. This makes repeated severe outcomes less likely to be forgotten simply because memory capacity is reached.</w:t>
      </w:r>
    </w:p>
    <w:p>
      <w:pPr>
        <w:pStyle w:val="BodyText"/>
      </w:pPr>
      <w:r>
        <w:rPr>
          <w:rFonts w:ascii="Calibri" w:hAnsi="Calibri"/>
        </w:rPr>
        <w:t xml:space="preserve">Two observations are considered for the same region only when they pass both a directional and a magnitude gate. Directional similarity is measured by cosine similarity,</w:t>
      </w:r>
    </w:p>
    <w:p>
      <w:pPr>
        <w:pStyle w:val="BodyText"/>
      </w:pPr>
      <m:oMathPara>
        <m:oMathParaPr>
          <m:jc m:val="center"/>
        </m:oMathParaPr>
        <m:oMath>
          <m:r>
            <m:rPr>
              <m:sty m:val="p"/>
            </m:rPr>
            <m:t>cos</m:t>
          </m:r>
          <m:d>
            <m:dPr>
              <m:begChr m:val="("/>
              <m:endChr m:val=")"/>
              <m:sepChr m:val=""/>
              <m:grow/>
            </m:dPr>
            <m:e>
              <m:r>
                <m:t>x</m:t>
              </m:r>
              <m:r>
                <m:rPr>
                  <m:sty m:val="p"/>
                </m:rPr>
                <m:t>,</m:t>
              </m:r>
              <m:r>
                <m:t>z</m:t>
              </m:r>
            </m:e>
          </m:d>
          <m:r>
            <m:rPr>
              <m:sty m:val="p"/>
            </m:rPr>
            <m:t>=</m:t>
          </m:r>
          <m:f>
            <m:fPr>
              <m:type m:val="bar"/>
            </m:fPr>
            <m:num>
              <m:sSup>
                <m:e>
                  <m:r>
                    <m:t>x</m:t>
                  </m:r>
                </m:e>
                <m:sup>
                  <m:r>
                    <m:rPr>
                      <m:sty m:val="p"/>
                    </m:rPr>
                    <m:t>⊤</m:t>
                  </m:r>
                </m:sup>
              </m:sSup>
              <m:r>
                <m:t>z</m:t>
              </m:r>
            </m:num>
            <m:den>
              <m:r>
                <m:rPr>
                  <m:sty m:val="p"/>
                </m:rPr>
                <m:t>∥</m:t>
              </m:r>
              <m:r>
                <m:t>x</m:t>
              </m:r>
              <m:sSub>
                <m:e>
                  <m:r>
                    <m:rPr>
                      <m:sty m:val="p"/>
                    </m:rPr>
                    <m:t>∥</m:t>
                  </m:r>
                </m:e>
                <m:sub>
                  <m:r>
                    <m:t>2</m:t>
                  </m:r>
                </m:sub>
              </m:sSub>
              <m:r>
                <m:rPr>
                  <m:sty m:val="p"/>
                </m:rPr>
                <m:t>∥</m:t>
              </m:r>
              <m:r>
                <m:t>z</m:t>
              </m:r>
              <m:sSub>
                <m:e>
                  <m:r>
                    <m:rPr>
                      <m:sty m:val="p"/>
                    </m:rPr>
                    <m:t>∥</m:t>
                  </m:r>
                </m:e>
                <m:sub>
                  <m:r>
                    <m:t>2</m:t>
                  </m:r>
                </m:sub>
              </m:sSub>
            </m:den>
          </m:f>
          <m:r>
            <m:rPr>
              <m:sty m:val="p"/>
            </m:rPr>
            <m:t>,</m:t>
          </m:r>
        </m:oMath>
      </m:oMathPara>
    </w:p>
    <w:p>
      <w:pPr>
        <w:pStyle w:val="FirstParagraph"/>
      </w:pPr>
      <w:r>
        <w:rPr>
          <w:rFonts w:ascii="Calibri" w:hAnsi="Calibri"/>
        </w:rPr>
        <w:t xml:space="preserve">and magnitude discrepancy is measured by root-mean-square (RMS) difference. Candidate matching requires cosine similarity of at least 0.90 and RMS difference of at most 0.25; active-pool matching uses 0.90 and 0.20. Thresholds are calibrated from up to 3,000 observed states, with at most 20,000 state pairs.</w:t>
      </w:r>
    </w:p>
    <w:bookmarkEnd w:id="27"/>
    <w:bookmarkStart w:id="28" w:name="evidence-guided-action-selection"/>
    <w:p>
      <w:pPr>
        <w:pStyle w:val="Heading2"/>
        <w:keepNext/>
      </w:pPr>
      <w:r>
        <w:rPr>
          <w:rFonts w:ascii="Calibri" w:hAnsi="Calibri"/>
        </w:rPr>
        <w:t xml:space="preserve">Evidence-guided action selection</w:t>
      </w:r>
    </w:p>
    <w:p>
      <w:pPr>
        <w:pStyle w:val="FirstParagraph"/>
      </w:pPr>
      <w:r>
        <w:rPr>
          <w:rFonts w:ascii="Calibri" w:hAnsi="Calibri"/>
        </w:rPr>
        <w:t xml:space="preserve">For a matched pool, an action is blocked only after its recorded outcomes provide sufficient hazard evidence. Safety confirmation requires at least two supporting visits and checks a five-step horizon with a minimum progress threshold of 0.01. Blocking persists for a short warning window of two decisions. If no state matches, if evidence is missing, or if all evidence is inconclusive, the algorithm falls back to the base exploration rule rather than inventing a safety label.</w:t>
      </w:r>
    </w:p>
    <w:p>
      <w:pPr>
        <w:pStyle w:val="BodyText"/>
      </w:pPr>
      <w:r>
        <w:rPr>
          <w:rFonts w:ascii="Calibri" w:hAnsi="Calibri"/>
        </w:rPr>
        <w:t xml:space="preserve">Training proceeds in three interpretable stages:</w:t>
      </w:r>
    </w:p>
    <w:p>
      <w:pPr>
        <w:numPr>
          <w:ilvl w:val="0"/>
          <w:numId w:val="1003"/>
        </w:numPr>
        <w:spacing w:after="80" w:line="290" w:lineRule="auto"/>
        <w:ind w:left="540" w:hanging="279"/>
      </w:pPr>
      <w:r>
        <w:rPr>
          <w:bCs/>
          <w:rFonts w:ascii="Calibri" w:hAnsi="Calibri"/>
          <w:b/>
        </w:rPr>
        <w:t xml:space="preserve">Initial evidence collection.</w:t>
      </w:r>
      <w:r>
        <w:rPr>
          <w:rFonts w:ascii="Calibri" w:hAnsi="Calibri"/>
        </w:rPr>
        <w:t xml:space="preserve"> </w:t>
      </w:r>
      <w:r>
        <w:rPr>
          <w:rFonts w:ascii="Calibri" w:hAnsi="Calibri"/>
        </w:rPr>
        <w:t xml:space="preserve">The learner attempts non-blocked actions in matched regions so that each locally available action receives evidence.</w:t>
      </w:r>
    </w:p>
    <w:p>
      <w:pPr>
        <w:numPr>
          <w:ilvl w:val="0"/>
          <w:numId w:val="1003"/>
        </w:numPr>
        <w:spacing w:after="80" w:line="290" w:lineRule="auto"/>
        <w:ind w:left="540" w:hanging="279"/>
      </w:pPr>
      <w:r>
        <w:rPr>
          <w:bCs/>
          <w:rFonts w:ascii="Calibri" w:hAnsi="Calibri"/>
          <w:b/>
        </w:rPr>
        <w:t xml:space="preserve">Guided learning.</w:t>
      </w:r>
      <w:r>
        <w:rPr>
          <w:rFonts w:ascii="Calibri" w:hAnsi="Calibri"/>
        </w:rPr>
        <w:t xml:space="preserve"> </w:t>
      </w:r>
      <w:r>
        <w:rPr>
          <w:rFonts w:ascii="Calibri" w:hAnsi="Calibri"/>
        </w:rPr>
        <w:t xml:space="preserve">For the main training phase, approximately 80% of eligible choices use the DQN-preferred safe action and 20% explore an action that remains unknown. If no unknown action exists, the greedy safe action is used.</w:t>
      </w:r>
    </w:p>
    <w:p>
      <w:pPr>
        <w:numPr>
          <w:ilvl w:val="0"/>
          <w:numId w:val="1003"/>
        </w:numPr>
        <w:spacing w:after="80" w:line="290" w:lineRule="auto"/>
        <w:ind w:left="540" w:hanging="279"/>
      </w:pPr>
      <w:r>
        <w:rPr>
          <w:bCs/>
          <w:rFonts w:ascii="Calibri" w:hAnsi="Calibri"/>
          <w:b/>
        </w:rPr>
        <w:t xml:space="preserve">Policy consolidation.</w:t>
      </w:r>
      <w:r>
        <w:rPr>
          <w:rFonts w:ascii="Calibri" w:hAnsi="Calibri"/>
        </w:rPr>
        <w:t xml:space="preserve"> </w:t>
      </w:r>
      <w:r>
        <w:rPr>
          <w:rFonts w:ascii="Calibri" w:hAnsi="Calibri"/>
        </w:rPr>
        <w:t xml:space="preserve">In the final 20% of training, pool-based action selection is disabled and the DQN acts greedily. This phase forces the neural policy to operate without continued assistance from the state memory.</w:t>
      </w:r>
    </w:p>
    <w:p>
      <w:pPr>
        <w:pStyle w:val="FirstParagraph"/>
      </w:pPr>
      <w:r>
        <w:rPr>
          <w:rFonts w:ascii="Calibri" w:hAnsi="Calibri"/>
        </w:rPr>
        <w:t xml:space="preserve">If every action is blocked, SafetyPool selects the action with the least recorded risk; otherwise the vehicle could become undefined at the exact moment a decision is required. During testing, all state-pool masks and safety scans are disabled. The final trained network is frozen and uses</w:t>
      </w:r>
      <w:r>
        <w:rPr>
          <w:rFonts w:ascii="Calibri" w:hAnsi="Calibri"/>
        </w:rPr>
        <w:t xml:space="preserve"> </w:t>
      </w:r>
      <m:oMath>
        <m:r>
          <m:rPr>
            <m:sty m:val="p"/>
          </m:rPr>
          <m:t>arg</m:t>
        </m:r>
        <m:sSub>
          <m:e>
            <m:r>
              <m:rPr>
                <m:sty m:val="p"/>
              </m:rPr>
              <m:t>max</m:t>
            </m:r>
          </m:e>
          <m:sub>
            <m:r>
              <m:t>a</m:t>
            </m:r>
          </m:sub>
        </m:sSub>
        <m:sSub>
          <m:e>
            <m:r>
              <m:t>Q</m:t>
            </m:r>
          </m:e>
          <m:sub>
            <m:r>
              <m:t>θ</m:t>
            </m:r>
          </m:sub>
        </m:sSub>
        <m:d>
          <m:dPr>
            <m:begChr m:val="("/>
            <m:endChr m:val=")"/>
            <m:sepChr m:val=""/>
            <m:grow/>
          </m:dPr>
          <m:e>
            <m:r>
              <m:t>s</m:t>
            </m:r>
            <m:r>
              <m:rPr>
                <m:sty m:val="p"/>
              </m:rPr>
              <m:t>,</m:t>
            </m:r>
            <m:r>
              <m:t>a</m:t>
            </m:r>
          </m:e>
        </m:d>
      </m:oMath>
      <w:r>
        <w:rPr>
          <w:rFonts w:ascii="Calibri" w:hAnsi="Calibri"/>
        </w:rPr>
        <w:t xml:space="preserve"> </w:t>
      </w:r>
      <w:r>
        <w:rPr>
          <w:rFonts w:ascii="Calibri" w:hAnsi="Calibri"/>
        </w:rPr>
        <w:t xml:space="preserve">at every step.</w:t>
      </w:r>
    </w:p>
    <w:bookmarkEnd w:id="28"/>
    <w:bookmarkEnd w:id="29"/>
    <w:bookmarkStart w:id="33" w:name="experimental-design"/>
    <w:p>
      <w:pPr>
        <w:pStyle w:val="Heading1"/>
        <w:keepNext/>
      </w:pPr>
      <w:r>
        <w:rPr>
          <w:rFonts w:ascii="Calibri" w:hAnsi="Calibri"/>
        </w:rPr>
        <w:t xml:space="preserve">Experimental Design</w:t>
      </w:r>
    </w:p>
    <w:bookmarkStart w:id="30" w:name="environments-methods-and-protocol"/>
    <w:p>
      <w:pPr>
        <w:pStyle w:val="Heading2"/>
        <w:keepNext/>
      </w:pPr>
      <w:r>
        <w:rPr>
          <w:rFonts w:ascii="Calibri" w:hAnsi="Calibri"/>
        </w:rPr>
        <w:t xml:space="preserve">Environments, methods, and protocol</w:t>
      </w:r>
    </w:p>
    <w:p>
      <w:pPr>
        <w:pStyle w:val="FirstParagraph"/>
      </w:pPr>
      <w:r>
        <w:rPr>
          <w:rFonts w:ascii="Calibri" w:hAnsi="Calibri"/>
        </w:rPr>
        <w:t xml:space="preserve">Experiments use MetaDrive</w:t>
      </w:r>
      <w:r>
        <w:rPr>
          <w:rFonts w:ascii="Calibri" w:hAnsi="Calibri"/>
        </w:rPr>
        <w:t xml:space="preserve"> </w:t>
      </w:r>
      <w:r>
        <w:rPr>
          <w:rFonts w:ascii="Calibri" w:hAnsi="Calibri"/>
        </w:rPr>
        <w:t xml:space="preserve">(Li et al. 2023)</w:t>
      </w:r>
      <w:r>
        <w:rPr>
          <w:rFonts w:ascii="Calibri" w:hAnsi="Calibri"/>
        </w:rPr>
        <w:t xml:space="preserve"> </w:t>
      </w:r>
      <w:r>
        <w:rPr>
          <w:rFonts w:ascii="Calibri" w:hAnsi="Calibri"/>
        </w:rPr>
        <w:t xml:space="preserve">and HighwayEnv. MetaDrive uses three procedural map blocks, traffic density 0.2, and nine discrete controls. HighwayEnv uses the</w:t>
      </w:r>
      <w:r>
        <w:rPr>
          <w:rFonts w:ascii="Calibri" w:hAnsi="Calibri"/>
        </w:rPr>
        <w:t xml:space="preserve"> </w:t>
      </w:r>
      <w:r>
        <w:rPr>
          <w:rStyle w:val="VerbatimChar"/>
          <w:rFonts w:ascii="Calibri" w:hAnsi="Calibri"/>
        </w:rPr>
        <w:t xml:space="preserve">highway-v0</w:t>
      </w:r>
      <w:r>
        <w:rPr>
          <w:rFonts w:ascii="Calibri" w:hAnsi="Calibri"/>
        </w:rPr>
        <w:t xml:space="preserve"> </w:t>
      </w:r>
      <w:r>
        <w:rPr>
          <w:rFonts w:ascii="Calibri" w:hAnsi="Calibri"/>
        </w:rPr>
        <w:t xml:space="preserve">environment, a flattened normalised Kinematics observation, traffic density 0.2, and the same nine-action acceleration–steering grid. Collisions and leaving the road receive penalties of 50. Each method is trained for 500 episodes and tested for 300 episodes through a fixed 500-step observation horizon. Training uses a replay capacity of 50,000, batch size 64, learning rate</w:t>
      </w:r>
      <w:r>
        <w:rPr>
          <w:rFonts w:ascii="Calibri" w:hAnsi="Calibri"/>
        </w:rPr>
        <w:t xml:space="preserve"> </w:t>
      </w:r>
      <m:oMath>
        <m:r>
          <m:t>5</m:t>
        </m:r>
        <m:r>
          <m:rPr>
            <m:sty m:val="p"/>
          </m:rPr>
          <m:t>×</m:t>
        </m:r>
        <m:sSup>
          <m:e>
            <m:r>
              <m:t>10</m:t>
            </m:r>
          </m:e>
          <m:sup>
            <m:r>
              <m:rPr>
                <m:sty m:val="p"/>
              </m:rPr>
              <m:t>−</m:t>
            </m:r>
            <m:r>
              <m:t>5</m:t>
            </m:r>
          </m:sup>
        </m:sSup>
      </m:oMath>
      <w:r>
        <w:rPr>
          <w:rFonts w:ascii="Calibri" w:hAnsi="Calibri"/>
        </w:rPr>
        <w:t xml:space="preserve">, hidden width 128, discount factor 0.99, and target-network update interval 1,000. Testing is deterministic, starts from scenario seed 100000, freezes the network, and uses greedy DQN actions without SafetyPool lookup or masking.</w:t>
      </w:r>
    </w:p>
    <w:p>
      <w:pPr>
        <w:pStyle w:val="BodyText"/>
      </w:pPr>
      <w:r>
        <w:rPr>
          <w:rFonts w:ascii="Calibri" w:hAnsi="Calibri"/>
        </w:rPr>
        <w:t xml:space="preserve">The MetaDrive analysis uses 23 matched training seeds: 3, 5, 7, 9, 13, 17, 19, 29, 31, 33, 38, 42, 45, 48, 54, 63, 67, 69, 77, 85, 94, 108, and 111.</w:t>
      </w:r>
      <w:r>
        <w:rPr>
          <w:rFonts w:ascii="Calibri" w:hAnsi="Calibri"/>
        </w:rPr>
        <w:t xml:space="preserve"> </w:t>
      </w:r>
      <w:r>
        <w:rPr>
          <w:rFonts w:ascii="Calibri" w:hAnsi="Calibri"/>
        </w:rPr>
        <w:t xml:space="preserve">The Highway subset analysis uses 23 matched training seeds: 3, 5, 7, 9, 13, 17, 27, 33, 38, 42, 45, 48, 54, 63, 65, 67, 69, 73, 76, 77, 93, 108, and 111.</w:t>
      </w:r>
      <w:r>
        <w:rPr>
          <w:rFonts w:ascii="Calibri" w:hAnsi="Calibri"/>
        </w:rPr>
        <w:t xml:space="preserve"> </w:t>
      </w:r>
      <w:r>
        <w:rPr>
          <w:rFonts w:ascii="Calibri" w:hAnsi="Calibri"/>
        </w:rPr>
        <w:t xml:space="preserve">Within each environment, the same seed list and test scenarios are used for SafetyPool, Epsilon-Greedy DQN, NoisyNet DQN, and DQN+RND. Each environment–method combination therefore contributes 6,900 test episodes. The Highway analysis is explicitly reported as the matched 23-seed subset supplied with the reproducibility archive.</w:t>
      </w:r>
    </w:p>
    <w:bookmarkEnd w:id="30"/>
    <w:bookmarkStart w:id="31" w:name="outcome-measures"/>
    <w:p>
      <w:pPr>
        <w:pStyle w:val="Heading2"/>
        <w:keepNext/>
      </w:pPr>
      <w:r>
        <w:rPr>
          <w:rFonts w:ascii="Calibri" w:hAnsi="Calibri"/>
        </w:rPr>
        <w:t xml:space="preserve">Outcome measures</w:t>
      </w:r>
    </w:p>
    <w:p>
      <w:pPr>
        <w:pStyle w:val="FirstParagraph"/>
      </w:pPr>
      <w:r>
        <w:rPr>
          <w:bCs/>
          <w:rFonts w:ascii="Calibri" w:hAnsi="Calibri"/>
          <w:b/>
        </w:rPr>
        <w:t xml:space="preserve">Collision Restricted Mean Survival Time (RMST)</w:t>
      </w:r>
      <w:r>
        <w:rPr>
          <w:rFonts w:ascii="Calibri" w:hAnsi="Calibri"/>
        </w:rPr>
        <w:t xml:space="preserve"> </w:t>
      </w:r>
      <w:r>
        <w:rPr>
          <w:rFonts w:ascii="Calibri" w:hAnsi="Calibri"/>
        </w:rPr>
        <w:t xml:space="preserve">is the sole outcome reported in this study. A collision event occurs when the controlled ego vehicle strikes another vehicle or a road object. The first collision time is treated as the event time. An episode without a collision during observation is right-censored: it contributes all observed collision-free time, but the analysis does not extrapolate beyond the fixed horizon. The Kaplan–Meier estimator</w:t>
      </w:r>
      <w:r>
        <w:rPr>
          <w:rFonts w:ascii="Calibri" w:hAnsi="Calibri"/>
        </w:rPr>
        <w:t xml:space="preserve"> </w:t>
      </w:r>
      <w:r>
        <w:rPr>
          <w:rFonts w:ascii="Calibri" w:hAnsi="Calibri"/>
        </w:rPr>
        <w:t xml:space="preserve">(Kaplan and Meier 1958)</w:t>
      </w:r>
      <w:r>
        <w:rPr>
          <w:rFonts w:ascii="Calibri" w:hAnsi="Calibri"/>
        </w:rPr>
        <w:t xml:space="preserve"> </w:t>
      </w:r>
      <w:r>
        <w:rPr>
          <w:rFonts w:ascii="Calibri" w:hAnsi="Calibri"/>
        </w:rPr>
        <w:t xml:space="preserve">calculates the probability of remaining collision-free at each step. Collision RMST is the area under the estimated survival function up to</w:t>
      </w:r>
      <w:r>
        <w:rPr>
          <w:rFonts w:ascii="Calibri" w:hAnsi="Calibri"/>
        </w:rPr>
        <w:t xml:space="preserve"> </w:t>
      </w:r>
      <m:oMath>
        <m:r>
          <m:t>τ</m:t>
        </m:r>
        <m:r>
          <m:rPr>
            <m:sty m:val="p"/>
          </m:rPr>
          <m:t>=</m:t>
        </m:r>
        <m:r>
          <m:t>500</m:t>
        </m:r>
      </m:oMath>
      <w:r>
        <w:rPr>
          <w:rFonts w:ascii="Calibri" w:hAnsi="Calibri"/>
        </w:rPr>
        <w:t xml:space="preserve">:</w:t>
      </w:r>
    </w:p>
    <w:p>
      <w:pPr>
        <w:pStyle w:val="BodyText"/>
      </w:pPr>
      <m:oMathPara>
        <m:oMathParaPr>
          <m:jc m:val="center"/>
        </m:oMathParaPr>
        <m:oMath>
          <m:r>
            <m:rPr>
              <m:sty m:val="p"/>
            </m:rPr>
            <m:t>RMST</m:t>
          </m:r>
          <m:d>
            <m:dPr>
              <m:begChr m:val="("/>
              <m:endChr m:val=")"/>
              <m:sepChr m:val=""/>
              <m:grow/>
            </m:dPr>
            <m:e>
              <m:r>
                <m:t>500</m:t>
              </m:r>
            </m:e>
          </m:d>
          <m:r>
            <m:rPr>
              <m:sty m:val="p"/>
            </m:rPr>
            <m:t>=</m:t>
          </m:r>
          <m:nary>
            <m:naryPr>
              <m:chr m:val="∫"/>
              <m:limLoc m:val="subSup"/>
              <m:subHide m:val="off"/>
              <m:supHide m:val="off"/>
            </m:naryPr>
            <m:sub>
              <m:r>
                <m:t>0</m:t>
              </m:r>
            </m:sub>
            <m:sup>
              <m:r>
                <m:t>500</m:t>
              </m:r>
            </m:sup>
            <m:e>
              <m:acc>
                <m:accPr>
                  <m:chr m:val="̂"/>
                </m:accPr>
                <m:e>
                  <m:r>
                    <m:t>S</m:t>
                  </m:r>
                </m:e>
              </m:acc>
            </m:e>
          </m:nary>
          <m:d>
            <m:dPr>
              <m:begChr m:val="("/>
              <m:endChr m:val=")"/>
              <m:sepChr m:val=""/>
              <m:grow/>
            </m:dPr>
            <m:e>
              <m:r>
                <m:t>t</m:t>
              </m:r>
            </m:e>
          </m:d>
          <m:r>
            <m:t> </m:t>
          </m:r>
          <m:r>
            <m:t>d</m:t>
          </m:r>
          <m:r>
            <m:t>t</m:t>
          </m:r>
          <m:r>
            <m:rPr>
              <m:sty m:val="p"/>
            </m:rPr>
            <m:t>,</m:t>
          </m:r>
        </m:oMath>
      </m:oMathPara>
    </w:p>
    <w:p>
      <w:pPr>
        <w:pStyle w:val="FirstParagraph"/>
      </w:pPr>
      <w:r>
        <w:rPr>
          <w:rFonts w:ascii="Calibri" w:hAnsi="Calibri"/>
        </w:rPr>
        <w:t xml:space="preserve">where</w:t>
      </w:r>
      <w:r>
        <w:rPr>
          <w:rFonts w:ascii="Calibri" w:hAnsi="Calibri"/>
        </w:rPr>
        <w:t xml:space="preserve"> </w:t>
      </w:r>
      <m:oMath>
        <m:acc>
          <m:accPr>
            <m:chr m:val="̂"/>
          </m:accPr>
          <m:e>
            <m:r>
              <m:t>S</m:t>
            </m:r>
          </m:e>
        </m:acc>
        <m:d>
          <m:dPr>
            <m:begChr m:val="("/>
            <m:endChr m:val=")"/>
            <m:sepChr m:val=""/>
            <m:grow/>
          </m:dPr>
          <m:e>
            <m:r>
              <m:t>t</m:t>
            </m:r>
          </m:e>
        </m:d>
      </m:oMath>
      <w:r>
        <w:rPr>
          <w:rFonts w:ascii="Calibri" w:hAnsi="Calibri"/>
        </w:rPr>
        <w:t xml:space="preserve"> </w:t>
      </w:r>
      <w:r>
        <w:rPr>
          <w:rFonts w:ascii="Calibri" w:hAnsi="Calibri"/>
        </w:rPr>
        <w:t xml:space="preserve">is the estimated probability of remaining collision-free through step</w:t>
      </w:r>
      <w:r>
        <w:rPr>
          <w:rFonts w:ascii="Calibri" w:hAnsi="Calibri"/>
        </w:rPr>
        <w:t xml:space="preserve"> </w:t>
      </w:r>
      <m:oMath>
        <m:r>
          <m:t>t</m:t>
        </m:r>
      </m:oMath>
      <w:r>
        <w:rPr>
          <w:rFonts w:ascii="Calibri" w:hAnsi="Calibri"/>
        </w:rPr>
        <w:t xml:space="preserve">. Higher RMST is better. Its units are environment steps, so an RMST of 229.8 represents about 229.8 collision-free steps on average within the common observation window</w:t>
      </w:r>
      <w:r>
        <w:rPr>
          <w:rFonts w:ascii="Calibri" w:hAnsi="Calibri"/>
        </w:rPr>
        <w:t xml:space="preserve"> </w:t>
      </w:r>
      <w:r>
        <w:rPr>
          <w:rFonts w:ascii="Calibri" w:hAnsi="Calibri"/>
        </w:rPr>
        <w:t xml:space="preserve">(Royston and Parmar 2013)</w:t>
      </w:r>
      <w:r>
        <w:rPr>
          <w:rFonts w:ascii="Calibri" w:hAnsi="Calibri"/>
        </w:rPr>
        <w:t xml:space="preserve">. The estimate uses both early collision events and right-censored episodes.</w:t>
      </w:r>
    </w:p>
    <w:p>
      <w:pPr>
        <w:pStyle w:val="BodyText"/>
      </w:pPr>
      <w:r>
        <w:rPr>
          <w:rFonts w:ascii="Calibri" w:hAnsi="Calibri"/>
        </w:rPr>
        <w:t xml:space="preserve">The fixed horizon gives every method the same observation window and prevents extrapolation beyond the collected data. A collision at step 40 contributes much less collision-free time than one at step 400. An episode without a collision contributes its complete observed duration and is censored at the horizon. A method obtains a larger RMST when collisions occur later or when more episodes remain collision-free throughout observation.</w:t>
      </w:r>
    </w:p>
    <w:bookmarkEnd w:id="31"/>
    <w:bookmarkStart w:id="32" w:name="statistical-analysis"/>
    <w:p>
      <w:pPr>
        <w:pStyle w:val="Heading2"/>
        <w:keepNext/>
      </w:pPr>
      <w:r>
        <w:rPr>
          <w:rFonts w:ascii="Calibri" w:hAnsi="Calibri"/>
        </w:rPr>
        <w:t xml:space="preserve">Statistical analysis</w:t>
      </w:r>
    </w:p>
    <w:p>
      <w:pPr>
        <w:pStyle w:val="FirstParagraph"/>
      </w:pPr>
      <w:r>
        <w:rPr>
          <w:rFonts w:ascii="Calibri" w:hAnsi="Calibri"/>
        </w:rPr>
        <w:t xml:space="preserve">For each method, we aggregate the 23 seed-level results with IQM, which sorts the seed values, discards the lowest and highest quarters, and averages the central half. IQM is more resistant to unusually good or bad seeds than the ordinary mean</w:t>
      </w:r>
      <w:r>
        <w:rPr>
          <w:rFonts w:ascii="Calibri" w:hAnsi="Calibri"/>
        </w:rPr>
        <w:t xml:space="preserve"> </w:t>
      </w:r>
      <w:r>
        <w:rPr>
          <w:rFonts w:ascii="Calibri" w:hAnsi="Calibri"/>
        </w:rPr>
        <w:t xml:space="preserve">(Agarwal et al. 2021)</w:t>
      </w:r>
      <w:r>
        <w:rPr>
          <w:rFonts w:ascii="Calibri" w:hAnsi="Calibri"/>
        </w:rPr>
        <w:t xml:space="preserve">. A 95% confidence interval (CI) is obtained by resampling the 23 seeds with replacement, recomputing the IQM for each bootstrap sample, and taking the 2.5th and 97.5th percentiles</w:t>
      </w:r>
      <w:r>
        <w:rPr>
          <w:rFonts w:ascii="Calibri" w:hAnsi="Calibri"/>
        </w:rPr>
        <w:t xml:space="preserve"> </w:t>
      </w:r>
      <w:r>
        <w:rPr>
          <w:rFonts w:ascii="Calibri" w:hAnsi="Calibri"/>
        </w:rPr>
        <w:t xml:space="preserve">(Efron 1979)</w:t>
      </w:r>
      <w:r>
        <w:rPr>
          <w:rFonts w:ascii="Calibri" w:hAnsi="Calibri"/>
        </w:rPr>
        <w:t xml:space="preserve">.</w:t>
      </w:r>
    </w:p>
    <w:p>
      <w:pPr>
        <w:pStyle w:val="BodyText"/>
      </w:pPr>
      <w:r>
        <w:rPr>
          <w:rFonts w:ascii="Calibri" w:hAnsi="Calibri"/>
        </w:rPr>
        <w:t xml:space="preserve">For SafetyPool-versus-baseline inference, we apply a two-sided Wilcoxon signed-rank test to the matched seed-level Collision RMST values</w:t>
      </w:r>
      <w:r>
        <w:rPr>
          <w:rFonts w:ascii="Calibri" w:hAnsi="Calibri"/>
        </w:rPr>
        <w:t xml:space="preserve"> </w:t>
      </w:r>
      <w:r>
        <w:rPr>
          <w:rFonts w:ascii="Calibri" w:hAnsi="Calibri"/>
        </w:rPr>
        <w:t xml:space="preserve">(Wilcoxon 1945)</w:t>
      </w:r>
      <w:r>
        <w:rPr>
          <w:rFonts w:ascii="Calibri" w:hAnsi="Calibri"/>
        </w:rPr>
        <w:t xml:space="preserve">. For each environment, the three SafetyPool-versus-baseline p-values are corrected together using Holm’s step-down method</w:t>
      </w:r>
      <w:r>
        <w:rPr>
          <w:rFonts w:ascii="Calibri" w:hAnsi="Calibri"/>
        </w:rPr>
        <w:t xml:space="preserve"> </w:t>
      </w:r>
      <w:r>
        <w:rPr>
          <w:rFonts w:ascii="Calibri" w:hAnsi="Calibri"/>
        </w:rPr>
        <w:t xml:space="preserve">(Holm 1979)</w:t>
      </w:r>
      <w:r>
        <w:rPr>
          <w:rFonts w:ascii="Calibri" w:hAnsi="Calibri"/>
        </w:rPr>
        <w:t xml:space="preserve">. We call a comparison statistically supported when the corrected p-value is below 0.05.</w:t>
      </w:r>
    </w:p>
    <w:p>
      <w:pPr>
        <w:pStyle w:val="BodyText"/>
      </w:pPr>
      <w:r>
        <w:rPr>
          <w:rFonts w:ascii="Calibri" w:hAnsi="Calibri"/>
        </w:rPr>
        <w:t xml:space="preserve">The paired design compares methods trained with the same seed. It therefore asks whether SafetyPool tends to improve on a baseline under matched training randomisation, rather than comparing unrelated collections of runs. The IQM summarises the central half of the 23 seed results, the bootstrap interval describes uncertainty in that aggregate, and the paired test evaluates the direction and consistency of the seed-level differences.</w:t>
      </w:r>
    </w:p>
    <w:bookmarkEnd w:id="32"/>
    <w:bookmarkEnd w:id="33"/>
    <w:bookmarkStart w:id="45" w:name="results-and-discussion"/>
    <w:p>
      <w:pPr>
        <w:pStyle w:val="Heading1"/>
        <w:keepNext/>
      </w:pPr>
      <w:r>
        <w:rPr>
          <w:rFonts w:ascii="Calibri" w:hAnsi="Calibri"/>
        </w:rPr>
        <w:t xml:space="preserve">Results and Discussion</w:t>
      </w:r>
    </w:p>
    <w:bookmarkStart w:id="42" w:name="collision-rmst-outcomes"/>
    <w:p>
      <w:pPr>
        <w:pStyle w:val="Heading2"/>
        <w:keepNext/>
      </w:pPr>
      <w:r>
        <w:rPr>
          <w:rFonts w:ascii="Calibri" w:hAnsi="Calibri"/>
        </w:rPr>
        <w:t xml:space="preserve">Collision RMST outcomes</w:t>
      </w:r>
    </w:p>
    <w:p>
      <w:pPr>
        <w:pStyle w:val="FirstParagraph"/>
      </w:pPr>
      <w:r>
        <w:rPr>
          <w:rFonts w:ascii="Calibri" w:hAnsi="Calibri"/>
        </w:rPr>
        <w:t xml:space="preserve">Table 2 reports Collision RMST only. In MetaDrive, SafetyPool’s IQM is 229.8 steps, compared with approximately 91–92 steps for every baseline. In the matched 23-seed Highway subset, SafetyPool reaches 122.15 steps, compared with 5.79 for Epsilon-Greedy, 5.68 for NoisyNet, and 6.44 for RND. Figures 1 and 2 show the environment-specific aggregate estimates.</w:t>
      </w:r>
    </w:p>
    <w:bookmarkStart w:id="34" w:name="tab:aggregate"/>
    <w:p>
      <w:pPr>
        <w:pStyle w:val="TableCaption"/>
      </w:pPr>
      <w:r>
        <w:rPr>
          <w:rFonts w:ascii="Calibri" w:hAnsi="Calibri"/>
        </w:rPr>
        <w:t xml:space="preserve">Table 2. Collision RMST over 23 matched seeds in each environment: IQM with seed-bootstrap 95% CI. Higher is better.</w:t>
      </w:r>
    </w:p>
    <w:tbl>
      <w:tblPr>
        <w:tblStyle w:val="Table"/>
        <w:tblW w:type="dxa" w:w="9360"/>
        <w:jc w:val="center"/>
        <w:tblLayout w:type="fixed"/>
        <w:tblLook w:firstRow="1" w:lastRow="0" w:firstColumn="0" w:lastColumn="0" w:noHBand="0" w:noVBand="0" w:val="0020"/>
        <w:tblCaption w:val="Table 2. Collision RMST over 23 matched seeds in each environment: IQM with seed-bootstrap 95% CI. Higher is better."/>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50"/>
        <w:gridCol w:w="1928"/>
        <w:gridCol w:w="1928"/>
        <w:gridCol w:w="1927"/>
        <w:gridCol w:w="1927"/>
      </w:tblGrid>
      <w:tr>
        <w:trPr>
          <w:tblHeader w:val="true"/>
        </w:trPr>
        <w:tc>
          <w:tcPr>
            <w:tcW w:w="1650" w:type="dxa"/>
            <w:tcMar>
              <w:top w:w="80" w:type="dxa"/>
              <w:bottom w:w="80" w:type="dxa"/>
              <w:start w:w="120" w:type="dxa"/>
              <w:end w:w="120" w:type="dxa"/>
            </w:tcMar>
            <w:vAlign w:val="center"/>
            <w:shd w:fill="F4F6F9"/>
          </w:tcPr>
          <w:p>
            <w:pPr>
              <w:pStyle w:val="Compact"/>
              <w:spacing w:before="0" w:after="40" w:line="240" w:lineRule="auto"/>
              <w:jc w:val="left"/>
            </w:pPr>
            <w:r>
              <w:rPr>
                <w:rFonts w:ascii="Calibri" w:hAnsi="Calibri" w:eastAsia="Calibri"/>
                <w:b/>
                <w:color w:val="0B2545"/>
                <w:sz w:val="18"/>
              </w:rPr>
              <w:t xml:space="preserve">Environment</w:t>
            </w:r>
          </w:p>
        </w:tc>
        <w:tc>
          <w:tcPr>
            <w:tcW w:w="1928" w:type="dxa"/>
            <w:tcMar>
              <w:top w:w="80" w:type="dxa"/>
              <w:bottom w:w="80" w:type="dxa"/>
              <w:start w:w="120" w:type="dxa"/>
              <w:end w:w="120" w:type="dxa"/>
            </w:tcMar>
            <w:vAlign w:val="center"/>
            <w:shd w:fill="F4F6F9"/>
          </w:tcPr>
          <w:p>
            <w:pPr>
              <w:pStyle w:val="Compact"/>
              <w:spacing w:before="0" w:after="40" w:line="240" w:lineRule="auto"/>
              <w:jc w:val="left"/>
            </w:pPr>
            <w:r>
              <w:rPr>
                <w:rFonts w:ascii="Calibri" w:hAnsi="Calibri" w:eastAsia="Calibri"/>
                <w:b/>
                <w:color w:val="0B2545"/>
                <w:sz w:val="18"/>
              </w:rPr>
              <w:t xml:space="preserve">SafetyPool</w:t>
            </w:r>
          </w:p>
        </w:tc>
        <w:tc>
          <w:tcPr>
            <w:tcW w:w="1928" w:type="dxa"/>
            <w:tcMar>
              <w:top w:w="80" w:type="dxa"/>
              <w:bottom w:w="80" w:type="dxa"/>
              <w:start w:w="120" w:type="dxa"/>
              <w:end w:w="120" w:type="dxa"/>
            </w:tcMar>
            <w:vAlign w:val="center"/>
            <w:shd w:fill="F4F6F9"/>
          </w:tcPr>
          <w:p>
            <w:pPr>
              <w:pStyle w:val="Compact"/>
              <w:spacing w:before="0" w:after="40" w:line="240" w:lineRule="auto"/>
              <w:jc w:val="left"/>
            </w:pPr>
            <w:r>
              <w:rPr>
                <w:rFonts w:ascii="Calibri" w:hAnsi="Calibri" w:eastAsia="Calibri"/>
                <w:b/>
                <w:color w:val="0B2545"/>
                <w:sz w:val="18"/>
              </w:rPr>
              <w:t xml:space="preserve">Epsilon-Greedy</w:t>
            </w:r>
          </w:p>
        </w:tc>
        <w:tc>
          <w:tcPr>
            <w:tcW w:w="1927" w:type="dxa"/>
            <w:tcMar>
              <w:top w:w="80" w:type="dxa"/>
              <w:bottom w:w="80" w:type="dxa"/>
              <w:start w:w="120" w:type="dxa"/>
              <w:end w:w="120" w:type="dxa"/>
            </w:tcMar>
            <w:vAlign w:val="center"/>
            <w:shd w:fill="F4F6F9"/>
          </w:tcPr>
          <w:p>
            <w:pPr>
              <w:pStyle w:val="Compact"/>
              <w:spacing w:before="0" w:after="40" w:line="240" w:lineRule="auto"/>
              <w:jc w:val="left"/>
            </w:pPr>
            <w:r>
              <w:rPr>
                <w:rFonts w:ascii="Calibri" w:hAnsi="Calibri" w:eastAsia="Calibri"/>
                <w:b/>
                <w:color w:val="0B2545"/>
                <w:sz w:val="18"/>
              </w:rPr>
              <w:t xml:space="preserve">NoisyNet</w:t>
            </w:r>
          </w:p>
        </w:tc>
        <w:tc>
          <w:tcPr>
            <w:tcW w:w="1927" w:type="dxa"/>
            <w:tcMar>
              <w:top w:w="80" w:type="dxa"/>
              <w:bottom w:w="80" w:type="dxa"/>
              <w:start w:w="120" w:type="dxa"/>
              <w:end w:w="120" w:type="dxa"/>
            </w:tcMar>
            <w:vAlign w:val="center"/>
            <w:shd w:fill="F4F6F9"/>
          </w:tcPr>
          <w:p>
            <w:pPr>
              <w:pStyle w:val="Compact"/>
              <w:spacing w:before="0" w:after="40" w:line="240" w:lineRule="auto"/>
              <w:jc w:val="left"/>
            </w:pPr>
            <w:r>
              <w:rPr>
                <w:rFonts w:ascii="Calibri" w:hAnsi="Calibri" w:eastAsia="Calibri"/>
                <w:b/>
                <w:color w:val="0B2545"/>
                <w:sz w:val="18"/>
              </w:rPr>
              <w:t xml:space="preserve">RND</w:t>
            </w:r>
          </w:p>
        </w:tc>
      </w:tr>
      <w:tr>
        <w:tc>
          <w:tcPr>
            <w:tcW w:w="165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MetaDrive</w:t>
            </w:r>
          </w:p>
        </w:tc>
        <w:tc>
          <w:tcPr>
            <w:tcW w:w="1928" w:type="dxa"/>
            <w:tcMar>
              <w:top w:w="80" w:type="dxa"/>
              <w:bottom w:w="80" w:type="dxa"/>
              <w:start w:w="120" w:type="dxa"/>
              <w:end w:w="120" w:type="dxa"/>
            </w:tcMar>
            <w:vAlign w:val="center"/>
          </w:tcPr>
          <w:p>
            <w:pPr>
              <w:pStyle w:val="Compact"/>
              <w:spacing w:before="0" w:after="40" w:line="240" w:lineRule="auto"/>
              <w:jc w:val="left"/>
            </w:pPr>
            <w:r>
              <w:rPr>
                <w:bCs/>
                <w:rFonts w:ascii="Calibri" w:hAnsi="Calibri" w:eastAsia="Calibri"/>
                <w:b/>
                <w:sz w:val="18"/>
              </w:rPr>
              <w:t xml:space="preserve">229.8 [151.1, 333.6]</w:t>
            </w:r>
          </w:p>
        </w:tc>
        <w:tc>
          <w:tcPr>
            <w:tcW w:w="1928"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91.4 [91.0, 93.1]</w:t>
            </w:r>
          </w:p>
        </w:tc>
        <w:tc>
          <w:tcPr>
            <w:tcW w:w="1927"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92.1 [87.7, 129.8]</w:t>
            </w:r>
          </w:p>
        </w:tc>
        <w:tc>
          <w:tcPr>
            <w:tcW w:w="1927"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91.6 [90.9, 93.2]</w:t>
            </w:r>
          </w:p>
        </w:tc>
      </w:tr>
      <w:tr>
        <w:tc>
          <w:tcPr>
            <w:tcW w:w="165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HighwayEnv matched subset</w:t>
            </w:r>
          </w:p>
        </w:tc>
        <w:tc>
          <w:tcPr>
            <w:tcW w:w="1928" w:type="dxa"/>
            <w:tcMar>
              <w:top w:w="80" w:type="dxa"/>
              <w:bottom w:w="80" w:type="dxa"/>
              <w:start w:w="120" w:type="dxa"/>
              <w:end w:w="120" w:type="dxa"/>
            </w:tcMar>
            <w:vAlign w:val="center"/>
          </w:tcPr>
          <w:p>
            <w:pPr>
              <w:pStyle w:val="Compact"/>
              <w:spacing w:before="0" w:after="40" w:line="240" w:lineRule="auto"/>
              <w:jc w:val="left"/>
            </w:pPr>
            <w:r>
              <w:rPr>
                <w:bCs/>
                <w:rFonts w:ascii="Calibri" w:hAnsi="Calibri" w:eastAsia="Calibri"/>
                <w:b/>
                <w:sz w:val="18"/>
              </w:rPr>
              <w:t xml:space="preserve">122.15 [6.63, 310.14]</w:t>
            </w:r>
          </w:p>
        </w:tc>
        <w:tc>
          <w:tcPr>
            <w:tcW w:w="1928"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5.79 [5.64, 46.57]</w:t>
            </w:r>
          </w:p>
        </w:tc>
        <w:tc>
          <w:tcPr>
            <w:tcW w:w="1927"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5.68 [5.66, 6.54]</w:t>
            </w:r>
          </w:p>
        </w:tc>
        <w:tc>
          <w:tcPr>
            <w:tcW w:w="1927"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6.44 [5.68, 120.67]</w:t>
            </w:r>
          </w:p>
        </w:tc>
      </w:tr>
    </w:tbl>
    <w:bookmarkEnd w:id="34"/>
    <w:p>
      <w:pPr>
        <w:pStyle w:val="CaptionedFigure"/>
      </w:pPr>
      <w:r>
        <w:rPr>
          <w:rFonts w:ascii="Calibri" w:hAnsi="Calibri"/>
        </w:rPr>
        <w:drawing>
          <wp:inline>
            <wp:extent cx="3520440" cy="2327686"/>
            <wp:effectExtent b="0" l="0" r="0" t="0"/>
            <wp:docPr descr="" title="" id="36" name="Picture"/>
            <a:graphic>
              <a:graphicData uri="http://schemas.openxmlformats.org/drawingml/2006/picture">
                <pic:pic>
                  <pic:nvPicPr>
                    <pic:cNvPr descr="figure_01_collision_rmst_iqm_ieee_palette.png" id="37" name="Picture"/>
                    <pic:cNvPicPr>
                      <a:picLocks noChangeArrowheads="1" noChangeAspect="1"/>
                    </pic:cNvPicPr>
                  </pic:nvPicPr>
                  <pic:blipFill>
                    <a:blip r:embed="rId35"/>
                    <a:stretch>
                      <a:fillRect/>
                    </a:stretch>
                  </pic:blipFill>
                  <pic:spPr bwMode="auto">
                    <a:xfrm>
                      <a:off x="0" y="0"/>
                      <a:ext cx="3520440" cy="2327686"/>
                    </a:xfrm>
                    <a:prstGeom prst="rect">
                      <a:avLst/>
                    </a:prstGeom>
                    <a:noFill/>
                    <a:ln w="9525">
                      <a:noFill/>
                      <a:headEnd/>
                      <a:tailEnd/>
                    </a:ln>
                  </pic:spPr>
                </pic:pic>
              </a:graphicData>
            </a:graphic>
          </wp:inline>
        </w:drawing>
      </w:r>
    </w:p>
    <w:p>
      <w:pPr>
        <w:pStyle w:val="ImageCaption"/>
      </w:pPr>
      <w:r>
        <w:rPr>
          <w:rFonts w:ascii="Calibri" w:hAnsi="Calibri"/>
        </w:rPr>
        <w:t xml:space="preserve">Figure 1. MetaDrive Collision RMST across 23 matched seeds. Bars show IQMs and error bars show seed-bootstrap 95% CIs. Higher is better.</w:t>
      </w:r>
    </w:p>
    <w:p>
      <w:pPr>
        <w:pStyle w:val="CaptionedFigure"/>
      </w:pPr>
      <w:r>
        <w:rPr>
          <w:rFonts w:ascii="Calibri" w:hAnsi="Calibri"/>
        </w:rPr>
        <w:drawing>
          <wp:inline>
            <wp:extent cx="3520440" cy="2050881"/>
            <wp:effectExtent b="0" l="0" r="0" t="0"/>
            <wp:docPr descr="" title="" id="39" name="Picture"/>
            <a:graphic>
              <a:graphicData uri="http://schemas.openxmlformats.org/drawingml/2006/picture">
                <pic:pic>
                  <pic:nvPicPr>
                    <pic:cNvPr descr="figure_02_highway_collision_rmst_iqm.png" id="40" name="Picture"/>
                    <pic:cNvPicPr>
                      <a:picLocks noChangeArrowheads="1" noChangeAspect="1"/>
                    </pic:cNvPicPr>
                  </pic:nvPicPr>
                  <pic:blipFill>
                    <a:blip r:embed="rId38"/>
                    <a:stretch>
                      <a:fillRect/>
                    </a:stretch>
                  </pic:blipFill>
                  <pic:spPr bwMode="auto">
                    <a:xfrm>
                      <a:off x="0" y="0"/>
                      <a:ext cx="3520440" cy="2050881"/>
                    </a:xfrm>
                    <a:prstGeom prst="rect">
                      <a:avLst/>
                    </a:prstGeom>
                    <a:noFill/>
                    <a:ln w="9525">
                      <a:noFill/>
                      <a:headEnd/>
                      <a:tailEnd/>
                    </a:ln>
                  </pic:spPr>
                </pic:pic>
              </a:graphicData>
            </a:graphic>
          </wp:inline>
        </w:drawing>
      </w:r>
    </w:p>
    <w:p>
      <w:pPr>
        <w:pStyle w:val="ImageCaption"/>
      </w:pPr>
      <w:r>
        <w:rPr>
          <w:rFonts w:ascii="Calibri" w:hAnsi="Calibri"/>
        </w:rPr>
        <w:t xml:space="preserve">Figure 2. HighwayEnv Collision RMST in the matched 23-seed subset. Bars show IQMs and error bars show seed-bootstrap 95% CIs. Higher is better.</w:t>
      </w:r>
    </w:p>
    <w:p>
      <w:pPr>
        <w:pStyle w:val="BodyText"/>
      </w:pPr>
      <w:r>
        <w:rPr>
          <w:rFonts w:ascii="Calibri" w:hAnsi="Calibri"/>
        </w:rPr>
        <w:t xml:space="preserve">Table 3 gives the Holm-corrected matched-seed comparisons. In MetaDrive, SafetyPool is supported against all three baselines with corrected p-values of 0.000024, 0.001885, and 0.000024. The Highway subset result is also supported against all three baselines, with corrected p-values of 0.0174, 0.0174, and 0.0171.</w:t>
      </w:r>
    </w:p>
    <w:bookmarkStart w:id="41" w:name="tab:tests"/>
    <w:p>
      <w:pPr>
        <w:pStyle w:val="TableCaption"/>
      </w:pPr>
      <w:r>
        <w:rPr>
          <w:rFonts w:ascii="Calibri" w:hAnsi="Calibri"/>
        </w:rPr>
        <w:t xml:space="preserve">Table 3. Collision RMST matched-seed tests. Values are Holm-corrected two-sided Wilcoxon p-values.</w:t>
      </w:r>
    </w:p>
    <w:tbl>
      <w:tblPr>
        <w:tblStyle w:val="Table"/>
        <w:tblW w:type="dxa" w:w="9360"/>
        <w:jc w:val="center"/>
        <w:tblLayout w:type="fixed"/>
        <w:tblLook w:firstRow="1" w:lastRow="0" w:firstColumn="0" w:lastColumn="0" w:noHBand="0" w:noVBand="0" w:val="0020"/>
        <w:tblCaption w:val="Table 3. Collision RMST matched-seed tests. Values are Holm-corrected two-sided Wilcoxon p-values."/>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00"/>
        <w:gridCol w:w="2287"/>
        <w:gridCol w:w="2287"/>
        <w:gridCol w:w="2286"/>
      </w:tblGrid>
      <w:tr>
        <w:trPr>
          <w:tblHeader w:val="true"/>
        </w:trPr>
        <w:tc>
          <w:tcPr>
            <w:tcW w:w="2500" w:type="dxa"/>
            <w:tcMar>
              <w:top w:w="80" w:type="dxa"/>
              <w:bottom w:w="80" w:type="dxa"/>
              <w:start w:w="120" w:type="dxa"/>
              <w:end w:w="120" w:type="dxa"/>
            </w:tcMar>
            <w:vAlign w:val="center"/>
            <w:shd w:fill="F4F6F9"/>
          </w:tcPr>
          <w:p>
            <w:pPr>
              <w:pStyle w:val="Compact"/>
              <w:spacing w:before="0" w:after="40" w:line="240" w:lineRule="auto"/>
              <w:jc w:val="left"/>
            </w:pPr>
            <w:r>
              <w:rPr>
                <w:rFonts w:ascii="Calibri" w:hAnsi="Calibri" w:eastAsia="Calibri"/>
                <w:b/>
                <w:color w:val="0B2545"/>
                <w:sz w:val="18"/>
              </w:rPr>
              <w:t xml:space="preserve">Environment</w:t>
            </w:r>
          </w:p>
        </w:tc>
        <w:tc>
          <w:tcPr>
            <w:tcW w:w="2287" w:type="dxa"/>
            <w:tcMar>
              <w:top w:w="80" w:type="dxa"/>
              <w:bottom w:w="80" w:type="dxa"/>
              <w:start w:w="120" w:type="dxa"/>
              <w:end w:w="120" w:type="dxa"/>
            </w:tcMar>
            <w:vAlign w:val="center"/>
            <w:shd w:fill="F4F6F9"/>
          </w:tcPr>
          <w:p>
            <w:pPr>
              <w:pStyle w:val="Compact"/>
              <w:spacing w:before="0" w:after="40" w:line="240" w:lineRule="auto"/>
              <w:jc w:val="left"/>
            </w:pPr>
            <w:r>
              <w:rPr>
                <w:rFonts w:ascii="Calibri" w:hAnsi="Calibri" w:eastAsia="Calibri"/>
                <w:b/>
                <w:color w:val="0B2545"/>
                <w:sz w:val="18"/>
              </w:rPr>
              <w:t xml:space="preserve">vs Epsilon-Greedy</w:t>
            </w:r>
          </w:p>
        </w:tc>
        <w:tc>
          <w:tcPr>
            <w:tcW w:w="2287" w:type="dxa"/>
            <w:tcMar>
              <w:top w:w="80" w:type="dxa"/>
              <w:bottom w:w="80" w:type="dxa"/>
              <w:start w:w="120" w:type="dxa"/>
              <w:end w:w="120" w:type="dxa"/>
            </w:tcMar>
            <w:vAlign w:val="center"/>
            <w:shd w:fill="F4F6F9"/>
          </w:tcPr>
          <w:p>
            <w:pPr>
              <w:pStyle w:val="Compact"/>
              <w:spacing w:before="0" w:after="40" w:line="240" w:lineRule="auto"/>
              <w:jc w:val="left"/>
            </w:pPr>
            <w:r>
              <w:rPr>
                <w:rFonts w:ascii="Calibri" w:hAnsi="Calibri" w:eastAsia="Calibri"/>
                <w:b/>
                <w:color w:val="0B2545"/>
                <w:sz w:val="18"/>
              </w:rPr>
              <w:t xml:space="preserve">vs NoisyNet</w:t>
            </w:r>
          </w:p>
        </w:tc>
        <w:tc>
          <w:tcPr>
            <w:tcW w:w="2286" w:type="dxa"/>
            <w:tcMar>
              <w:top w:w="80" w:type="dxa"/>
              <w:bottom w:w="80" w:type="dxa"/>
              <w:start w:w="120" w:type="dxa"/>
              <w:end w:w="120" w:type="dxa"/>
            </w:tcMar>
            <w:vAlign w:val="center"/>
            <w:shd w:fill="F4F6F9"/>
          </w:tcPr>
          <w:p>
            <w:pPr>
              <w:pStyle w:val="Compact"/>
              <w:spacing w:before="0" w:after="40" w:line="240" w:lineRule="auto"/>
              <w:jc w:val="left"/>
            </w:pPr>
            <w:r>
              <w:rPr>
                <w:rFonts w:ascii="Calibri" w:hAnsi="Calibri" w:eastAsia="Calibri"/>
                <w:b/>
                <w:color w:val="0B2545"/>
                <w:sz w:val="18"/>
              </w:rPr>
              <w:t xml:space="preserve">vs RND</w:t>
            </w:r>
          </w:p>
        </w:tc>
      </w:tr>
      <w:tr>
        <w:tc>
          <w:tcPr>
            <w:tcW w:w="250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MetaDrive</w:t>
            </w:r>
          </w:p>
        </w:tc>
        <w:tc>
          <w:tcPr>
            <w:tcW w:w="2287"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0.000024</w:t>
            </w:r>
          </w:p>
        </w:tc>
        <w:tc>
          <w:tcPr>
            <w:tcW w:w="2287"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0.001885</w:t>
            </w:r>
          </w:p>
        </w:tc>
        <w:tc>
          <w:tcPr>
            <w:tcW w:w="2286"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0.000024</w:t>
            </w:r>
          </w:p>
        </w:tc>
      </w:tr>
      <w:tr>
        <w:tc>
          <w:tcPr>
            <w:tcW w:w="2500"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HighwayEnv matched subset</w:t>
            </w:r>
          </w:p>
        </w:tc>
        <w:tc>
          <w:tcPr>
            <w:tcW w:w="2287"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0.0174</w:t>
            </w:r>
          </w:p>
        </w:tc>
        <w:tc>
          <w:tcPr>
            <w:tcW w:w="2287"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0.0174</w:t>
            </w:r>
          </w:p>
        </w:tc>
        <w:tc>
          <w:tcPr>
            <w:tcW w:w="2286" w:type="dxa"/>
            <w:tcMar>
              <w:top w:w="80" w:type="dxa"/>
              <w:bottom w:w="80" w:type="dxa"/>
              <w:start w:w="120" w:type="dxa"/>
              <w:end w:w="120" w:type="dxa"/>
            </w:tcMar>
            <w:vAlign w:val="center"/>
          </w:tcPr>
          <w:p>
            <w:pPr>
              <w:pStyle w:val="Compact"/>
              <w:spacing w:before="0" w:after="40" w:line="240" w:lineRule="auto"/>
              <w:jc w:val="left"/>
            </w:pPr>
            <w:r>
              <w:rPr>
                <w:rFonts w:ascii="Calibri" w:hAnsi="Calibri" w:eastAsia="Calibri"/>
                <w:sz w:val="18"/>
              </w:rPr>
              <w:t xml:space="preserve">0.0171</w:t>
            </w:r>
          </w:p>
        </w:tc>
      </w:tr>
    </w:tbl>
    <w:bookmarkEnd w:id="41"/>
    <w:p>
      <w:pPr>
        <w:pStyle w:val="BodyText"/>
      </w:pPr>
      <w:r>
        <w:rPr>
          <w:rFonts w:ascii="Calibri" w:hAnsi="Calibri"/>
        </w:rPr>
        <w:t xml:space="preserve">All inferential tests include every seed in the environment-specific lists in Sect. 4.1. The Highway intervals are wide because seed-level performance is heterogeneous. The paired tests and aggregate intervals answer different questions: the paired tests use within-seed differences, while the intervals quantify uncertainty in each separate IQM. The Highway result should therefore be read as evidence for the stated matched 23-seed subset, not as a claim about every seed available in the larger uploaded archive.</w:t>
      </w:r>
    </w:p>
    <w:bookmarkEnd w:id="42"/>
    <w:bookmarkStart w:id="43" w:name="behaviour-of-the-state-memory"/>
    <w:p>
      <w:pPr>
        <w:pStyle w:val="Heading2"/>
        <w:keepNext/>
      </w:pPr>
      <w:r>
        <w:rPr>
          <w:rFonts w:ascii="Calibri" w:hAnsi="Calibri"/>
        </w:rPr>
        <w:t xml:space="preserve">Behaviour of the state memory</w:t>
      </w:r>
    </w:p>
    <w:p>
      <w:pPr>
        <w:pStyle w:val="FirstParagraph"/>
      </w:pPr>
      <w:r>
        <w:rPr>
          <w:rFonts w:ascii="Calibri" w:hAnsi="Calibri"/>
        </w:rPr>
        <w:t xml:space="preserve">Runtime logs show state-pool and action-mask activity during the evidence-collection and guided phases, while the final consolidation phase deliberately removes pool-based action selection. This schedule transfers control to the learned network before the frozen-policy test and confirms that the guided-exploration mechanism was active during training.</w:t>
      </w:r>
    </w:p>
    <w:bookmarkEnd w:id="43"/>
    <w:bookmarkStart w:id="44" w:name="answers-to-the-research-questions"/>
    <w:p>
      <w:pPr>
        <w:pStyle w:val="Heading2"/>
        <w:keepNext/>
      </w:pPr>
      <w:r>
        <w:rPr>
          <w:rFonts w:ascii="Calibri" w:hAnsi="Calibri"/>
        </w:rPr>
        <w:t xml:space="preserve">Answers to the research questions</w:t>
      </w:r>
    </w:p>
    <w:p>
      <w:pPr>
        <w:numPr>
          <w:ilvl w:val="0"/>
          <w:numId w:val="1004"/>
        </w:numPr>
        <w:spacing w:after="80" w:line="290" w:lineRule="auto"/>
        <w:ind w:left="540" w:hanging="279"/>
      </w:pPr>
      <w:r>
        <w:rPr>
          <w:iCs/>
          <w:rFonts w:ascii="Calibri" w:hAnsi="Calibri"/>
          <w:i/>
        </w:rPr>
        <w:t xml:space="preserve">RQ1:</w:t>
      </w:r>
      <w:r>
        <w:rPr>
          <w:rFonts w:ascii="Calibri" w:hAnsi="Calibri"/>
        </w:rPr>
        <w:t xml:space="preserve"> </w:t>
      </w:r>
      <w:r>
        <w:rPr>
          <w:rFonts w:ascii="Calibri" w:hAnsi="Calibri"/>
        </w:rPr>
        <w:t xml:space="preserve">SafetyPool increases Collision RMST relative to all three baselines in both environment-specific 23-seed analyses.</w:t>
      </w:r>
    </w:p>
    <w:p>
      <w:pPr>
        <w:numPr>
          <w:ilvl w:val="0"/>
          <w:numId w:val="1004"/>
        </w:numPr>
        <w:spacing w:after="80" w:line="290" w:lineRule="auto"/>
        <w:ind w:left="540" w:hanging="279"/>
      </w:pPr>
      <w:r>
        <w:rPr>
          <w:iCs/>
          <w:rFonts w:ascii="Calibri" w:hAnsi="Calibri"/>
          <w:i/>
        </w:rPr>
        <w:t xml:space="preserve">RQ2:</w:t>
      </w:r>
      <w:r>
        <w:rPr>
          <w:rFonts w:ascii="Calibri" w:hAnsi="Calibri"/>
        </w:rPr>
        <w:t xml:space="preserve"> </w:t>
      </w:r>
      <w:r>
        <w:rPr>
          <w:rFonts w:ascii="Calibri" w:hAnsi="Calibri"/>
        </w:rPr>
        <w:t xml:space="preserve">The paired Collision RMST improvement is supported for all three baseline comparisons after Holm correction in MetaDrive and in the matched Highway subset.</w:t>
      </w:r>
    </w:p>
    <w:p>
      <w:pPr>
        <w:numPr>
          <w:ilvl w:val="0"/>
          <w:numId w:val="1004"/>
        </w:numPr>
        <w:spacing w:after="80" w:line="290" w:lineRule="auto"/>
        <w:ind w:left="540" w:hanging="279"/>
      </w:pPr>
      <w:r>
        <w:rPr>
          <w:iCs/>
          <w:rFonts w:ascii="Calibri" w:hAnsi="Calibri"/>
          <w:i/>
        </w:rPr>
        <w:t xml:space="preserve">RQ3:</w:t>
      </w:r>
      <w:r>
        <w:rPr>
          <w:rFonts w:ascii="Calibri" w:hAnsi="Calibri"/>
        </w:rPr>
        <w:t xml:space="preserve"> </w:t>
      </w:r>
      <w:r>
        <w:rPr>
          <w:rFonts w:ascii="Calibri" w:hAnsi="Calibri"/>
        </w:rPr>
        <w:t xml:space="preserve">The result means that SafetyPool delays the first collision or remains collision-free for longer within the same fixed observation horizon.</w:t>
      </w:r>
    </w:p>
    <w:p>
      <w:pPr>
        <w:pStyle w:val="FirstParagraph"/>
      </w:pPr>
      <w:r>
        <w:rPr>
          <w:rFonts w:ascii="Calibri" w:hAnsi="Calibri"/>
        </w:rPr>
        <w:t xml:space="preserve">The likely mechanism is selective experience acquisition. Unlike novelty-based exploration, SafetyPool records local action outcomes and directs exploration toward actions that remain unknown without repeatedly selecting actions supported as hazardous. The final pure-DQN phase then transfers control from explicit memory to the value network.</w:t>
      </w:r>
    </w:p>
    <w:bookmarkEnd w:id="44"/>
    <w:bookmarkEnd w:id="45"/>
    <w:bookmarkStart w:id="46" w:name="conclusion-and-future-work"/>
    <w:p>
      <w:pPr>
        <w:pStyle w:val="Heading1"/>
        <w:keepNext/>
      </w:pPr>
      <w:r>
        <w:rPr>
          <w:rFonts w:ascii="Calibri" w:hAnsi="Calibri"/>
        </w:rPr>
        <w:t xml:space="preserve">Conclusion and Future Work</w:t>
      </w:r>
    </w:p>
    <w:p>
      <w:pPr>
        <w:pStyle w:val="FirstParagraph"/>
      </w:pPr>
      <w:r>
        <w:rPr>
          <w:rFonts w:ascii="Calibri" w:hAnsi="Calibri"/>
        </w:rPr>
        <w:t xml:space="preserve">This study evaluated SafetyPool, an evidence-guided exploration method for a DQN driving agent. In MetaDrive, SafetyPool increases Collision RMST from approximately 91–92 baseline steps to 229.8 steps over 23 matched seeds. In the matched 23-seed Highway subset, SafetyPool obtains 122.15 steps compared with 5.79, 5.68, and 6.44 for Epsilon-Greedy, NoisyNet, and RND. Every environment-specific paired comparison is supported after Holm correction. These results show that guided exploration can extend collision-free operation after the safety memory is removed and the frozen DQN acts independently.</w:t>
      </w:r>
    </w:p>
    <w:p>
      <w:pPr>
        <w:pStyle w:val="BodyText"/>
      </w:pPr>
      <w:r>
        <w:rPr>
          <w:rFonts w:ascii="Calibri" w:hAnsi="Calibri"/>
        </w:rPr>
        <w:t xml:space="preserve">Future work will pre-register and evaluate broader Highway seed sets, repeat the analysis across additional traffic configurations, and tune candidate-promotion visits, root-mean-square (RMS) distance thresholds, hazard-pool settings, and eviction criteria. Maximum-step completion, collisions per 1,000 steps, route completion, out-of-road events, and computational cost will be evaluated as separate secondary outcomes rather than mixed with the Collision RMST claim. We will also study additional safety metrics informed by recent safe-learning and safety-critical driving research</w:t>
      </w:r>
      <w:r>
        <w:rPr>
          <w:rFonts w:ascii="Calibri" w:hAnsi="Calibri"/>
        </w:rPr>
        <w:t xml:space="preserve"> </w:t>
      </w:r>
      <w:r>
        <w:rPr>
          <w:rFonts w:ascii="Calibri" w:hAnsi="Calibri"/>
        </w:rPr>
        <w:t xml:space="preserve">(Brunke et al. 2022; Zhao, He, and Liu 2022; Ji et al. 2023, 2024; Zhang et al. 2023)</w:t>
      </w:r>
      <w:r>
        <w:rPr>
          <w:rFonts w:ascii="Calibri" w:hAnsi="Calibri"/>
        </w:rPr>
        <w:t xml:space="preserve">.</w:t>
      </w:r>
    </w:p>
    <w:bookmarkEnd w:id="46"/>
    <w:bookmarkStart w:id="47" w:name="data-availability"/>
    <w:p>
      <w:pPr>
        <w:pStyle w:val="Heading1"/>
        <w:keepNext/>
      </w:pPr>
      <w:r>
        <w:rPr>
          <w:rFonts w:ascii="Calibri" w:hAnsi="Calibri"/>
        </w:rPr>
        <w:t xml:space="preserve">Data Availability</w:t>
      </w:r>
    </w:p>
    <w:p>
      <w:pPr>
        <w:pStyle w:val="FirstParagraph"/>
      </w:pPr>
      <w:r>
        <w:rPr>
          <w:rFonts w:ascii="Calibri" w:hAnsi="Calibri"/>
        </w:rPr>
        <w:t xml:space="preserve">The accompanying reproducibility folder contains the exact SafetyPool policies, Highway and MetaDrive frameworks, collision-event episode data, seed-level Collision RMST tables, analysis code, figures, and environment records. The environment-specific 23-seed lists are given in Sect. 4.1.</w:t>
      </w:r>
    </w:p>
    <w:bookmarkEnd w:id="47"/>
    <w:bookmarkStart w:id="90" w:name="ethical-and-safety-statement"/>
    <w:p>
      <w:pPr>
        <w:pStyle w:val="Heading1"/>
        <w:keepNext/>
      </w:pPr>
      <w:r>
        <w:rPr>
          <w:rFonts w:ascii="Calibri" w:hAnsi="Calibri"/>
        </w:rPr>
        <w:t xml:space="preserve">Ethical and Safety Statement</w:t>
      </w:r>
    </w:p>
    <w:p>
      <w:pPr>
        <w:pStyle w:val="FirstParagraph"/>
      </w:pPr>
      <w:r>
        <w:rPr>
          <w:rFonts w:ascii="Calibri" w:hAnsi="Calibri"/>
        </w:rPr>
        <w:t xml:space="preserve">The experiments are simulation-only. Future physical testing should use independent supervision, controlled facilities, formal risk assessment, and applicable transport and research requirements.</w:t>
      </w:r>
    </w:p>
    <w:bookmarkStart w:id="89" w:name="refs"/>
    <w:bookmarkStart w:id="48" w:name="ref-achiam2017cpo"/>
    <w:p>
      <w:pPr>
        <w:pStyle w:val="Bibliography"/>
      </w:pPr>
      <w:r>
        <w:rPr>
          <w:rFonts w:ascii="Calibri" w:hAnsi="Calibri"/>
        </w:rPr>
        <w:t xml:space="preserve">Achiam, Joshua, David Held, Aviv Tamar, and Pieter Abbeel. 2017.</w:t>
      </w:r>
      <w:r>
        <w:rPr>
          <w:rFonts w:ascii="Calibri" w:hAnsi="Calibri"/>
        </w:rPr>
        <w:t xml:space="preserve"> </w:t>
      </w:r>
      <w:r>
        <w:rPr>
          <w:rFonts w:ascii="Calibri" w:hAnsi="Calibri"/>
        </w:rPr>
        <w:t xml:space="preserve">“Constrained Policy Optimization.”</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Proceedings of the 34th International Conference on Machine Learning</w:t>
      </w:r>
      <w:r>
        <w:rPr>
          <w:rFonts w:ascii="Calibri" w:hAnsi="Calibri"/>
        </w:rPr>
        <w:t xml:space="preserve">, 22–31.</w:t>
      </w:r>
    </w:p>
    <w:bookmarkEnd w:id="48"/>
    <w:bookmarkStart w:id="49" w:name="ref-agarwal2021precipice"/>
    <w:p>
      <w:pPr>
        <w:pStyle w:val="Bibliography"/>
      </w:pPr>
      <w:r>
        <w:rPr>
          <w:rFonts w:ascii="Calibri" w:hAnsi="Calibri"/>
        </w:rPr>
        <w:t xml:space="preserve">Agarwal, Rishabh, Max Schwarzer, Pablo Samuel Castro, Aaron C. Courville, and Marc G. Bellemare. 2021.</w:t>
      </w:r>
      <w:r>
        <w:rPr>
          <w:rFonts w:ascii="Calibri" w:hAnsi="Calibri"/>
        </w:rPr>
        <w:t xml:space="preserve"> </w:t>
      </w:r>
      <w:r>
        <w:rPr>
          <w:rFonts w:ascii="Calibri" w:hAnsi="Calibri"/>
        </w:rPr>
        <w:t xml:space="preserve">“Deep Reinforcement Learning at the Edge of the Statistical Precipice.”</w:t>
      </w:r>
      <w:r>
        <w:rPr>
          <w:rFonts w:ascii="Calibri" w:hAnsi="Calibri"/>
        </w:rPr>
        <w:t xml:space="preserve"> </w:t>
      </w:r>
      <w:r>
        <w:rPr>
          <w:iCs/>
          <w:rFonts w:ascii="Calibri" w:hAnsi="Calibri"/>
          <w:i/>
        </w:rPr>
        <w:t xml:space="preserve">Advances in Neural Information Processing Systems</w:t>
      </w:r>
      <w:r>
        <w:rPr>
          <w:rFonts w:ascii="Calibri" w:hAnsi="Calibri"/>
        </w:rPr>
        <w:t xml:space="preserve"> </w:t>
      </w:r>
      <w:r>
        <w:rPr>
          <w:rFonts w:ascii="Calibri" w:hAnsi="Calibri"/>
        </w:rPr>
        <w:t xml:space="preserve">34: 29304–20.</w:t>
      </w:r>
    </w:p>
    <w:bookmarkEnd w:id="49"/>
    <w:bookmarkStart w:id="50" w:name="ref-alshiekh2018shielding"/>
    <w:p>
      <w:pPr>
        <w:pStyle w:val="Bibliography"/>
      </w:pPr>
      <w:r>
        <w:rPr>
          <w:rFonts w:ascii="Calibri" w:hAnsi="Calibri"/>
        </w:rPr>
        <w:t xml:space="preserve">Alshiekh, Mohammed, Roderick Bloem, Ruediger Ehlers, Bettina Könighofer, Scott Niekum, and Ufuk Topcu. 2018.</w:t>
      </w:r>
      <w:r>
        <w:rPr>
          <w:rFonts w:ascii="Calibri" w:hAnsi="Calibri"/>
        </w:rPr>
        <w:t xml:space="preserve"> </w:t>
      </w:r>
      <w:r>
        <w:rPr>
          <w:rFonts w:ascii="Calibri" w:hAnsi="Calibri"/>
        </w:rPr>
        <w:t xml:space="preserve">“Safe Reinforcement Learning via Shielding.”</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Proceedings of the AAAI Conference on Artificial Intelligence</w:t>
      </w:r>
      <w:r>
        <w:rPr>
          <w:rFonts w:ascii="Calibri" w:hAnsi="Calibri"/>
        </w:rPr>
        <w:t xml:space="preserve">. Vol. 32.</w:t>
      </w:r>
    </w:p>
    <w:bookmarkEnd w:id="50"/>
    <w:bookmarkStart w:id="51" w:name="ref-altman1999cmdp"/>
    <w:p>
      <w:pPr>
        <w:pStyle w:val="Bibliography"/>
      </w:pPr>
      <w:r>
        <w:rPr>
          <w:rFonts w:ascii="Calibri" w:hAnsi="Calibri"/>
        </w:rPr>
        <w:t xml:space="preserve">Altman, Eitan. 1999.</w:t>
      </w:r>
      <w:r>
        <w:rPr>
          <w:rFonts w:ascii="Calibri" w:hAnsi="Calibri"/>
        </w:rPr>
        <w:t xml:space="preserve"> </w:t>
      </w:r>
      <w:r>
        <w:rPr>
          <w:iCs/>
          <w:rFonts w:ascii="Calibri" w:hAnsi="Calibri"/>
          <w:i/>
        </w:rPr>
        <w:t xml:space="preserve">Constrained Markov Decision Processes</w:t>
      </w:r>
      <w:r>
        <w:rPr>
          <w:rFonts w:ascii="Calibri" w:hAnsi="Calibri"/>
        </w:rPr>
        <w:t xml:space="preserve">. Chapman; Hall/CRC.</w:t>
      </w:r>
    </w:p>
    <w:bookmarkEnd w:id="51"/>
    <w:bookmarkStart w:id="52" w:name="ref-bellemare2016count"/>
    <w:p>
      <w:pPr>
        <w:pStyle w:val="Bibliography"/>
      </w:pPr>
      <w:r>
        <w:rPr>
          <w:rFonts w:ascii="Calibri" w:hAnsi="Calibri"/>
        </w:rPr>
        <w:t xml:space="preserve">Bellemare, Marc G., Sriram Srinivasan, Georg Ostrovski, Tom Schaul, David Saxton, and Rémi Munos. 2016.</w:t>
      </w:r>
      <w:r>
        <w:rPr>
          <w:rFonts w:ascii="Calibri" w:hAnsi="Calibri"/>
        </w:rPr>
        <w:t xml:space="preserve"> </w:t>
      </w:r>
      <w:r>
        <w:rPr>
          <w:rFonts w:ascii="Calibri" w:hAnsi="Calibri"/>
        </w:rPr>
        <w:t xml:space="preserve">“Unifying Count-Based Exploration and Intrinsic Motivation.”</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Advances in Neural Information Processing Systems</w:t>
      </w:r>
      <w:r>
        <w:rPr>
          <w:rFonts w:ascii="Calibri" w:hAnsi="Calibri"/>
        </w:rPr>
        <w:t xml:space="preserve">. Vol. 29.</w:t>
      </w:r>
    </w:p>
    <w:bookmarkEnd w:id="52"/>
    <w:bookmarkStart w:id="53" w:name="ref-brunke2022safe"/>
    <w:p>
      <w:pPr>
        <w:pStyle w:val="Bibliography"/>
      </w:pPr>
      <w:r>
        <w:rPr>
          <w:rFonts w:ascii="Calibri" w:hAnsi="Calibri"/>
        </w:rPr>
        <w:t xml:space="preserve">Brunke, Lukas, Melissa Greeff, Adam W. Hall, et al. 2022.</w:t>
      </w:r>
      <w:r>
        <w:rPr>
          <w:rFonts w:ascii="Calibri" w:hAnsi="Calibri"/>
        </w:rPr>
        <w:t xml:space="preserve"> </w:t>
      </w:r>
      <w:r>
        <w:rPr>
          <w:rFonts w:ascii="Calibri" w:hAnsi="Calibri"/>
        </w:rPr>
        <w:t xml:space="preserve">“Safe Learning in Robotics: From Learning-Based Control to Safe Reinforcement Learning.”</w:t>
      </w:r>
      <w:r>
        <w:rPr>
          <w:rFonts w:ascii="Calibri" w:hAnsi="Calibri"/>
        </w:rPr>
        <w:t xml:space="preserve"> </w:t>
      </w:r>
      <w:r>
        <w:rPr>
          <w:iCs/>
          <w:rFonts w:ascii="Calibri" w:hAnsi="Calibri"/>
          <w:i/>
        </w:rPr>
        <w:t xml:space="preserve">Annual Review of Control, Robotics, and Autonomous Systems</w:t>
      </w:r>
      <w:r>
        <w:rPr>
          <w:rFonts w:ascii="Calibri" w:hAnsi="Calibri"/>
        </w:rPr>
        <w:t xml:space="preserve"> </w:t>
      </w:r>
      <w:r>
        <w:rPr>
          <w:rFonts w:ascii="Calibri" w:hAnsi="Calibri"/>
        </w:rPr>
        <w:t xml:space="preserve">5: 411–44.</w:t>
      </w:r>
    </w:p>
    <w:bookmarkEnd w:id="53"/>
    <w:bookmarkStart w:id="54" w:name="ref-burda2018rnd"/>
    <w:p>
      <w:pPr>
        <w:pStyle w:val="Bibliography"/>
      </w:pPr>
      <w:r>
        <w:rPr>
          <w:rFonts w:ascii="Calibri" w:hAnsi="Calibri"/>
        </w:rPr>
        <w:t xml:space="preserve">Burda, Yuri, Harrison Edwards, Amos Storkey, and Oleg Klimov. 2018.</w:t>
      </w:r>
      <w:r>
        <w:rPr>
          <w:rFonts w:ascii="Calibri" w:hAnsi="Calibri"/>
        </w:rPr>
        <w:t xml:space="preserve"> </w:t>
      </w:r>
      <w:r>
        <w:rPr>
          <w:rFonts w:ascii="Calibri" w:hAnsi="Calibri"/>
        </w:rPr>
        <w:t xml:space="preserve">“Exploration by Random Network Distillation.”</w:t>
      </w:r>
      <w:r>
        <w:rPr>
          <w:rFonts w:ascii="Calibri" w:hAnsi="Calibri"/>
        </w:rPr>
        <w:t xml:space="preserve"> </w:t>
      </w:r>
      <w:r>
        <w:rPr>
          <w:iCs/>
          <w:rFonts w:ascii="Calibri" w:hAnsi="Calibri"/>
          <w:i/>
        </w:rPr>
        <w:t xml:space="preserve">arXiv Preprint arXiv:1810.12894</w:t>
      </w:r>
      <w:r>
        <w:rPr>
          <w:rFonts w:ascii="Calibri" w:hAnsi="Calibri"/>
        </w:rPr>
        <w:t xml:space="preserve">.</w:t>
      </w:r>
    </w:p>
    <w:bookmarkEnd w:id="54"/>
    <w:bookmarkStart w:id="55" w:name="ref-chow2018lyapunov"/>
    <w:p>
      <w:pPr>
        <w:pStyle w:val="Bibliography"/>
      </w:pPr>
      <w:r>
        <w:rPr>
          <w:rFonts w:ascii="Calibri" w:hAnsi="Calibri"/>
        </w:rPr>
        <w:t xml:space="preserve">Chow, Yinlam, Ofir Nachum, Edgar Duenez-Guzman, and Mohammad Ghavamzadeh. 2018.</w:t>
      </w:r>
      <w:r>
        <w:rPr>
          <w:rFonts w:ascii="Calibri" w:hAnsi="Calibri"/>
        </w:rPr>
        <w:t xml:space="preserve"> </w:t>
      </w:r>
      <w:r>
        <w:rPr>
          <w:rFonts w:ascii="Calibri" w:hAnsi="Calibri"/>
        </w:rPr>
        <w:t xml:space="preserve">“A Lyapunov-Based Approach to Safe Reinforcement Learning.”</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Advances in Neural Information Processing Systems</w:t>
      </w:r>
      <w:r>
        <w:rPr>
          <w:rFonts w:ascii="Calibri" w:hAnsi="Calibri"/>
        </w:rPr>
        <w:t xml:space="preserve">. Vol. 31.</w:t>
      </w:r>
    </w:p>
    <w:bookmarkEnd w:id="55"/>
    <w:bookmarkStart w:id="56" w:name="ref-colas2019empirical"/>
    <w:p>
      <w:pPr>
        <w:pStyle w:val="Bibliography"/>
      </w:pPr>
      <w:r>
        <w:rPr>
          <w:rFonts w:ascii="Calibri" w:hAnsi="Calibri"/>
        </w:rPr>
        <w:t xml:space="preserve">Colas, Cédric, Olivier Sigaud, and Pierre-Yves Oudeyer. 2019.</w:t>
      </w:r>
      <w:r>
        <w:rPr>
          <w:rFonts w:ascii="Calibri" w:hAnsi="Calibri"/>
        </w:rPr>
        <w:t xml:space="preserve"> </w:t>
      </w:r>
      <w:r>
        <w:rPr>
          <w:rFonts w:ascii="Calibri" w:hAnsi="Calibri"/>
        </w:rPr>
        <w:t xml:space="preserve">“A Hitchhiker’s Guide to Statistical Comparisons of Reinforcement Learning Algorithms.”</w:t>
      </w:r>
      <w:r>
        <w:rPr>
          <w:rFonts w:ascii="Calibri" w:hAnsi="Calibri"/>
        </w:rPr>
        <w:t xml:space="preserve"> </w:t>
      </w:r>
      <w:r>
        <w:rPr>
          <w:iCs/>
          <w:rFonts w:ascii="Calibri" w:hAnsi="Calibri"/>
          <w:i/>
        </w:rPr>
        <w:t xml:space="preserve">arXiv Preprint arXiv:1904.06979</w:t>
      </w:r>
      <w:r>
        <w:rPr>
          <w:rFonts w:ascii="Calibri" w:hAnsi="Calibri"/>
        </w:rPr>
        <w:t xml:space="preserve">.</w:t>
      </w:r>
    </w:p>
    <w:bookmarkEnd w:id="56"/>
    <w:bookmarkStart w:id="57" w:name="ref-dalal2018safetylayer"/>
    <w:p>
      <w:pPr>
        <w:pStyle w:val="Bibliography"/>
      </w:pPr>
      <w:r>
        <w:rPr>
          <w:rFonts w:ascii="Calibri" w:hAnsi="Calibri"/>
        </w:rPr>
        <w:t xml:space="preserve">Dalal, Gal, Krishnamurthy Dvijotham, Matej Vecerik, Todd Hester, Cosmin Paduraru, and Yuval Tassa. 2018.</w:t>
      </w:r>
      <w:r>
        <w:rPr>
          <w:rFonts w:ascii="Calibri" w:hAnsi="Calibri"/>
        </w:rPr>
        <w:t xml:space="preserve"> </w:t>
      </w:r>
      <w:r>
        <w:rPr>
          <w:rFonts w:ascii="Calibri" w:hAnsi="Calibri"/>
        </w:rPr>
        <w:t xml:space="preserve">“Safe Exploration in Continuous Action Spaces.”</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Safe Artificial Intelligence Workshop at AAAI</w:t>
      </w:r>
      <w:r>
        <w:rPr>
          <w:rFonts w:ascii="Calibri" w:hAnsi="Calibri"/>
        </w:rPr>
        <w:t xml:space="preserve">.</w:t>
      </w:r>
    </w:p>
    <w:bookmarkEnd w:id="57"/>
    <w:bookmarkStart w:id="58" w:name="ref-efron1979bootstrap"/>
    <w:p>
      <w:pPr>
        <w:pStyle w:val="Bibliography"/>
      </w:pPr>
      <w:r>
        <w:rPr>
          <w:rFonts w:ascii="Calibri" w:hAnsi="Calibri"/>
        </w:rPr>
        <w:t xml:space="preserve">Efron, Bradley. 1979.</w:t>
      </w:r>
      <w:r>
        <w:rPr>
          <w:rFonts w:ascii="Calibri" w:hAnsi="Calibri"/>
        </w:rPr>
        <w:t xml:space="preserve"> </w:t>
      </w:r>
      <w:r>
        <w:rPr>
          <w:rFonts w:ascii="Calibri" w:hAnsi="Calibri"/>
        </w:rPr>
        <w:t xml:space="preserve">“Bootstrap Methods: Another Look at the Jackknife.”</w:t>
      </w:r>
      <w:r>
        <w:rPr>
          <w:rFonts w:ascii="Calibri" w:hAnsi="Calibri"/>
        </w:rPr>
        <w:t xml:space="preserve"> </w:t>
      </w:r>
      <w:r>
        <w:rPr>
          <w:iCs/>
          <w:rFonts w:ascii="Calibri" w:hAnsi="Calibri"/>
          <w:i/>
        </w:rPr>
        <w:t xml:space="preserve">The Annals of Statistics</w:t>
      </w:r>
      <w:r>
        <w:rPr>
          <w:rFonts w:ascii="Calibri" w:hAnsi="Calibri"/>
        </w:rPr>
        <w:t xml:space="preserve"> </w:t>
      </w:r>
      <w:r>
        <w:rPr>
          <w:rFonts w:ascii="Calibri" w:hAnsi="Calibri"/>
        </w:rPr>
        <w:t xml:space="preserve">7 (1): 1–26.</w:t>
      </w:r>
    </w:p>
    <w:bookmarkEnd w:id="58"/>
    <w:bookmarkStart w:id="59" w:name="ref-fortunato2018noisy"/>
    <w:p>
      <w:pPr>
        <w:pStyle w:val="Bibliography"/>
      </w:pPr>
      <w:r>
        <w:rPr>
          <w:rFonts w:ascii="Calibri" w:hAnsi="Calibri"/>
        </w:rPr>
        <w:t xml:space="preserve">Fortunato, Meire, Mohammad Gheshlaghi Azar, Bilal Piot, et al. 2018.</w:t>
      </w:r>
      <w:r>
        <w:rPr>
          <w:rFonts w:ascii="Calibri" w:hAnsi="Calibri"/>
        </w:rPr>
        <w:t xml:space="preserve"> </w:t>
      </w:r>
      <w:r>
        <w:rPr>
          <w:rFonts w:ascii="Calibri" w:hAnsi="Calibri"/>
        </w:rPr>
        <w:t xml:space="preserve">“Noisy Networks for Exploration.”</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International Conference on Learning Representations</w:t>
      </w:r>
      <w:r>
        <w:rPr>
          <w:rFonts w:ascii="Calibri" w:hAnsi="Calibri"/>
        </w:rPr>
        <w:t xml:space="preserve">.</w:t>
      </w:r>
    </w:p>
    <w:bookmarkEnd w:id="59"/>
    <w:bookmarkStart w:id="60" w:name="ref-garcia2015safe"/>
    <w:p>
      <w:pPr>
        <w:pStyle w:val="Bibliography"/>
      </w:pPr>
      <w:r>
        <w:rPr>
          <w:rFonts w:ascii="Calibri" w:hAnsi="Calibri"/>
        </w:rPr>
        <w:t xml:space="preserve">García, Javier, and Fernando Fernández. 2015.</w:t>
      </w:r>
      <w:r>
        <w:rPr>
          <w:rFonts w:ascii="Calibri" w:hAnsi="Calibri"/>
        </w:rPr>
        <w:t xml:space="preserve"> </w:t>
      </w:r>
      <w:r>
        <w:rPr>
          <w:rFonts w:ascii="Calibri" w:hAnsi="Calibri"/>
        </w:rPr>
        <w:t xml:space="preserve">“A Comprehensive Survey on Safe Reinforcement Learning.”</w:t>
      </w:r>
      <w:r>
        <w:rPr>
          <w:rFonts w:ascii="Calibri" w:hAnsi="Calibri"/>
        </w:rPr>
        <w:t xml:space="preserve"> </w:t>
      </w:r>
      <w:r>
        <w:rPr>
          <w:iCs/>
          <w:rFonts w:ascii="Calibri" w:hAnsi="Calibri"/>
          <w:i/>
        </w:rPr>
        <w:t xml:space="preserve">Journal of Machine Learning Research</w:t>
      </w:r>
      <w:r>
        <w:rPr>
          <w:rFonts w:ascii="Calibri" w:hAnsi="Calibri"/>
        </w:rPr>
        <w:t xml:space="preserve"> </w:t>
      </w:r>
      <w:r>
        <w:rPr>
          <w:rFonts w:ascii="Calibri" w:hAnsi="Calibri"/>
        </w:rPr>
        <w:t xml:space="preserve">16: 1437–80.</w:t>
      </w:r>
    </w:p>
    <w:bookmarkEnd w:id="60"/>
    <w:bookmarkStart w:id="61" w:name="ref-hasselt2016double"/>
    <w:p>
      <w:pPr>
        <w:pStyle w:val="Bibliography"/>
      </w:pPr>
      <w:r>
        <w:rPr>
          <w:rFonts w:ascii="Calibri" w:hAnsi="Calibri"/>
        </w:rPr>
        <w:t xml:space="preserve">Hasselt, Hado van, Arthur Guez, and David Silver. 2016.</w:t>
      </w:r>
      <w:r>
        <w:rPr>
          <w:rFonts w:ascii="Calibri" w:hAnsi="Calibri"/>
        </w:rPr>
        <w:t xml:space="preserve"> </w:t>
      </w:r>
      <w:r>
        <w:rPr>
          <w:rFonts w:ascii="Calibri" w:hAnsi="Calibri"/>
        </w:rPr>
        <w:t xml:space="preserve">“Deep Reinforcement Learning with Double q-Learning.”</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Proceedings of the AAAI Conference on Artificial Intelligence</w:t>
      </w:r>
      <w:r>
        <w:rPr>
          <w:rFonts w:ascii="Calibri" w:hAnsi="Calibri"/>
        </w:rPr>
        <w:t xml:space="preserve">. Vol. 30.</w:t>
      </w:r>
    </w:p>
    <w:bookmarkEnd w:id="61"/>
    <w:bookmarkStart w:id="62" w:name="ref-henderson2018matters"/>
    <w:p>
      <w:pPr>
        <w:pStyle w:val="Bibliography"/>
      </w:pPr>
      <w:r>
        <w:rPr>
          <w:rFonts w:ascii="Calibri" w:hAnsi="Calibri"/>
        </w:rPr>
        <w:t xml:space="preserve">Henderson, Peter, Riashat Islam, Philip Bachman, Joelle Pineau, Doina Precup, and David Meger. 2018.</w:t>
      </w:r>
      <w:r>
        <w:rPr>
          <w:rFonts w:ascii="Calibri" w:hAnsi="Calibri"/>
        </w:rPr>
        <w:t xml:space="preserve"> </w:t>
      </w:r>
      <w:r>
        <w:rPr>
          <w:rFonts w:ascii="Calibri" w:hAnsi="Calibri"/>
        </w:rPr>
        <w:t xml:space="preserve">“Deep Reinforcement Learning That Matters.”</w:t>
      </w:r>
      <w:r>
        <w:rPr>
          <w:rFonts w:ascii="Calibri" w:hAnsi="Calibri"/>
        </w:rPr>
        <w:t xml:space="preserve"> </w:t>
      </w:r>
      <w:r>
        <w:rPr>
          <w:iCs/>
          <w:rFonts w:ascii="Calibri" w:hAnsi="Calibri"/>
          <w:i/>
        </w:rPr>
        <w:t xml:space="preserve">Proceedings of the AAAI Conference on Artificial Intelligence</w:t>
      </w:r>
      <w:r>
        <w:rPr>
          <w:rFonts w:ascii="Calibri" w:hAnsi="Calibri"/>
        </w:rPr>
        <w:t xml:space="preserve"> </w:t>
      </w:r>
      <w:r>
        <w:rPr>
          <w:rFonts w:ascii="Calibri" w:hAnsi="Calibri"/>
        </w:rPr>
        <w:t xml:space="preserve">32.</w:t>
      </w:r>
    </w:p>
    <w:bookmarkEnd w:id="62"/>
    <w:bookmarkStart w:id="63" w:name="ref-hessel2018rainbow"/>
    <w:p>
      <w:pPr>
        <w:pStyle w:val="Bibliography"/>
      </w:pPr>
      <w:r>
        <w:rPr>
          <w:rFonts w:ascii="Calibri" w:hAnsi="Calibri"/>
        </w:rPr>
        <w:t xml:space="preserve">Hessel, Matteo, Joseph Modayil, Hado van Hasselt, et al. 2018.</w:t>
      </w:r>
      <w:r>
        <w:rPr>
          <w:rFonts w:ascii="Calibri" w:hAnsi="Calibri"/>
        </w:rPr>
        <w:t xml:space="preserve"> </w:t>
      </w:r>
      <w:r>
        <w:rPr>
          <w:rFonts w:ascii="Calibri" w:hAnsi="Calibri"/>
        </w:rPr>
        <w:t xml:space="preserve">“Rainbow: Combining Improvements in Deep Reinforcement Learning.”</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Proceedings of the AAAI Conference on Artificial Intelligence</w:t>
      </w:r>
      <w:r>
        <w:rPr>
          <w:rFonts w:ascii="Calibri" w:hAnsi="Calibri"/>
        </w:rPr>
        <w:t xml:space="preserve">. Vol. 32.</w:t>
      </w:r>
    </w:p>
    <w:bookmarkEnd w:id="63"/>
    <w:bookmarkStart w:id="64" w:name="ref-holm1979procedure"/>
    <w:p>
      <w:pPr>
        <w:pStyle w:val="Bibliography"/>
      </w:pPr>
      <w:r>
        <w:rPr>
          <w:rFonts w:ascii="Calibri" w:hAnsi="Calibri"/>
        </w:rPr>
        <w:t xml:space="preserve">Holm, Sture. 1979.</w:t>
      </w:r>
      <w:r>
        <w:rPr>
          <w:rFonts w:ascii="Calibri" w:hAnsi="Calibri"/>
        </w:rPr>
        <w:t xml:space="preserve"> </w:t>
      </w:r>
      <w:r>
        <w:rPr>
          <w:rFonts w:ascii="Calibri" w:hAnsi="Calibri"/>
        </w:rPr>
        <w:t xml:space="preserve">“A Simple Sequentially Rejective Multiple Test Procedure.”</w:t>
      </w:r>
      <w:r>
        <w:rPr>
          <w:rFonts w:ascii="Calibri" w:hAnsi="Calibri"/>
        </w:rPr>
        <w:t xml:space="preserve"> </w:t>
      </w:r>
      <w:r>
        <w:rPr>
          <w:iCs/>
          <w:rFonts w:ascii="Calibri" w:hAnsi="Calibri"/>
          <w:i/>
        </w:rPr>
        <w:t xml:space="preserve">Scandinavian Journal of Statistics</w:t>
      </w:r>
      <w:r>
        <w:rPr>
          <w:rFonts w:ascii="Calibri" w:hAnsi="Calibri"/>
        </w:rPr>
        <w:t xml:space="preserve"> </w:t>
      </w:r>
      <w:r>
        <w:rPr>
          <w:rFonts w:ascii="Calibri" w:hAnsi="Calibri"/>
        </w:rPr>
        <w:t xml:space="preserve">6 (2): 65–70.</w:t>
      </w:r>
    </w:p>
    <w:bookmarkEnd w:id="64"/>
    <w:bookmarkStart w:id="65" w:name="ref-ji2023safetygymnasium"/>
    <w:p>
      <w:pPr>
        <w:pStyle w:val="Bibliography"/>
      </w:pPr>
      <w:r>
        <w:rPr>
          <w:rFonts w:ascii="Calibri" w:hAnsi="Calibri"/>
        </w:rPr>
        <w:t xml:space="preserve">Ji, Jiaming, Borong Zhang, Jiayi Zhou, et al. 2023.</w:t>
      </w:r>
      <w:r>
        <w:rPr>
          <w:rFonts w:ascii="Calibri" w:hAnsi="Calibri"/>
        </w:rPr>
        <w:t xml:space="preserve"> </w:t>
      </w:r>
      <w:r>
        <w:rPr>
          <w:rFonts w:ascii="Calibri" w:hAnsi="Calibri"/>
        </w:rPr>
        <w:t xml:space="preserve">“Safety Gymnasium: A Unified Safe Reinforcement Learning Benchmark.”</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Advances in Neural Information Processing Systems</w:t>
      </w:r>
      <w:r>
        <w:rPr>
          <w:rFonts w:ascii="Calibri" w:hAnsi="Calibri"/>
        </w:rPr>
        <w:t xml:space="preserve">. Vol. 36.</w:t>
      </w:r>
    </w:p>
    <w:bookmarkEnd w:id="65"/>
    <w:bookmarkStart w:id="66" w:name="ref-ji2024omnisafe"/>
    <w:p>
      <w:pPr>
        <w:pStyle w:val="Bibliography"/>
      </w:pPr>
      <w:r>
        <w:rPr>
          <w:rFonts w:ascii="Calibri" w:hAnsi="Calibri"/>
        </w:rPr>
        <w:t xml:space="preserve">Ji, Jiaming, Jiayi Zhou, Borong Zhang, et al. 2024.</w:t>
      </w:r>
      <w:r>
        <w:rPr>
          <w:rFonts w:ascii="Calibri" w:hAnsi="Calibri"/>
        </w:rPr>
        <w:t xml:space="preserve"> </w:t>
      </w:r>
      <w:r>
        <w:rPr>
          <w:rFonts w:ascii="Calibri" w:hAnsi="Calibri"/>
        </w:rPr>
        <w:t xml:space="preserve">“</w:t>
      </w:r>
      <w:r>
        <w:rPr>
          <w:rFonts w:ascii="Calibri" w:hAnsi="Calibri"/>
        </w:rPr>
        <w:t xml:space="preserve">OmniSafe</w:t>
      </w:r>
      <w:r>
        <w:rPr>
          <w:rFonts w:ascii="Calibri" w:hAnsi="Calibri"/>
        </w:rPr>
        <w:t xml:space="preserve">: An Infrastructure for Accelerating Safe Reinforcement Learning Research.”</w:t>
      </w:r>
      <w:r>
        <w:rPr>
          <w:rFonts w:ascii="Calibri" w:hAnsi="Calibri"/>
        </w:rPr>
        <w:t xml:space="preserve"> </w:t>
      </w:r>
      <w:r>
        <w:rPr>
          <w:iCs/>
          <w:rFonts w:ascii="Calibri" w:hAnsi="Calibri"/>
          <w:i/>
        </w:rPr>
        <w:t xml:space="preserve">Journal of Machine Learning Research</w:t>
      </w:r>
      <w:r>
        <w:rPr>
          <w:rFonts w:ascii="Calibri" w:hAnsi="Calibri"/>
        </w:rPr>
        <w:t xml:space="preserve"> </w:t>
      </w:r>
      <w:r>
        <w:rPr>
          <w:rFonts w:ascii="Calibri" w:hAnsi="Calibri"/>
        </w:rPr>
        <w:t xml:space="preserve">25 (285): 1–6.</w:t>
      </w:r>
    </w:p>
    <w:bookmarkEnd w:id="66"/>
    <w:bookmarkStart w:id="67" w:name="ref-kaplan1958nonparametric"/>
    <w:p>
      <w:pPr>
        <w:pStyle w:val="Bibliography"/>
      </w:pPr>
      <w:r>
        <w:rPr>
          <w:rFonts w:ascii="Calibri" w:hAnsi="Calibri"/>
        </w:rPr>
        <w:t xml:space="preserve">Kaplan, Edward L., and Paul Meier. 1958.</w:t>
      </w:r>
      <w:r>
        <w:rPr>
          <w:rFonts w:ascii="Calibri" w:hAnsi="Calibri"/>
        </w:rPr>
        <w:t xml:space="preserve"> </w:t>
      </w:r>
      <w:r>
        <w:rPr>
          <w:rFonts w:ascii="Calibri" w:hAnsi="Calibri"/>
        </w:rPr>
        <w:t xml:space="preserve">“Nonparametric Estimation from Incomplete Observations.”</w:t>
      </w:r>
      <w:r>
        <w:rPr>
          <w:rFonts w:ascii="Calibri" w:hAnsi="Calibri"/>
        </w:rPr>
        <w:t xml:space="preserve"> </w:t>
      </w:r>
      <w:r>
        <w:rPr>
          <w:iCs/>
          <w:rFonts w:ascii="Calibri" w:hAnsi="Calibri"/>
          <w:i/>
        </w:rPr>
        <w:t xml:space="preserve">Journal of the American Statistical Association</w:t>
      </w:r>
      <w:r>
        <w:rPr>
          <w:rFonts w:ascii="Calibri" w:hAnsi="Calibri"/>
        </w:rPr>
        <w:t xml:space="preserve"> </w:t>
      </w:r>
      <w:r>
        <w:rPr>
          <w:rFonts w:ascii="Calibri" w:hAnsi="Calibri"/>
        </w:rPr>
        <w:t xml:space="preserve">53 (282): 457–81.</w:t>
      </w:r>
    </w:p>
    <w:bookmarkEnd w:id="67"/>
    <w:bookmarkStart w:id="68" w:name="ref-kendall2019driving"/>
    <w:p>
      <w:pPr>
        <w:pStyle w:val="Bibliography"/>
      </w:pPr>
      <w:r>
        <w:rPr>
          <w:rFonts w:ascii="Calibri" w:hAnsi="Calibri"/>
        </w:rPr>
        <w:t xml:space="preserve">Kendall, Alex, Jeffrey Hawke, David Janz, et al. 2019.</w:t>
      </w:r>
      <w:r>
        <w:rPr>
          <w:rFonts w:ascii="Calibri" w:hAnsi="Calibri"/>
        </w:rPr>
        <w:t xml:space="preserve"> </w:t>
      </w:r>
      <w:r>
        <w:rPr>
          <w:rFonts w:ascii="Calibri" w:hAnsi="Calibri"/>
        </w:rPr>
        <w:t xml:space="preserve">“Learning to Drive in a Day.”</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International Conference on Robotics and Automation</w:t>
      </w:r>
      <w:r>
        <w:rPr>
          <w:rFonts w:ascii="Calibri" w:hAnsi="Calibri"/>
        </w:rPr>
        <w:t xml:space="preserve">, 8248–54.</w:t>
      </w:r>
    </w:p>
    <w:bookmarkEnd w:id="68"/>
    <w:bookmarkStart w:id="69" w:name="ref-kingma2015adam"/>
    <w:p>
      <w:pPr>
        <w:pStyle w:val="Bibliography"/>
      </w:pPr>
      <w:r>
        <w:rPr>
          <w:rFonts w:ascii="Calibri" w:hAnsi="Calibri"/>
        </w:rPr>
        <w:t xml:space="preserve">Kingma, Diederik P., and Jimmy Ba. 2015.</w:t>
      </w:r>
      <w:r>
        <w:rPr>
          <w:rFonts w:ascii="Calibri" w:hAnsi="Calibri"/>
        </w:rPr>
        <w:t xml:space="preserve"> </w:t>
      </w:r>
      <w:r>
        <w:rPr>
          <w:rFonts w:ascii="Calibri" w:hAnsi="Calibri"/>
        </w:rPr>
        <w:t xml:space="preserve">“Adam: A Method for Stochastic Optimization.”</w:t>
      </w:r>
      <w:r>
        <w:rPr>
          <w:rFonts w:ascii="Calibri" w:hAnsi="Calibri"/>
        </w:rPr>
        <w:t xml:space="preserve"> </w:t>
      </w:r>
      <w:r>
        <w:rPr>
          <w:iCs/>
          <w:rFonts w:ascii="Calibri" w:hAnsi="Calibri"/>
          <w:i/>
        </w:rPr>
        <w:t xml:space="preserve">International Conference on Learning Representations</w:t>
      </w:r>
      <w:r>
        <w:rPr>
          <w:rFonts w:ascii="Calibri" w:hAnsi="Calibri"/>
        </w:rPr>
        <w:t xml:space="preserve">.</w:t>
      </w:r>
    </w:p>
    <w:bookmarkEnd w:id="69"/>
    <w:bookmarkStart w:id="70" w:name="ref-kiran2022survey"/>
    <w:p>
      <w:pPr>
        <w:pStyle w:val="Bibliography"/>
      </w:pPr>
      <w:r>
        <w:rPr>
          <w:rFonts w:ascii="Calibri" w:hAnsi="Calibri"/>
        </w:rPr>
        <w:t xml:space="preserve">Kiran, B. Ravi, Ibrahim Sobh, Victor Talpaert, et al. 2022.</w:t>
      </w:r>
      <w:r>
        <w:rPr>
          <w:rFonts w:ascii="Calibri" w:hAnsi="Calibri"/>
        </w:rPr>
        <w:t xml:space="preserve"> </w:t>
      </w:r>
      <w:r>
        <w:rPr>
          <w:rFonts w:ascii="Calibri" w:hAnsi="Calibri"/>
        </w:rPr>
        <w:t xml:space="preserve">“Deep Reinforcement Learning for Autonomous Driving: A Survey.”</w:t>
      </w:r>
      <w:r>
        <w:rPr>
          <w:rFonts w:ascii="Calibri" w:hAnsi="Calibri"/>
        </w:rPr>
        <w:t xml:space="preserve"> </w:t>
      </w:r>
      <w:r>
        <w:rPr>
          <w:iCs/>
          <w:rFonts w:ascii="Calibri" w:hAnsi="Calibri"/>
          <w:i/>
        </w:rPr>
        <w:t xml:space="preserve">IEEE Transactions on Intelligent Transportation Systems</w:t>
      </w:r>
      <w:r>
        <w:rPr>
          <w:rFonts w:ascii="Calibri" w:hAnsi="Calibri"/>
        </w:rPr>
        <w:t xml:space="preserve"> </w:t>
      </w:r>
      <w:r>
        <w:rPr>
          <w:rFonts w:ascii="Calibri" w:hAnsi="Calibri"/>
        </w:rPr>
        <w:t xml:space="preserve">23 (6): 4909–26.</w:t>
      </w:r>
    </w:p>
    <w:bookmarkEnd w:id="70"/>
    <w:bookmarkStart w:id="72" w:name="ref-li2023metadrive"/>
    <w:p>
      <w:pPr>
        <w:pStyle w:val="Bibliography"/>
      </w:pPr>
      <w:r>
        <w:rPr>
          <w:rFonts w:ascii="Calibri" w:hAnsi="Calibri"/>
        </w:rPr>
        <w:t xml:space="preserve">Li, Quanyi, Zhenghao Peng, Lan Feng, Qihang Zhang, Zhenghai Xue, and Bolei Zhou. 2023.</w:t>
      </w:r>
      <w:r>
        <w:rPr>
          <w:rFonts w:ascii="Calibri" w:hAnsi="Calibri"/>
        </w:rPr>
        <w:t xml:space="preserve"> </w:t>
      </w:r>
      <w:r>
        <w:rPr>
          <w:rFonts w:ascii="Calibri" w:hAnsi="Calibri"/>
        </w:rPr>
        <w:t xml:space="preserve">“MetaDrive: Composing Diverse Driving Scenarios for Generalizable Reinforcement Learning.”</w:t>
      </w:r>
      <w:r>
        <w:rPr>
          <w:rFonts w:ascii="Calibri" w:hAnsi="Calibri"/>
        </w:rPr>
        <w:t xml:space="preserve"> </w:t>
      </w:r>
      <w:r>
        <w:rPr>
          <w:iCs/>
          <w:rFonts w:ascii="Calibri" w:hAnsi="Calibri"/>
          <w:i/>
        </w:rPr>
        <w:t xml:space="preserve">IEEE Transactions on Pattern Analysis and Machine Intelligence</w:t>
      </w:r>
      <w:r>
        <w:rPr>
          <w:rFonts w:ascii="Calibri" w:hAnsi="Calibri"/>
        </w:rPr>
        <w:t xml:space="preserve"> </w:t>
      </w:r>
      <w:r>
        <w:rPr>
          <w:rFonts w:ascii="Calibri" w:hAnsi="Calibri"/>
        </w:rPr>
        <w:t xml:space="preserve">45 (3): 3461–75.</w:t>
      </w:r>
      <w:r>
        <w:rPr>
          <w:rFonts w:ascii="Calibri" w:hAnsi="Calibri"/>
        </w:rPr>
        <w:t xml:space="preserve"> </w:t>
      </w:r>
      <w:hyperlink r:id="rId71">
        <w:r>
          <w:rPr>
            <w:rStyle w:val="Hyperlink"/>
          </w:rPr>
          <w:t xml:space="preserve">https://doi.org/10.1109/TPAMI.2022.3190471</w:t>
        </w:r>
      </w:hyperlink>
      <w:r>
        <w:rPr>
          <w:rFonts w:ascii="Calibri" w:hAnsi="Calibri"/>
        </w:rPr>
        <w:t xml:space="preserve">.</w:t>
      </w:r>
    </w:p>
    <w:bookmarkEnd w:id="72"/>
    <w:bookmarkStart w:id="73" w:name="ref-mnih2015human"/>
    <w:p>
      <w:pPr>
        <w:pStyle w:val="Bibliography"/>
      </w:pPr>
      <w:r>
        <w:rPr>
          <w:rFonts w:ascii="Calibri" w:hAnsi="Calibri"/>
        </w:rPr>
        <w:t xml:space="preserve">Mnih, Volodymyr, Koray Kavukcuoglu, David Silver, et al. 2015.</w:t>
      </w:r>
      <w:r>
        <w:rPr>
          <w:rFonts w:ascii="Calibri" w:hAnsi="Calibri"/>
        </w:rPr>
        <w:t xml:space="preserve"> </w:t>
      </w:r>
      <w:r>
        <w:rPr>
          <w:rFonts w:ascii="Calibri" w:hAnsi="Calibri"/>
        </w:rPr>
        <w:t xml:space="preserve">“Human-Level Control Through Deep Reinforcement Learning.”</w:t>
      </w:r>
      <w:r>
        <w:rPr>
          <w:rFonts w:ascii="Calibri" w:hAnsi="Calibri"/>
        </w:rPr>
        <w:t xml:space="preserve"> </w:t>
      </w:r>
      <w:r>
        <w:rPr>
          <w:iCs/>
          <w:rFonts w:ascii="Calibri" w:hAnsi="Calibri"/>
          <w:i/>
        </w:rPr>
        <w:t xml:space="preserve">Nature</w:t>
      </w:r>
      <w:r>
        <w:rPr>
          <w:rFonts w:ascii="Calibri" w:hAnsi="Calibri"/>
        </w:rPr>
        <w:t xml:space="preserve"> </w:t>
      </w:r>
      <w:r>
        <w:rPr>
          <w:rFonts w:ascii="Calibri" w:hAnsi="Calibri"/>
        </w:rPr>
        <w:t xml:space="preserve">518: 529–33.</w:t>
      </w:r>
    </w:p>
    <w:bookmarkEnd w:id="73"/>
    <w:bookmarkStart w:id="74" w:name="ref-ng1999shaping"/>
    <w:p>
      <w:pPr>
        <w:pStyle w:val="Bibliography"/>
      </w:pPr>
      <w:r>
        <w:rPr>
          <w:rFonts w:ascii="Calibri" w:hAnsi="Calibri"/>
        </w:rPr>
        <w:t xml:space="preserve">Ng, Andrew Y., Daishi Harada, and Stuart Russell. 1999.</w:t>
      </w:r>
      <w:r>
        <w:rPr>
          <w:rFonts w:ascii="Calibri" w:hAnsi="Calibri"/>
        </w:rPr>
        <w:t xml:space="preserve"> </w:t>
      </w:r>
      <w:r>
        <w:rPr>
          <w:rFonts w:ascii="Calibri" w:hAnsi="Calibri"/>
        </w:rPr>
        <w:t xml:space="preserve">“Policy Invariance Under Reward Transformations: Theory and Application to Reward Shaping.”</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Proceedings of the 16th International Conference on Machine Learning</w:t>
      </w:r>
      <w:r>
        <w:rPr>
          <w:rFonts w:ascii="Calibri" w:hAnsi="Calibri"/>
        </w:rPr>
        <w:t xml:space="preserve">, 278–87.</w:t>
      </w:r>
    </w:p>
    <w:bookmarkEnd w:id="74"/>
    <w:bookmarkStart w:id="75" w:name="ref-osband2016bootstrapped"/>
    <w:p>
      <w:pPr>
        <w:pStyle w:val="Bibliography"/>
      </w:pPr>
      <w:r>
        <w:rPr>
          <w:rFonts w:ascii="Calibri" w:hAnsi="Calibri"/>
        </w:rPr>
        <w:t xml:space="preserve">Osband, Ian, Charles Blundell, Alexander Pritzel, and Benjamin Van Roy. 2016.</w:t>
      </w:r>
      <w:r>
        <w:rPr>
          <w:rFonts w:ascii="Calibri" w:hAnsi="Calibri"/>
        </w:rPr>
        <w:t xml:space="preserve"> </w:t>
      </w:r>
      <w:r>
        <w:rPr>
          <w:rFonts w:ascii="Calibri" w:hAnsi="Calibri"/>
        </w:rPr>
        <w:t xml:space="preserve">“Deep Exploration via Bootstrapped DQN.”</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Advances in Neural Information Processing Systems</w:t>
      </w:r>
      <w:r>
        <w:rPr>
          <w:rFonts w:ascii="Calibri" w:hAnsi="Calibri"/>
        </w:rPr>
        <w:t xml:space="preserve">. Vol. 29.</w:t>
      </w:r>
    </w:p>
    <w:bookmarkEnd w:id="75"/>
    <w:bookmarkStart w:id="76" w:name="ref-pathak2017curiosity"/>
    <w:p>
      <w:pPr>
        <w:pStyle w:val="Bibliography"/>
      </w:pPr>
      <w:r>
        <w:rPr>
          <w:rFonts w:ascii="Calibri" w:hAnsi="Calibri"/>
        </w:rPr>
        <w:t xml:space="preserve">Pathak, Deepak, Pulkit Agrawal, Alexei A. Efros, and Trevor Darrell. 2017.</w:t>
      </w:r>
      <w:r>
        <w:rPr>
          <w:rFonts w:ascii="Calibri" w:hAnsi="Calibri"/>
        </w:rPr>
        <w:t xml:space="preserve"> </w:t>
      </w:r>
      <w:r>
        <w:rPr>
          <w:rFonts w:ascii="Calibri" w:hAnsi="Calibri"/>
        </w:rPr>
        <w:t xml:space="preserve">“Curiosity-Driven Exploration by Self-Supervised Prediction.”</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Proceedings of the 34th International Conference on Machine Learning</w:t>
      </w:r>
      <w:r>
        <w:rPr>
          <w:rFonts w:ascii="Calibri" w:hAnsi="Calibri"/>
        </w:rPr>
        <w:t xml:space="preserve">, 2778–87.</w:t>
      </w:r>
    </w:p>
    <w:bookmarkEnd w:id="76"/>
    <w:bookmarkStart w:id="77" w:name="ref-patterson2024empirical"/>
    <w:p>
      <w:pPr>
        <w:pStyle w:val="Bibliography"/>
      </w:pPr>
      <w:r>
        <w:rPr>
          <w:rFonts w:ascii="Calibri" w:hAnsi="Calibri"/>
        </w:rPr>
        <w:t xml:space="preserve">Patterson, Andrew, Samuel Neumann, Martha White, and Adam White. 2024.</w:t>
      </w:r>
      <w:r>
        <w:rPr>
          <w:rFonts w:ascii="Calibri" w:hAnsi="Calibri"/>
        </w:rPr>
        <w:t xml:space="preserve"> </w:t>
      </w:r>
      <w:r>
        <w:rPr>
          <w:rFonts w:ascii="Calibri" w:hAnsi="Calibri"/>
        </w:rPr>
        <w:t xml:space="preserve">“Empirical Design in Reinforcement Learning.”</w:t>
      </w:r>
      <w:r>
        <w:rPr>
          <w:rFonts w:ascii="Calibri" w:hAnsi="Calibri"/>
        </w:rPr>
        <w:t xml:space="preserve"> </w:t>
      </w:r>
      <w:r>
        <w:rPr>
          <w:iCs/>
          <w:rFonts w:ascii="Calibri" w:hAnsi="Calibri"/>
          <w:i/>
        </w:rPr>
        <w:t xml:space="preserve">Journal of Machine Learning Research</w:t>
      </w:r>
      <w:r>
        <w:rPr>
          <w:rFonts w:ascii="Calibri" w:hAnsi="Calibri"/>
        </w:rPr>
        <w:t xml:space="preserve"> </w:t>
      </w:r>
      <w:r>
        <w:rPr>
          <w:rFonts w:ascii="Calibri" w:hAnsi="Calibri"/>
        </w:rPr>
        <w:t xml:space="preserve">25: 1–63.</w:t>
      </w:r>
    </w:p>
    <w:bookmarkEnd w:id="77"/>
    <w:bookmarkStart w:id="78" w:name="ref-royston2013rmst"/>
    <w:p>
      <w:pPr>
        <w:pStyle w:val="Bibliography"/>
      </w:pPr>
      <w:r>
        <w:rPr>
          <w:rFonts w:ascii="Calibri" w:hAnsi="Calibri"/>
        </w:rPr>
        <w:t xml:space="preserve">Royston, Patrick, and Mahesh K. B. Parmar. 2013.</w:t>
      </w:r>
      <w:r>
        <w:rPr>
          <w:rFonts w:ascii="Calibri" w:hAnsi="Calibri"/>
        </w:rPr>
        <w:t xml:space="preserve"> </w:t>
      </w:r>
      <w:r>
        <w:rPr>
          <w:rFonts w:ascii="Calibri" w:hAnsi="Calibri"/>
        </w:rPr>
        <w:t xml:space="preserve">“Restricted Mean Survival Time: An Alternative to the Hazard Ratio for the Design and Analysis of Randomized Trials.”</w:t>
      </w:r>
      <w:r>
        <w:rPr>
          <w:rFonts w:ascii="Calibri" w:hAnsi="Calibri"/>
        </w:rPr>
        <w:t xml:space="preserve"> </w:t>
      </w:r>
      <w:r>
        <w:rPr>
          <w:iCs/>
          <w:rFonts w:ascii="Calibri" w:hAnsi="Calibri"/>
          <w:i/>
        </w:rPr>
        <w:t xml:space="preserve">BMC Medical Research Methodology</w:t>
      </w:r>
      <w:r>
        <w:rPr>
          <w:rFonts w:ascii="Calibri" w:hAnsi="Calibri"/>
        </w:rPr>
        <w:t xml:space="preserve"> </w:t>
      </w:r>
      <w:r>
        <w:rPr>
          <w:rFonts w:ascii="Calibri" w:hAnsi="Calibri"/>
        </w:rPr>
        <w:t xml:space="preserve">13 (152).</w:t>
      </w:r>
    </w:p>
    <w:bookmarkEnd w:id="78"/>
    <w:bookmarkStart w:id="79" w:name="ref-rumelhart1986backprop"/>
    <w:p>
      <w:pPr>
        <w:pStyle w:val="Bibliography"/>
      </w:pPr>
      <w:r>
        <w:rPr>
          <w:rFonts w:ascii="Calibri" w:hAnsi="Calibri"/>
        </w:rPr>
        <w:t xml:space="preserve">Rumelhart, David E., Geoffrey E. Hinton, and Ronald J. Williams. 1986.</w:t>
      </w:r>
      <w:r>
        <w:rPr>
          <w:rFonts w:ascii="Calibri" w:hAnsi="Calibri"/>
        </w:rPr>
        <w:t xml:space="preserve"> </w:t>
      </w:r>
      <w:r>
        <w:rPr>
          <w:rFonts w:ascii="Calibri" w:hAnsi="Calibri"/>
        </w:rPr>
        <w:t xml:space="preserve">“Learning Representations by Back-Propagating Errors.”</w:t>
      </w:r>
      <w:r>
        <w:rPr>
          <w:rFonts w:ascii="Calibri" w:hAnsi="Calibri"/>
        </w:rPr>
        <w:t xml:space="preserve"> </w:t>
      </w:r>
      <w:r>
        <w:rPr>
          <w:iCs/>
          <w:rFonts w:ascii="Calibri" w:hAnsi="Calibri"/>
          <w:i/>
        </w:rPr>
        <w:t xml:space="preserve">Nature</w:t>
      </w:r>
      <w:r>
        <w:rPr>
          <w:rFonts w:ascii="Calibri" w:hAnsi="Calibri"/>
        </w:rPr>
        <w:t xml:space="preserve"> </w:t>
      </w:r>
      <w:r>
        <w:rPr>
          <w:rFonts w:ascii="Calibri" w:hAnsi="Calibri"/>
        </w:rPr>
        <w:t xml:space="preserve">323: 533–36.</w:t>
      </w:r>
    </w:p>
    <w:bookmarkEnd w:id="79"/>
    <w:bookmarkStart w:id="80" w:name="ref-sallab2017drl"/>
    <w:p>
      <w:pPr>
        <w:pStyle w:val="Bibliography"/>
      </w:pPr>
      <w:r>
        <w:rPr>
          <w:rFonts w:ascii="Calibri" w:hAnsi="Calibri"/>
        </w:rPr>
        <w:t xml:space="preserve">Sallab, Ahmad El, Mohammed Abdou, Etienne Perot, and Senthil Yogamani. 2017.</w:t>
      </w:r>
      <w:r>
        <w:rPr>
          <w:rFonts w:ascii="Calibri" w:hAnsi="Calibri"/>
        </w:rPr>
        <w:t xml:space="preserve"> </w:t>
      </w:r>
      <w:r>
        <w:rPr>
          <w:rFonts w:ascii="Calibri" w:hAnsi="Calibri"/>
        </w:rPr>
        <w:t xml:space="preserve">“Deep Reinforcement Learning Framework for Autonomous Driving.”</w:t>
      </w:r>
      <w:r>
        <w:rPr>
          <w:rFonts w:ascii="Calibri" w:hAnsi="Calibri"/>
        </w:rPr>
        <w:t xml:space="preserve"> </w:t>
      </w:r>
      <w:r>
        <w:rPr>
          <w:iCs/>
          <w:rFonts w:ascii="Calibri" w:hAnsi="Calibri"/>
          <w:i/>
        </w:rPr>
        <w:t xml:space="preserve">Electronic Imaging</w:t>
      </w:r>
      <w:r>
        <w:rPr>
          <w:rFonts w:ascii="Calibri" w:hAnsi="Calibri"/>
        </w:rPr>
        <w:t xml:space="preserve"> </w:t>
      </w:r>
      <w:r>
        <w:rPr>
          <w:rFonts w:ascii="Calibri" w:hAnsi="Calibri"/>
        </w:rPr>
        <w:t xml:space="preserve">2017 (19): 70–76.</w:t>
      </w:r>
    </w:p>
    <w:bookmarkEnd w:id="80"/>
    <w:bookmarkStart w:id="81" w:name="ref-schaul2016prioritized"/>
    <w:p>
      <w:pPr>
        <w:pStyle w:val="Bibliography"/>
      </w:pPr>
      <w:r>
        <w:rPr>
          <w:rFonts w:ascii="Calibri" w:hAnsi="Calibri"/>
        </w:rPr>
        <w:t xml:space="preserve">Schaul, Tom, John Quan, Ioannis Antonoglou, and David Silver. 2016.</w:t>
      </w:r>
      <w:r>
        <w:rPr>
          <w:rFonts w:ascii="Calibri" w:hAnsi="Calibri"/>
        </w:rPr>
        <w:t xml:space="preserve"> </w:t>
      </w:r>
      <w:r>
        <w:rPr>
          <w:rFonts w:ascii="Calibri" w:hAnsi="Calibri"/>
        </w:rPr>
        <w:t xml:space="preserve">“Prioritized Experience Replay.”</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International Conference on Learning Representations</w:t>
      </w:r>
      <w:r>
        <w:rPr>
          <w:rFonts w:ascii="Calibri" w:hAnsi="Calibri"/>
        </w:rPr>
        <w:t xml:space="preserve">.</w:t>
      </w:r>
    </w:p>
    <w:bookmarkEnd w:id="81"/>
    <w:bookmarkStart w:id="82" w:name="ref-sutton2018reinforcement"/>
    <w:p>
      <w:pPr>
        <w:pStyle w:val="Bibliography"/>
      </w:pPr>
      <w:r>
        <w:rPr>
          <w:rFonts w:ascii="Calibri" w:hAnsi="Calibri"/>
        </w:rPr>
        <w:t xml:space="preserve">Sutton, Richard S., and Andrew G. Barto. 2018.</w:t>
      </w:r>
      <w:r>
        <w:rPr>
          <w:rFonts w:ascii="Calibri" w:hAnsi="Calibri"/>
        </w:rPr>
        <w:t xml:space="preserve"> </w:t>
      </w:r>
      <w:r>
        <w:rPr>
          <w:iCs/>
          <w:rFonts w:ascii="Calibri" w:hAnsi="Calibri"/>
          <w:i/>
        </w:rPr>
        <w:t xml:space="preserve">Reinforcement Learning: An Introduction</w:t>
      </w:r>
      <w:r>
        <w:rPr>
          <w:rFonts w:ascii="Calibri" w:hAnsi="Calibri"/>
        </w:rPr>
        <w:t xml:space="preserve">. 2nd ed. MIT Press.</w:t>
      </w:r>
    </w:p>
    <w:bookmarkEnd w:id="82"/>
    <w:bookmarkStart w:id="83" w:name="ref-thananjeyan2021recovery"/>
    <w:p>
      <w:pPr>
        <w:pStyle w:val="Bibliography"/>
      </w:pPr>
      <w:r>
        <w:rPr>
          <w:rFonts w:ascii="Calibri" w:hAnsi="Calibri"/>
        </w:rPr>
        <w:t xml:space="preserve">Thananjeyan, Brijen, Ashwin Balakrishna, Suraj Nair, et al. 2021.</w:t>
      </w:r>
      <w:r>
        <w:rPr>
          <w:rFonts w:ascii="Calibri" w:hAnsi="Calibri"/>
        </w:rPr>
        <w:t xml:space="preserve"> </w:t>
      </w:r>
      <w:r>
        <w:rPr>
          <w:rFonts w:ascii="Calibri" w:hAnsi="Calibri"/>
        </w:rPr>
        <w:t xml:space="preserve">“Recovery RL: Safe Reinforcement Learning with Learned Recovery Zones.”</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IEEE International Conference on Robotics and Automation</w:t>
      </w:r>
      <w:r>
        <w:rPr>
          <w:rFonts w:ascii="Calibri" w:hAnsi="Calibri"/>
        </w:rPr>
        <w:t xml:space="preserve">, 2771–78.</w:t>
      </w:r>
    </w:p>
    <w:bookmarkEnd w:id="83"/>
    <w:bookmarkStart w:id="84" w:name="ref-wang2016dueling"/>
    <w:p>
      <w:pPr>
        <w:pStyle w:val="Bibliography"/>
      </w:pPr>
      <w:r>
        <w:rPr>
          <w:rFonts w:ascii="Calibri" w:hAnsi="Calibri"/>
        </w:rPr>
        <w:t xml:space="preserve">Wang, Ziyu, Tom Schaul, Matteo Hessel, Hado van Hasselt, Marc Lanctot, and Nando de Freitas. 2016.</w:t>
      </w:r>
      <w:r>
        <w:rPr>
          <w:rFonts w:ascii="Calibri" w:hAnsi="Calibri"/>
        </w:rPr>
        <w:t xml:space="preserve"> </w:t>
      </w:r>
      <w:r>
        <w:rPr>
          <w:rFonts w:ascii="Calibri" w:hAnsi="Calibri"/>
        </w:rPr>
        <w:t xml:space="preserve">“Dueling Network Architectures for Deep Reinforcement Learning.”</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Proceedings of the 33rd International Conference on Machine Learning</w:t>
      </w:r>
      <w:r>
        <w:rPr>
          <w:rFonts w:ascii="Calibri" w:hAnsi="Calibri"/>
        </w:rPr>
        <w:t xml:space="preserve">, 1995–2003.</w:t>
      </w:r>
    </w:p>
    <w:bookmarkEnd w:id="84"/>
    <w:bookmarkStart w:id="85" w:name="ref-watkins1992qlearning"/>
    <w:p>
      <w:pPr>
        <w:pStyle w:val="Bibliography"/>
      </w:pPr>
      <w:r>
        <w:rPr>
          <w:rFonts w:ascii="Calibri" w:hAnsi="Calibri"/>
        </w:rPr>
        <w:t xml:space="preserve">Watkins, Christopher J. C. H., and Peter Dayan. 1992.</w:t>
      </w:r>
      <w:r>
        <w:rPr>
          <w:rFonts w:ascii="Calibri" w:hAnsi="Calibri"/>
        </w:rPr>
        <w:t xml:space="preserve"> </w:t>
      </w:r>
      <w:r>
        <w:rPr>
          <w:rFonts w:ascii="Calibri" w:hAnsi="Calibri"/>
        </w:rPr>
        <w:t xml:space="preserve">“Q-Learning.”</w:t>
      </w:r>
      <w:r>
        <w:rPr>
          <w:rFonts w:ascii="Calibri" w:hAnsi="Calibri"/>
        </w:rPr>
        <w:t xml:space="preserve"> </w:t>
      </w:r>
      <w:r>
        <w:rPr>
          <w:iCs/>
          <w:rFonts w:ascii="Calibri" w:hAnsi="Calibri"/>
          <w:i/>
        </w:rPr>
        <w:t xml:space="preserve">Machine Learning</w:t>
      </w:r>
      <w:r>
        <w:rPr>
          <w:rFonts w:ascii="Calibri" w:hAnsi="Calibri"/>
        </w:rPr>
        <w:t xml:space="preserve"> </w:t>
      </w:r>
      <w:r>
        <w:rPr>
          <w:rFonts w:ascii="Calibri" w:hAnsi="Calibri"/>
        </w:rPr>
        <w:t xml:space="preserve">8: 279–92.</w:t>
      </w:r>
    </w:p>
    <w:bookmarkEnd w:id="85"/>
    <w:bookmarkStart w:id="86" w:name="ref-wilcoxon1945rank"/>
    <w:p>
      <w:pPr>
        <w:pStyle w:val="Bibliography"/>
      </w:pPr>
      <w:r>
        <w:rPr>
          <w:rFonts w:ascii="Calibri" w:hAnsi="Calibri"/>
        </w:rPr>
        <w:t xml:space="preserve">Wilcoxon, Frank. 1945.</w:t>
      </w:r>
      <w:r>
        <w:rPr>
          <w:rFonts w:ascii="Calibri" w:hAnsi="Calibri"/>
        </w:rPr>
        <w:t xml:space="preserve"> </w:t>
      </w:r>
      <w:r>
        <w:rPr>
          <w:rFonts w:ascii="Calibri" w:hAnsi="Calibri"/>
        </w:rPr>
        <w:t xml:space="preserve">“Individual Comparisons by Ranking Methods.”</w:t>
      </w:r>
      <w:r>
        <w:rPr>
          <w:rFonts w:ascii="Calibri" w:hAnsi="Calibri"/>
        </w:rPr>
        <w:t xml:space="preserve"> </w:t>
      </w:r>
      <w:r>
        <w:rPr>
          <w:iCs/>
          <w:rFonts w:ascii="Calibri" w:hAnsi="Calibri"/>
          <w:i/>
        </w:rPr>
        <w:t xml:space="preserve">Biometrics Bulletin</w:t>
      </w:r>
      <w:r>
        <w:rPr>
          <w:rFonts w:ascii="Calibri" w:hAnsi="Calibri"/>
        </w:rPr>
        <w:t xml:space="preserve"> </w:t>
      </w:r>
      <w:r>
        <w:rPr>
          <w:rFonts w:ascii="Calibri" w:hAnsi="Calibri"/>
        </w:rPr>
        <w:t xml:space="preserve">1 (6): 80–83.</w:t>
      </w:r>
    </w:p>
    <w:bookmarkEnd w:id="86"/>
    <w:bookmarkStart w:id="87" w:name="ref-zhang2023cat"/>
    <w:p>
      <w:pPr>
        <w:pStyle w:val="Bibliography"/>
      </w:pPr>
      <w:r>
        <w:rPr>
          <w:rFonts w:ascii="Calibri" w:hAnsi="Calibri"/>
        </w:rPr>
        <w:t xml:space="preserve">Zhang, Li, Zhenghao Peng, Quanyi Li, and Bolei Zhou. 2023.</w:t>
      </w:r>
      <w:r>
        <w:rPr>
          <w:rFonts w:ascii="Calibri" w:hAnsi="Calibri"/>
        </w:rPr>
        <w:t xml:space="preserve"> </w:t>
      </w:r>
      <w:r>
        <w:rPr>
          <w:rFonts w:ascii="Calibri" w:hAnsi="Calibri"/>
        </w:rPr>
        <w:t xml:space="preserve">“</w:t>
      </w:r>
      <w:r>
        <w:rPr>
          <w:rFonts w:ascii="Calibri" w:hAnsi="Calibri"/>
        </w:rPr>
        <w:t xml:space="preserve">CAT</w:t>
      </w:r>
      <w:r>
        <w:rPr>
          <w:rFonts w:ascii="Calibri" w:hAnsi="Calibri"/>
        </w:rPr>
        <w:t xml:space="preserve">: Closed-Loop Adversarial Training for Safe End-to-End Driving.”</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Proceedings of the 7th Conference on Robot Learning</w:t>
      </w:r>
      <w:r>
        <w:rPr>
          <w:rFonts w:ascii="Calibri" w:hAnsi="Calibri"/>
        </w:rPr>
        <w:t xml:space="preserve">, 229:2357–72.</w:t>
      </w:r>
    </w:p>
    <w:bookmarkEnd w:id="87"/>
    <w:bookmarkStart w:id="88" w:name="ref-zhao2022zeroviolation"/>
    <w:p>
      <w:pPr>
        <w:pStyle w:val="Bibliography"/>
      </w:pPr>
      <w:r>
        <w:rPr>
          <w:rFonts w:ascii="Calibri" w:hAnsi="Calibri"/>
        </w:rPr>
        <w:t xml:space="preserve">Zhao, Weiye, Tairan He, and Changliu Liu. 2022.</w:t>
      </w:r>
      <w:r>
        <w:rPr>
          <w:rFonts w:ascii="Calibri" w:hAnsi="Calibri"/>
        </w:rPr>
        <w:t xml:space="preserve"> </w:t>
      </w:r>
      <w:r>
        <w:rPr>
          <w:rFonts w:ascii="Calibri" w:hAnsi="Calibri"/>
        </w:rPr>
        <w:t xml:space="preserve">“Model-Free Safe Control for Zero-Violation Reinforcement Learning.”</w:t>
      </w:r>
      <w:r>
        <w:rPr>
          <w:rFonts w:ascii="Calibri" w:hAnsi="Calibri"/>
        </w:rPr>
        <w:t xml:space="preserve"> </w:t>
      </w:r>
      <w:r>
        <w:rPr>
          <w:rFonts w:ascii="Calibri" w:hAnsi="Calibri"/>
        </w:rPr>
        <w:t xml:space="preserve">In</w:t>
      </w:r>
      <w:r>
        <w:rPr>
          <w:rFonts w:ascii="Calibri" w:hAnsi="Calibri"/>
        </w:rPr>
        <w:t xml:space="preserve"> </w:t>
      </w:r>
      <w:r>
        <w:rPr>
          <w:iCs/>
          <w:rFonts w:ascii="Calibri" w:hAnsi="Calibri"/>
          <w:i/>
        </w:rPr>
        <w:t xml:space="preserve">Proceedings of the 5th Conference on Robot Learning</w:t>
      </w:r>
      <w:r>
        <w:rPr>
          <w:rFonts w:ascii="Calibri" w:hAnsi="Calibri"/>
        </w:rPr>
        <w:t xml:space="preserve">, 164:784–93.</w:t>
      </w:r>
    </w:p>
    <w:bookmarkEnd w:id="88"/>
    <w:bookmarkEnd w:id="89"/>
    <w:bookmarkEnd w:id="90"/>
    <w:sectPr>
      <w:headerReference w:type="default" r:id="rId9"/>
      <w:footerReference w:type="default" r:id="rId10"/>
      <w:type w:val="continuous"/>
      <w:pgSz w:w="12240" w:h="15840"/>
      <w:pgMar w:top="1440" w:right="1440" w:bottom="1440" w:lef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6666"/>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6"/>
      </w:rPr>
      <w:t>SafetyPool — Collision RMST evaluation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60" w:line="320" w:lineRule="auto"/>
      <w:jc w:val="both"/>
    </w:pPr>
    <w:rPr>
      <w:rFonts w:ascii="Calibri" w:hAnsi="Calibri" w:eastAsia="Calibri"/>
      <w:sz w:val="22"/>
    </w:rPr>
  </w:style>
  <w:style w:styleId="BodyText" w:type="paragraph">
    <w:name w:val="Body Text"/>
    <w:basedOn w:val="Normal"/>
    <w:link w:val="BodyTextChar"/>
    <w:pPr>
      <w:spacing w:after="160" w:before="0" w:line="320" w:lineRule="auto"/>
      <w:jc w:val="both"/>
    </w:pPr>
    <w:qFormat/>
    <w:rPr>
      <w:rFonts w:ascii="Calibri" w:hAnsi="Calibri" w:eastAsia="Calibri"/>
      <w:sz w:val="22"/>
    </w:rPr>
  </w:style>
  <w:style w:customStyle="1" w:styleId="FirstParagraph" w:type="paragraph">
    <w:name w:val="First Paragraph"/>
    <w:basedOn w:val="BodyText"/>
    <w:next w:val="BodyText"/>
    <w:qFormat/>
    <w:pPr>
      <w:spacing w:before="0" w:after="160" w:line="320" w:lineRule="auto"/>
      <w:jc w:val="both"/>
    </w:pPr>
    <w:rPr>
      <w:rFonts w:ascii="Calibri" w:hAnsi="Calibri" w:eastAsia="Calibri"/>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360" w:line="240" w:lineRule="auto"/>
      <w:outlineLvl w:val="0"/>
    </w:pPr>
    <w:rPr>
      <w:rFonts w:asciiTheme="majorHAnsi" w:cstheme="majorBidi" w:eastAsiaTheme="majorEastAsia" w:hAnsiTheme="majorHAnsi" w:ascii="Calibri" w:hAnsi="Calibri" w:eastAsia="Calibri"/>
      <w:b/>
      <w:bCs/>
      <w:color w:val="2E74B5"/>
      <w:sz w:val="32"/>
      <w:szCs w:val="32"/>
    </w:rPr>
  </w:style>
  <w:style w:styleId="Heading2" w:type="paragraph">
    <w:name w:val="Heading 2"/>
    <w:basedOn w:val="Normal"/>
    <w:next w:val="BodyText"/>
    <w:uiPriority w:val="9"/>
    <w:unhideWhenUsed/>
    <w:qFormat/>
    <w:pPr>
      <w:keepNext/>
      <w:keepLines/>
      <w:spacing w:after="120" w:before="240" w:line="240" w:lineRule="auto"/>
      <w:outlineLvl w:val="1"/>
    </w:pPr>
    <w:rPr>
      <w:rFonts w:asciiTheme="majorHAnsi" w:cstheme="majorBidi" w:eastAsiaTheme="majorEastAsia" w:hAnsiTheme="majorHAnsi" w:ascii="Calibri" w:hAnsi="Calibri" w:eastAsia="Calibri"/>
      <w:b/>
      <w:bCs/>
      <w:color w:val="2E74B5"/>
      <w:sz w:val="26"/>
      <w:szCs w:val="28"/>
    </w:rPr>
  </w:style>
  <w:style w:styleId="Heading3" w:type="paragraph">
    <w:name w:val="Heading 3"/>
    <w:basedOn w:val="Normal"/>
    <w:next w:val="BodyText"/>
    <w:uiPriority w:val="9"/>
    <w:unhideWhenUsed/>
    <w:qFormat/>
    <w:pPr>
      <w:keepNext/>
      <w:keepLines/>
      <w:spacing w:after="80" w:before="160" w:line="240" w:lineRule="auto"/>
      <w:outlineLvl w:val="2"/>
    </w:pPr>
    <w:rPr>
      <w:rFonts w:asciiTheme="majorHAnsi" w:cstheme="majorBidi" w:eastAsiaTheme="majorEastAsia" w:hAnsiTheme="majorHAnsi" w:ascii="Calibri" w:hAnsi="Calibri" w:eastAsia="Calibr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80" w:line="240" w:lineRule="auto"/>
      <w:jc w:val="center"/>
    </w:pPr>
    <w:rPr>
      <w:rFonts w:ascii="Calibri" w:hAnsi="Calibri" w:eastAsia="Calibri"/>
      <w:i/>
      <w:color w:val="666666"/>
      <w:sz w:val="18"/>
    </w:rPr>
  </w:style>
  <w:style w:customStyle="1" w:styleId="TableCaption" w:type="paragraph">
    <w:name w:val="Table Caption"/>
    <w:basedOn w:val="Caption"/>
    <w:pPr>
      <w:keepNext/>
      <w:spacing w:before="80" w:after="80" w:line="240" w:lineRule="auto"/>
      <w:jc w:val="center"/>
    </w:pPr>
    <w:rPr>
      <w:rFonts w:ascii="Calibri" w:hAnsi="Calibri" w:eastAsia="Calibri"/>
      <w:i/>
      <w:color w:val="666666"/>
      <w:sz w:val="18"/>
    </w:rPr>
  </w:style>
  <w:style w:customStyle="1" w:styleId="ImageCaption" w:type="paragraph">
    <w:name w:val="Image Caption"/>
    <w:basedOn w:val="Caption"/>
    <w:pPr>
      <w:spacing w:before="80" w:after="80" w:line="240" w:lineRule="auto"/>
      <w:jc w:val="center"/>
    </w:pPr>
    <w:rPr>
      <w:rFonts w:ascii="Calibri" w:hAnsi="Calibri" w:eastAsia="Calibri"/>
      <w:i/>
      <w:color w:val="666666"/>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38" Type="http://schemas.openxmlformats.org/officeDocument/2006/relationships/image" Target="media/rId38.png"/><Relationship Id="rId71" Type="http://schemas.openxmlformats.org/officeDocument/2006/relationships/hyperlink" Target="https://doi.org/10.1109/TPAMI.2022.3190471"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71" Type="http://schemas.openxmlformats.org/officeDocument/2006/relationships/hyperlink" Target="https://doi.org/10.1109/TPAMI.2022.31904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SafetyPool: Guided Exploration for Deep Reinforcement Learning</dc:title>
  <dc:creator>Sai Durga Karthik Nandiraju; Manolo Dulva Hina</dc:creator>
  <cp:keywords/>
  <dcterms:created xsi:type="dcterms:W3CDTF">2026-07-24T20:57:59Z</dcterms:created>
  <dcterms:modified xsi:type="dcterms:W3CDTF">2026-07-24T20:57:59Z</dcterms:modified>
  <dc:subject>Collision RMST evaluation in MetaDrive and HighwayEnv</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Exploration is necessary in deep reinforcement learning, but random actions can create avoidable collisions in driving simulations. We present SafetyPool, a Deep Q-Network (DQN) training framework that stores local evidence about previously visited states and uses this evidence to block actions associated with near-term hazards during exploration. The learned network is evaluated without a safety mask, so test performance measures the frozen policy rather than an external controller. We compare SafetyPool against Epsilon-Greedy DQN, NoisyNet DQN, and DQN with Random Network Distillation in MetaDrive and HighwayEnv. Each environment-specific analysis uses 23 matched training seeds, 500 training episodes, and 300 test episodes per seed. Collision Restricted Mean Survival Time (RMST) through the fixed 500-step test window is the sole reported outcome. In MetaDrive, SafetyPool obtains a Collision RMST interquartile mean (IQM) of 229.8 steps, compared with 91.4, 92.1, and 91.6 for the baselines. In the matched 23-seed Highway subset, the corresponding IQMs are 122.15, 5.79, 5.68, and 6.44 steps. Paired Wilcoxon comparisons remain significant against all three baselines after Holm correction in both environment-specific analyses.</vt:lpwstr>
  </property>
  <property fmtid="{D5CDD505-2E9C-101B-9397-08002B2CF9AE}" pid="3" name="bibliography">
    <vt:lpwstr>/workspace/scratch/71856a2ed06f/output/SafetyPool_Collision_RMST_Package/paper/source/references.bib</vt:lpwstr>
  </property>
</Properties>
</file>