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Project Design Phase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Solution Architecture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67.0" w:type="dxa"/>
        <w:jc w:val="left"/>
        <w:tblLayout w:type="fixed"/>
        <w:tblLook w:val="0400"/>
      </w:tblPr>
      <w:tblGrid>
        <w:gridCol w:w="1767"/>
        <w:gridCol w:w="7300"/>
        <w:tblGridChange w:id="0">
          <w:tblGrid>
            <w:gridCol w:w="1767"/>
            <w:gridCol w:w="73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15 July 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Team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SWTID-2026-4560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Project 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AI Powered Debt Relief &amp; Financial Recovery Platform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Maximum Marks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B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Solution Architecture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The </w:t>
      </w:r>
      <w:r w:rsidDel="00000000" w:rsidR="00000000" w:rsidRPr="00000000">
        <w:rPr>
          <w:b w:val="1"/>
          <w:bCs w:val="1"/>
          <w:rtl w:val="0"/>
        </w:rPr>
        <w:t xml:space="preserve">FinRelief AI</w:t>
      </w:r>
      <w:r w:rsidDel="00000000" w:rsidR="00000000" w:rsidRPr="00000000">
        <w:rPr>
          <w:rtl w:val="0"/>
        </w:rPr>
        <w:t xml:space="preserve"> solution architecture connects borrowers with an AI-powered financial recovery system through a secure and modular full-stack application. The platform uses </w:t>
      </w:r>
      <w:r w:rsidDel="00000000" w:rsidR="00000000" w:rsidRPr="00000000">
        <w:rPr>
          <w:b w:val="1"/>
          <w:bCs w:val="1"/>
          <w:rtl w:val="0"/>
        </w:rPr>
        <w:t xml:space="preserve">React.js</w:t>
      </w:r>
      <w:r w:rsidDel="00000000" w:rsidR="00000000" w:rsidRPr="00000000">
        <w:rPr>
          <w:rtl w:val="0"/>
        </w:rPr>
        <w:t xml:space="preserve"> for the frontend, </w:t>
      </w:r>
      <w:r w:rsidDel="00000000" w:rsidR="00000000" w:rsidRPr="00000000">
        <w:rPr>
          <w:b w:val="1"/>
          <w:bCs w:val="1"/>
          <w:rtl w:val="0"/>
        </w:rPr>
        <w:t xml:space="preserve">FastAPI</w:t>
      </w:r>
      <w:r w:rsidDel="00000000" w:rsidR="00000000" w:rsidRPr="00000000">
        <w:rPr>
          <w:rtl w:val="0"/>
        </w:rPr>
        <w:t xml:space="preserve"> for backend services, </w:t>
      </w:r>
      <w:r w:rsidDel="00000000" w:rsidR="00000000" w:rsidRPr="00000000">
        <w:rPr>
          <w:b w:val="1"/>
          <w:bCs w:val="1"/>
          <w:rtl w:val="0"/>
        </w:rPr>
        <w:t xml:space="preserve">Google Gemini AI</w:t>
      </w:r>
      <w:r w:rsidDel="00000000" w:rsidR="00000000" w:rsidRPr="00000000">
        <w:rPr>
          <w:rtl w:val="0"/>
        </w:rPr>
        <w:t xml:space="preserve"> for intelligent financial recommendations, and </w:t>
      </w:r>
      <w:r w:rsidDel="00000000" w:rsidR="00000000" w:rsidRPr="00000000">
        <w:rPr>
          <w:b w:val="1"/>
          <w:bCs w:val="1"/>
          <w:rtl w:val="0"/>
        </w:rPr>
        <w:t xml:space="preserve">SQLite</w:t>
      </w:r>
      <w:r w:rsidDel="00000000" w:rsidR="00000000" w:rsidRPr="00000000">
        <w:rPr>
          <w:rtl w:val="0"/>
        </w:rPr>
        <w:t xml:space="preserve"> for secure data storage.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The architecture is designed to: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Provide AI-powered debt settlement recommendations.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Analyze borrower financial health.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Generate negotiation strategies and settlement letters.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Ensure secure authentication and reliable data management.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Support future cloud deployment and scalability.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Solution Architecture Diagram</w:t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Architecture Components</w:t>
      </w:r>
    </w:p>
    <w:tbl>
      <w:tblPr>
        <w:tblStyle w:val="Table2"/>
        <w:tblW w:w="5063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400"/>
      </w:tblPr>
      <w:tblGrid>
        <w:gridCol w:w="1812"/>
        <w:gridCol w:w="3251"/>
        <w:tblGridChange w:id="0">
          <w:tblGrid>
            <w:gridCol w:w="1812"/>
            <w:gridCol w:w="325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0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0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Technology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Frontend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React.js, HTML, CSS, JavaScript, Vite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Backend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Python, FastAPI, Uvicorn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AI Engine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Google Gemini API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Database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SQLite, SQLAlchemy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Authentication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JWT</w:t>
            </w:r>
          </w:p>
        </w:tc>
      </w:tr>
      <w:tr>
        <w:trPr>
          <w:cantSplit w:val="0"/>
          <w:tblHeader w:val="0"/>
        </w:trPr>
        <w:tc>
          <w:tcPr>
            <w:tcMar>
              <w:top w:w="137.0" w:type="dxa"/>
              <w:left w:w="0.0" w:type="dxa"/>
              <w:bottom w:w="36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API Communication</w:t>
            </w:r>
          </w:p>
        </w:tc>
        <w:tc>
          <w:tcPr>
            <w:tcMar>
              <w:top w:w="137.0" w:type="dxa"/>
              <w:left w:w="0.0" w:type="dxa"/>
              <w:bottom w:w="36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Axios, REST APIs</w:t>
            </w:r>
          </w:p>
        </w:tc>
      </w:tr>
    </w:tbl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Workflow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Borrower logs into the platform.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Financial and loan details are submitted.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FastAPI processes the request.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Financial engine calculates borrower metrics.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Google Gemini generates settlement recommendations and negotiation strategies.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Results are stored in SQLite.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Financial insights are displayed on the dashboard.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Noto Sans Symbol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