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0338D"/>
          <w:sz w:val="40"/>
          <w:szCs w:val="40"/>
        </w:rPr>
        <w:t xml:space="preserve">AI Stack Development Lead – Azure</w:t>
      </w:r>
    </w:p>
    <w:p>
      <w:pPr>
        <w:pBdr>
          <w:bottom w:val="single" w:color="00338D" w:sz="12" w:space="6"/>
        </w:pBdr>
        <w:spacing w:after="240"/>
      </w:pPr>
      <w:r>
        <w:rPr>
          <w:rFonts w:ascii="Arial" w:cs="Arial" w:eastAsia="Arial" w:hAnsi="Arial"/>
          <w:color w:val="005EB8"/>
          <w:sz w:val="22"/>
          <w:szCs w:val="22"/>
        </w:rPr>
        <w:t xml:space="preserve">Job Description  |  Advisory – Digital Lighthouse (Data, AI &amp; Analytics)</w:t>
      </w:r>
    </w:p>
    <w:tbl>
      <w:tblPr>
        <w:tblW w:type="dxa" w:w="9638"/>
        <w:tblBorders>
          <w:top w:val="single" w:color="C9D3E6" w:sz="4"/>
          <w:left w:val="single" w:color="C9D3E6" w:sz="4"/>
          <w:bottom w:val="single" w:color="C9D3E6" w:sz="4"/>
          <w:right w:val="single" w:color="C9D3E6" w:sz="4"/>
          <w:insideH w:val="single" w:color="C9D3E6" w:sz="4"/>
          <w:insideV w:val="single" w:color="C9D3E6" w:sz="4"/>
        </w:tblBorders>
      </w:tblPr>
      <w:tblGrid>
        <w:gridCol w:w="2600"/>
        <w:gridCol w:w="7038"/>
      </w:tblGrid>
      <w:tr>
        <w:tc>
          <w:tcPr>
            <w:tcW w:type="dxa" w:w="2600"/>
            <w:shd w:fill="EAF0FA" w:color="auto" w:val="clear"/>
            <w:tcMar>
              <w:top w:type="dxa" w:w="70"/>
              <w:left w:type="dxa" w:w="120"/>
              <w:bottom w:type="dxa" w:w="70"/>
              <w:right w:type="dxa" w:w="120"/>
            </w:tcMar>
          </w:tcPr>
          <w:p>
            <w:r>
              <w:rPr>
                <w:rFonts w:ascii="Arial" w:cs="Arial" w:eastAsia="Arial" w:hAnsi="Arial"/>
                <w:b/>
                <w:bCs/>
                <w:color w:val="00338D"/>
                <w:sz w:val="20"/>
                <w:szCs w:val="20"/>
              </w:rPr>
              <w:t xml:space="preserve">Job title</w:t>
            </w:r>
          </w:p>
        </w:tc>
        <w:tc>
          <w:tcPr>
            <w:tcW w:type="dxa" w:w="7038"/>
            <w:tcMar>
              <w:top w:type="dxa" w:w="70"/>
              <w:left w:type="dxa" w:w="120"/>
              <w:bottom w:type="dxa" w:w="70"/>
              <w:right w:type="dxa" w:w="120"/>
            </w:tcMar>
          </w:tcPr>
          <w:p>
            <w:r>
              <w:rPr>
                <w:rFonts w:ascii="Arial" w:cs="Arial" w:eastAsia="Arial" w:hAnsi="Arial"/>
                <w:color w:val="333333"/>
                <w:sz w:val="20"/>
                <w:szCs w:val="20"/>
              </w:rPr>
              <w:t xml:space="preserve">AI Stack Development Lead – Azure</w:t>
            </w:r>
          </w:p>
        </w:tc>
      </w:tr>
      <w:tr>
        <w:tc>
          <w:tcPr>
            <w:tcW w:type="dxa" w:w="2600"/>
            <w:shd w:fill="EAF0FA" w:color="auto" w:val="clear"/>
            <w:tcMar>
              <w:top w:type="dxa" w:w="70"/>
              <w:left w:type="dxa" w:w="120"/>
              <w:bottom w:type="dxa" w:w="70"/>
              <w:right w:type="dxa" w:w="120"/>
            </w:tcMar>
          </w:tcPr>
          <w:p>
            <w:r>
              <w:rPr>
                <w:rFonts w:ascii="Arial" w:cs="Arial" w:eastAsia="Arial" w:hAnsi="Arial"/>
                <w:b/>
                <w:bCs/>
                <w:color w:val="00338D"/>
                <w:sz w:val="20"/>
                <w:szCs w:val="20"/>
              </w:rPr>
              <w:t xml:space="preserve">Practice / Service line</w:t>
            </w:r>
          </w:p>
        </w:tc>
        <w:tc>
          <w:tcPr>
            <w:tcW w:type="dxa" w:w="7038"/>
            <w:tcMar>
              <w:top w:type="dxa" w:w="70"/>
              <w:left w:type="dxa" w:w="120"/>
              <w:bottom w:type="dxa" w:w="70"/>
              <w:right w:type="dxa" w:w="120"/>
            </w:tcMar>
          </w:tcPr>
          <w:p>
            <w:r>
              <w:rPr>
                <w:rFonts w:ascii="Arial" w:cs="Arial" w:eastAsia="Arial" w:hAnsi="Arial"/>
                <w:color w:val="333333"/>
                <w:sz w:val="20"/>
                <w:szCs w:val="20"/>
              </w:rPr>
              <w:t xml:space="preserve">Advisory – Digital Lighthouse (Data, AI &amp; Analytics)</w:t>
            </w:r>
          </w:p>
        </w:tc>
      </w:tr>
      <w:tr>
        <w:tc>
          <w:tcPr>
            <w:tcW w:type="dxa" w:w="2600"/>
            <w:shd w:fill="EAF0FA" w:color="auto" w:val="clear"/>
            <w:tcMar>
              <w:top w:type="dxa" w:w="70"/>
              <w:left w:type="dxa" w:w="120"/>
              <w:bottom w:type="dxa" w:w="70"/>
              <w:right w:type="dxa" w:w="120"/>
            </w:tcMar>
          </w:tcPr>
          <w:p>
            <w:r>
              <w:rPr>
                <w:rFonts w:ascii="Arial" w:cs="Arial" w:eastAsia="Arial" w:hAnsi="Arial"/>
                <w:b/>
                <w:bCs/>
                <w:color w:val="00338D"/>
                <w:sz w:val="20"/>
                <w:szCs w:val="20"/>
              </w:rPr>
              <w:t xml:space="preserve">Grade / Designation</w:t>
            </w:r>
          </w:p>
        </w:tc>
        <w:tc>
          <w:tcPr>
            <w:tcW w:type="dxa" w:w="7038"/>
            <w:tcMar>
              <w:top w:type="dxa" w:w="70"/>
              <w:left w:type="dxa" w:w="120"/>
              <w:bottom w:type="dxa" w:w="70"/>
              <w:right w:type="dxa" w:w="120"/>
            </w:tcMar>
          </w:tcPr>
          <w:p>
            <w:r>
              <w:rPr>
                <w:rFonts w:ascii="Arial" w:cs="Arial" w:eastAsia="Arial" w:hAnsi="Arial"/>
                <w:color w:val="333333"/>
                <w:sz w:val="20"/>
                <w:szCs w:val="20"/>
              </w:rPr>
              <w:t xml:space="preserve">Assistant Manager / Manager (basis experience and interview outcome)</w:t>
            </w:r>
          </w:p>
        </w:tc>
      </w:tr>
      <w:tr>
        <w:tc>
          <w:tcPr>
            <w:tcW w:type="dxa" w:w="2600"/>
            <w:shd w:fill="EAF0FA" w:color="auto" w:val="clear"/>
            <w:tcMar>
              <w:top w:type="dxa" w:w="70"/>
              <w:left w:type="dxa" w:w="120"/>
              <w:bottom w:type="dxa" w:w="70"/>
              <w:right w:type="dxa" w:w="120"/>
            </w:tcMar>
          </w:tcPr>
          <w:p>
            <w:r>
              <w:rPr>
                <w:rFonts w:ascii="Arial" w:cs="Arial" w:eastAsia="Arial" w:hAnsi="Arial"/>
                <w:b/>
                <w:bCs/>
                <w:color w:val="00338D"/>
                <w:sz w:val="20"/>
                <w:szCs w:val="20"/>
              </w:rPr>
              <w:t xml:space="preserve">Experience</w:t>
            </w:r>
          </w:p>
        </w:tc>
        <w:tc>
          <w:tcPr>
            <w:tcW w:type="dxa" w:w="7038"/>
            <w:tcMar>
              <w:top w:type="dxa" w:w="70"/>
              <w:left w:type="dxa" w:w="120"/>
              <w:bottom w:type="dxa" w:w="70"/>
              <w:right w:type="dxa" w:w="120"/>
            </w:tcMar>
          </w:tcPr>
          <w:p>
            <w:r>
              <w:rPr>
                <w:rFonts w:ascii="Arial" w:cs="Arial" w:eastAsia="Arial" w:hAnsi="Arial"/>
                <w:color w:val="333333"/>
                <w:sz w:val="20"/>
                <w:szCs w:val="20"/>
              </w:rPr>
              <w:t xml:space="preserve">5–8 years</w:t>
            </w:r>
          </w:p>
        </w:tc>
      </w:tr>
      <w:tr>
        <w:tc>
          <w:tcPr>
            <w:tcW w:type="dxa" w:w="2600"/>
            <w:shd w:fill="EAF0FA" w:color="auto" w:val="clear"/>
            <w:tcMar>
              <w:top w:type="dxa" w:w="70"/>
              <w:left w:type="dxa" w:w="120"/>
              <w:bottom w:type="dxa" w:w="70"/>
              <w:right w:type="dxa" w:w="120"/>
            </w:tcMar>
          </w:tcPr>
          <w:p>
            <w:r>
              <w:rPr>
                <w:rFonts w:ascii="Arial" w:cs="Arial" w:eastAsia="Arial" w:hAnsi="Arial"/>
                <w:b/>
                <w:bCs/>
                <w:color w:val="00338D"/>
                <w:sz w:val="20"/>
                <w:szCs w:val="20"/>
              </w:rPr>
              <w:t xml:space="preserve">Location</w:t>
            </w:r>
          </w:p>
        </w:tc>
        <w:tc>
          <w:tcPr>
            <w:tcW w:type="dxa" w:w="7038"/>
            <w:tcMar>
              <w:top w:type="dxa" w:w="70"/>
              <w:left w:type="dxa" w:w="120"/>
              <w:bottom w:type="dxa" w:w="70"/>
              <w:right w:type="dxa" w:w="120"/>
            </w:tcMar>
          </w:tcPr>
          <w:p>
            <w:r>
              <w:rPr>
                <w:rFonts w:ascii="Arial" w:cs="Arial" w:eastAsia="Arial" w:hAnsi="Arial"/>
                <w:color w:val="333333"/>
                <w:sz w:val="20"/>
                <w:szCs w:val="20"/>
              </w:rPr>
              <w:t xml:space="preserve">[Bengaluru / Gurugram / Mumbai / Pune / Hyderabad] – Hybrid</w:t>
            </w:r>
          </w:p>
        </w:tc>
      </w:tr>
      <w:tr>
        <w:tc>
          <w:tcPr>
            <w:tcW w:type="dxa" w:w="2600"/>
            <w:shd w:fill="EAF0FA" w:color="auto" w:val="clear"/>
            <w:tcMar>
              <w:top w:type="dxa" w:w="70"/>
              <w:left w:type="dxa" w:w="120"/>
              <w:bottom w:type="dxa" w:w="70"/>
              <w:right w:type="dxa" w:w="120"/>
            </w:tcMar>
          </w:tcPr>
          <w:p>
            <w:r>
              <w:rPr>
                <w:rFonts w:ascii="Arial" w:cs="Arial" w:eastAsia="Arial" w:hAnsi="Arial"/>
                <w:b/>
                <w:bCs/>
                <w:color w:val="00338D"/>
                <w:sz w:val="20"/>
                <w:szCs w:val="20"/>
              </w:rPr>
              <w:t xml:space="preserve">Employment type</w:t>
            </w:r>
          </w:p>
        </w:tc>
        <w:tc>
          <w:tcPr>
            <w:tcW w:type="dxa" w:w="7038"/>
            <w:tcMar>
              <w:top w:type="dxa" w:w="70"/>
              <w:left w:type="dxa" w:w="120"/>
              <w:bottom w:type="dxa" w:w="70"/>
              <w:right w:type="dxa" w:w="120"/>
            </w:tcMar>
          </w:tcPr>
          <w:p>
            <w:r>
              <w:rPr>
                <w:rFonts w:ascii="Arial" w:cs="Arial" w:eastAsia="Arial" w:hAnsi="Arial"/>
                <w:color w:val="333333"/>
                <w:sz w:val="20"/>
                <w:szCs w:val="20"/>
              </w:rPr>
              <w:t xml:space="preserve">Full-time, permanent</w:t>
            </w:r>
          </w:p>
        </w:tc>
      </w:tr>
      <w:tr>
        <w:tc>
          <w:tcPr>
            <w:tcW w:type="dxa" w:w="2600"/>
            <w:shd w:fill="EAF0FA" w:color="auto" w:val="clear"/>
            <w:tcMar>
              <w:top w:type="dxa" w:w="70"/>
              <w:left w:type="dxa" w:w="120"/>
              <w:bottom w:type="dxa" w:w="70"/>
              <w:right w:type="dxa" w:w="120"/>
            </w:tcMar>
          </w:tcPr>
          <w:p>
            <w:r>
              <w:rPr>
                <w:rFonts w:ascii="Arial" w:cs="Arial" w:eastAsia="Arial" w:hAnsi="Arial"/>
                <w:b/>
                <w:bCs/>
                <w:color w:val="00338D"/>
                <w:sz w:val="20"/>
                <w:szCs w:val="20"/>
              </w:rPr>
              <w:t xml:space="preserve">Reports to</w:t>
            </w:r>
          </w:p>
        </w:tc>
        <w:tc>
          <w:tcPr>
            <w:tcW w:type="dxa" w:w="7038"/>
            <w:tcMar>
              <w:top w:type="dxa" w:w="70"/>
              <w:left w:type="dxa" w:w="120"/>
              <w:bottom w:type="dxa" w:w="70"/>
              <w:right w:type="dxa" w:w="120"/>
            </w:tcMar>
          </w:tcPr>
          <w:p>
            <w:r>
              <w:rPr>
                <w:rFonts w:ascii="Arial" w:cs="Arial" w:eastAsia="Arial" w:hAnsi="Arial"/>
                <w:color w:val="333333"/>
                <w:sz w:val="20"/>
                <w:szCs w:val="20"/>
              </w:rPr>
              <w:t xml:space="preserve">Associate Director / Director – AI Engineering</w:t>
            </w:r>
          </w:p>
        </w:tc>
      </w:tr>
      <w:tr>
        <w:tc>
          <w:tcPr>
            <w:tcW w:type="dxa" w:w="2600"/>
            <w:shd w:fill="EAF0FA" w:color="auto" w:val="clear"/>
            <w:tcMar>
              <w:top w:type="dxa" w:w="70"/>
              <w:left w:type="dxa" w:w="120"/>
              <w:bottom w:type="dxa" w:w="70"/>
              <w:right w:type="dxa" w:w="120"/>
            </w:tcMar>
          </w:tcPr>
          <w:p>
            <w:r>
              <w:rPr>
                <w:rFonts w:ascii="Arial" w:cs="Arial" w:eastAsia="Arial" w:hAnsi="Arial"/>
                <w:b/>
                <w:bCs/>
                <w:color w:val="00338D"/>
                <w:sz w:val="20"/>
                <w:szCs w:val="20"/>
              </w:rPr>
              <w:t xml:space="preserve">Team</w:t>
            </w:r>
          </w:p>
        </w:tc>
        <w:tc>
          <w:tcPr>
            <w:tcW w:type="dxa" w:w="7038"/>
            <w:tcMar>
              <w:top w:type="dxa" w:w="70"/>
              <w:left w:type="dxa" w:w="120"/>
              <w:bottom w:type="dxa" w:w="70"/>
              <w:right w:type="dxa" w:w="120"/>
            </w:tcMar>
          </w:tcPr>
          <w:p>
            <w:r>
              <w:rPr>
                <w:rFonts w:ascii="Arial" w:cs="Arial" w:eastAsia="Arial" w:hAnsi="Arial"/>
                <w:color w:val="333333"/>
                <w:sz w:val="20"/>
                <w:szCs w:val="20"/>
              </w:rPr>
              <w:t xml:space="preserve">Leads a squad of 4–8 AI, data and platform engineers</w:t>
            </w:r>
          </w:p>
        </w:tc>
      </w:tr>
    </w:tbl>
    <w:p>
      <w:pPr>
        <w:spacing w:after="120"/>
      </w:pPr>
    </w:p>
    <w:p>
      <w:pPr>
        <w:pStyle w:val="Heading1"/>
      </w:pPr>
      <w:r>
        <w:rPr>
          <w:rFonts w:ascii="Arial" w:cs="Arial" w:eastAsia="Arial" w:hAnsi="Arial"/>
          <w:b/>
          <w:bCs/>
          <w:color w:val="00338D"/>
          <w:sz w:val="26"/>
          <w:szCs w:val="26"/>
        </w:rPr>
        <w:t xml:space="preserve">About KPMG in India</w:t>
      </w:r>
    </w:p>
    <w:p>
      <w:pPr>
        <w:spacing w:after="120" w:line="276"/>
      </w:pPr>
      <w:r>
        <w:rPr>
          <w:rFonts w:ascii="Arial" w:cs="Arial" w:eastAsia="Arial" w:hAnsi="Arial"/>
          <w:color w:val="333333"/>
          <w:sz w:val="21"/>
          <w:szCs w:val="21"/>
        </w:rPr>
        <w:t xml:space="preserve">KPMG entities in India are professional services firm(s). These Indian member firms are affiliated with KPMG International Limited. KPMG was established in India in August 1993. Our professionals leverage the global network of firms, and are conversant with local laws, regulations, markets and competition. KPMG has offices across India in Ahmedabad, Bengaluru, Chandigarh, Chennai, Gurugram, Hyderabad, Jaipur, Kochi, Kolkata, Mumbai, Noida, Pune, Vadodara and Vijayawada.</w:t>
      </w:r>
    </w:p>
    <w:p>
      <w:pPr>
        <w:spacing w:after="120" w:line="276"/>
      </w:pPr>
      <w:r>
        <w:rPr>
          <w:rFonts w:ascii="Arial" w:cs="Arial" w:eastAsia="Arial" w:hAnsi="Arial"/>
          <w:color w:val="333333"/>
          <w:sz w:val="21"/>
          <w:szCs w:val="21"/>
        </w:rPr>
        <w:t xml:space="preserve">KPMG entities in India offer services to national and international clients in India across sectors. We strive to provide rapid, performance-based, industry-focussed and technology-enabled services, which reflect a shared knowledge of global and local industries and our experience of the Indian business environment.</w:t>
      </w:r>
    </w:p>
    <w:p>
      <w:pPr>
        <w:pStyle w:val="Heading1"/>
      </w:pPr>
      <w:r>
        <w:rPr>
          <w:rFonts w:ascii="Arial" w:cs="Arial" w:eastAsia="Arial" w:hAnsi="Arial"/>
          <w:b/>
          <w:bCs/>
          <w:color w:val="00338D"/>
          <w:sz w:val="26"/>
          <w:szCs w:val="26"/>
        </w:rPr>
        <w:t xml:space="preserve">About the team</w:t>
      </w:r>
    </w:p>
    <w:p>
      <w:pPr>
        <w:spacing w:after="120" w:line="276"/>
      </w:pPr>
      <w:r>
        <w:rPr>
          <w:rFonts w:ascii="Arial" w:cs="Arial" w:eastAsia="Arial" w:hAnsi="Arial"/>
          <w:color w:val="333333"/>
          <w:sz w:val="21"/>
          <w:szCs w:val="21"/>
        </w:rPr>
        <w:t xml:space="preserve">KPMG’s Digital Lighthouse is our Centre of Excellence for Data, AI and emerging technologies. Within it, the AI Engineering team builds the Azure-native AI stack that powers our client solutions and internal assets: reusable platforms, accelerators, reference architectures and the LLMOps tooling that turns promising prototypes into governed, production-grade systems.</w:t>
      </w:r>
    </w:p>
    <w:p>
      <w:pPr>
        <w:spacing w:after="120" w:line="276"/>
      </w:pPr>
      <w:r>
        <w:rPr>
          <w:rFonts w:ascii="Arial" w:cs="Arial" w:eastAsia="Arial" w:hAnsi="Arial"/>
          <w:color w:val="333333"/>
          <w:sz w:val="21"/>
          <w:szCs w:val="21"/>
        </w:rPr>
        <w:t xml:space="preserve">We work hand in hand with KPMG’s global alliance with Microsoft, and we anchor everything we build in KPMG’s Trusted AI framework, so that our clients can adopt AI with confidence: responsibly, securely and at scale.</w:t>
      </w:r>
    </w:p>
    <w:p>
      <w:pPr>
        <w:pStyle w:val="Heading1"/>
      </w:pPr>
      <w:r>
        <w:rPr>
          <w:rFonts w:ascii="Arial" w:cs="Arial" w:eastAsia="Arial" w:hAnsi="Arial"/>
          <w:b/>
          <w:bCs/>
          <w:color w:val="00338D"/>
          <w:sz w:val="26"/>
          <w:szCs w:val="26"/>
        </w:rPr>
        <w:t xml:space="preserve">Role overview</w:t>
      </w:r>
    </w:p>
    <w:p>
      <w:pPr>
        <w:spacing w:after="120" w:line="276"/>
      </w:pPr>
      <w:r>
        <w:rPr>
          <w:rFonts w:ascii="Arial" w:cs="Arial" w:eastAsia="Arial" w:hAnsi="Arial"/>
          <w:color w:val="333333"/>
          <w:sz w:val="21"/>
          <w:szCs w:val="21"/>
        </w:rPr>
        <w:t xml:space="preserve">We are looking for an AI Stack Development Lead to own the engineering of our AI stack on Microsoft Azure. You will set the technical direction for how we build Generative AI, agentic and machine-learning solutions on Microsoft Foundry (Azure AI Foundry), Azure OpenAI and the wider Azure data and application platform; lead a squad of engineers through delivery; and stay personally hands-on in the design and code of the most critical components.</w:t>
      </w:r>
    </w:p>
    <w:p>
      <w:pPr>
        <w:spacing w:after="120" w:line="276"/>
      </w:pPr>
      <w:r>
        <w:rPr>
          <w:rFonts w:ascii="Arial" w:cs="Arial" w:eastAsia="Arial" w:hAnsi="Arial"/>
          <w:color w:val="333333"/>
          <w:sz w:val="21"/>
          <w:szCs w:val="21"/>
        </w:rPr>
        <w:t xml:space="preserve">The role sits at the intersection of engineering leadership, solution architecture and client delivery. You will industrialise what works, retire what does not, and make sure that everything we ship is secure, observable, cost-efficient and aligned to KPMG’s Trusted AI principles. You will work closely with solution architects, data scientists, cyber and risk specialists, engagement managers, client stakeholders and our Microsoft alliance team.</w:t>
      </w:r>
    </w:p>
    <w:p>
      <w:pPr>
        <w:pStyle w:val="Heading1"/>
      </w:pPr>
      <w:r>
        <w:rPr>
          <w:rFonts w:ascii="Arial" w:cs="Arial" w:eastAsia="Arial" w:hAnsi="Arial"/>
          <w:b/>
          <w:bCs/>
          <w:color w:val="00338D"/>
          <w:sz w:val="26"/>
          <w:szCs w:val="26"/>
        </w:rPr>
        <w:t xml:space="preserve">Roles and responsibilities</w:t>
      </w:r>
    </w:p>
    <w:p>
      <w:pPr>
        <w:pStyle w:val="Heading2"/>
      </w:pPr>
      <w:r>
        <w:rPr>
          <w:rFonts w:ascii="Arial" w:cs="Arial" w:eastAsia="Arial" w:hAnsi="Arial"/>
          <w:b/>
          <w:bCs/>
          <w:color w:val="005EB8"/>
          <w:sz w:val="22"/>
          <w:szCs w:val="22"/>
        </w:rPr>
        <w:t xml:space="preserve">Technical leadership and architecture</w:t>
      </w:r>
    </w:p>
    <w:p>
      <w:pPr>
        <w:pStyle w:val="ListParagraph"/>
        <w:numPr>
          <w:ilvl w:val="0"/>
          <w:numId w:val="2"/>
        </w:numPr>
        <w:spacing w:after="70" w:line="264"/>
      </w:pPr>
      <w:r>
        <w:rPr>
          <w:rFonts w:ascii="Arial" w:cs="Arial" w:eastAsia="Arial" w:hAnsi="Arial"/>
          <w:color w:val="333333"/>
          <w:sz w:val="21"/>
          <w:szCs w:val="21"/>
        </w:rPr>
        <w:t xml:space="preserve">Own the end-to-end architecture of the AI stack on Azure across the application, orchestration, retrieval, model, data, platform and governance layers, together with its evolution roadmap.</w:t>
      </w:r>
    </w:p>
    <w:p>
      <w:pPr>
        <w:pStyle w:val="ListParagraph"/>
        <w:numPr>
          <w:ilvl w:val="0"/>
          <w:numId w:val="2"/>
        </w:numPr>
        <w:spacing w:after="70" w:line="264"/>
      </w:pPr>
      <w:r>
        <w:rPr>
          <w:rFonts w:ascii="Arial" w:cs="Arial" w:eastAsia="Arial" w:hAnsi="Arial"/>
          <w:color w:val="333333"/>
          <w:sz w:val="21"/>
          <w:szCs w:val="21"/>
        </w:rPr>
        <w:t xml:space="preserve">Define engineering standards, reference architectures, design patterns and reusable accelerators for Generative AI, agentic and ML workloads; enforce them through design authority, design reviews and code reviews.</w:t>
      </w:r>
    </w:p>
    <w:p>
      <w:pPr>
        <w:pStyle w:val="ListParagraph"/>
        <w:numPr>
          <w:ilvl w:val="0"/>
          <w:numId w:val="2"/>
        </w:numPr>
        <w:spacing w:after="70" w:line="264"/>
      </w:pPr>
      <w:r>
        <w:rPr>
          <w:rFonts w:ascii="Arial" w:cs="Arial" w:eastAsia="Arial" w:hAnsi="Arial"/>
          <w:color w:val="333333"/>
          <w:sz w:val="21"/>
          <w:szCs w:val="21"/>
        </w:rPr>
        <w:t xml:space="preserve">Evaluate and select Azure AI services, open-source frameworks and third-party tooling; run structured proofs of concept and publish clear build, buy or adopt recommendations.</w:t>
      </w:r>
    </w:p>
    <w:p>
      <w:pPr>
        <w:pStyle w:val="Heading2"/>
      </w:pPr>
      <w:r>
        <w:rPr>
          <w:rFonts w:ascii="Arial" w:cs="Arial" w:eastAsia="Arial" w:hAnsi="Arial"/>
          <w:b/>
          <w:bCs/>
          <w:color w:val="005EB8"/>
          <w:sz w:val="22"/>
          <w:szCs w:val="22"/>
        </w:rPr>
        <w:t xml:space="preserve">Solution build and delivery</w:t>
      </w:r>
    </w:p>
    <w:p>
      <w:pPr>
        <w:pStyle w:val="ListParagraph"/>
        <w:numPr>
          <w:ilvl w:val="0"/>
          <w:numId w:val="2"/>
        </w:numPr>
        <w:spacing w:after="70" w:line="264"/>
      </w:pPr>
      <w:r>
        <w:rPr>
          <w:rFonts w:ascii="Arial" w:cs="Arial" w:eastAsia="Arial" w:hAnsi="Arial"/>
          <w:color w:val="333333"/>
          <w:sz w:val="21"/>
          <w:szCs w:val="21"/>
        </w:rPr>
        <w:t xml:space="preserve">Lead the design and hands-on development of production-grade solutions, including retrieval-augmented generation (RAG), multi-agent systems, copilots, document intelligence and classical ML, using Azure OpenAI, Microsoft Foundry, Azure AI Search and Azure Machine Learning.</w:t>
      </w:r>
    </w:p>
    <w:p>
      <w:pPr>
        <w:pStyle w:val="ListParagraph"/>
        <w:numPr>
          <w:ilvl w:val="0"/>
          <w:numId w:val="2"/>
        </w:numPr>
        <w:spacing w:after="70" w:line="264"/>
      </w:pPr>
      <w:r>
        <w:rPr>
          <w:rFonts w:ascii="Arial" w:cs="Arial" w:eastAsia="Arial" w:hAnsi="Arial"/>
          <w:color w:val="333333"/>
          <w:sz w:val="21"/>
          <w:szCs w:val="21"/>
        </w:rPr>
        <w:t xml:space="preserve">Act as technical lead across multiple concurrent client engagements and internal asset builds; own estimation, technical planning, sprint execution, technical risk and the quality of deliverables.</w:t>
      </w:r>
    </w:p>
    <w:p>
      <w:pPr>
        <w:pStyle w:val="ListParagraph"/>
        <w:numPr>
          <w:ilvl w:val="0"/>
          <w:numId w:val="2"/>
        </w:numPr>
        <w:spacing w:after="70" w:line="264"/>
      </w:pPr>
      <w:r>
        <w:rPr>
          <w:rFonts w:ascii="Arial" w:cs="Arial" w:eastAsia="Arial" w:hAnsi="Arial"/>
          <w:color w:val="333333"/>
          <w:sz w:val="21"/>
          <w:szCs w:val="21"/>
        </w:rPr>
        <w:t xml:space="preserve">Ensure solutions meet non-functional requirements for performance, scalability, resilience, latency and cost, in line with the Azure Well-Architected Framework.</w:t>
      </w:r>
    </w:p>
    <w:p>
      <w:pPr>
        <w:pStyle w:val="Heading2"/>
      </w:pPr>
      <w:r>
        <w:rPr>
          <w:rFonts w:ascii="Arial" w:cs="Arial" w:eastAsia="Arial" w:hAnsi="Arial"/>
          <w:b/>
          <w:bCs/>
          <w:color w:val="005EB8"/>
          <w:sz w:val="22"/>
          <w:szCs w:val="22"/>
        </w:rPr>
        <w:t xml:space="preserve">Platform engineering, LLMOps and operations</w:t>
      </w:r>
    </w:p>
    <w:p>
      <w:pPr>
        <w:pStyle w:val="ListParagraph"/>
        <w:numPr>
          <w:ilvl w:val="0"/>
          <w:numId w:val="2"/>
        </w:numPr>
        <w:spacing w:after="70" w:line="264"/>
      </w:pPr>
      <w:r>
        <w:rPr>
          <w:rFonts w:ascii="Arial" w:cs="Arial" w:eastAsia="Arial" w:hAnsi="Arial"/>
          <w:color w:val="333333"/>
          <w:sz w:val="21"/>
          <w:szCs w:val="21"/>
        </w:rPr>
        <w:t xml:space="preserve">Establish and run the MLOps/LLMOps toolchain: CI/CD on Azure DevOps or GitHub Actions, infrastructure as code with Bicep or Terraform, environment promotion, prompt and model versioning, automated evaluation and regression testing.</w:t>
      </w:r>
    </w:p>
    <w:p>
      <w:pPr>
        <w:pStyle w:val="ListParagraph"/>
        <w:numPr>
          <w:ilvl w:val="0"/>
          <w:numId w:val="2"/>
        </w:numPr>
        <w:spacing w:after="70" w:line="264"/>
      </w:pPr>
      <w:r>
        <w:rPr>
          <w:rFonts w:ascii="Arial" w:cs="Arial" w:eastAsia="Arial" w:hAnsi="Arial"/>
          <w:color w:val="333333"/>
          <w:sz w:val="21"/>
          <w:szCs w:val="21"/>
        </w:rPr>
        <w:t xml:space="preserve">Build observability and FinOps into the stack: distributed tracing, token and cost telemetry, quality metrics and alerting through Azure Monitor, Application Insights and OpenTelemetry.</w:t>
      </w:r>
    </w:p>
    <w:p>
      <w:pPr>
        <w:pStyle w:val="ListParagraph"/>
        <w:numPr>
          <w:ilvl w:val="0"/>
          <w:numId w:val="2"/>
        </w:numPr>
        <w:spacing w:after="70" w:line="264"/>
      </w:pPr>
      <w:r>
        <w:rPr>
          <w:rFonts w:ascii="Arial" w:cs="Arial" w:eastAsia="Arial" w:hAnsi="Arial"/>
          <w:color w:val="333333"/>
          <w:sz w:val="21"/>
          <w:szCs w:val="21"/>
        </w:rPr>
        <w:t xml:space="preserve">Drive reliability practices for AI workloads: Azure OpenAI capacity and quota management (provisioned throughput versus pay-as-you-go), semantic caching, rate limiting, model routing and fall-back strategies through the AI gateway capabilities of Azure API Management.</w:t>
      </w:r>
    </w:p>
    <w:p>
      <w:pPr>
        <w:pStyle w:val="Heading2"/>
      </w:pPr>
      <w:r>
        <w:rPr>
          <w:rFonts w:ascii="Arial" w:cs="Arial" w:eastAsia="Arial" w:hAnsi="Arial"/>
          <w:b/>
          <w:bCs/>
          <w:color w:val="005EB8"/>
          <w:sz w:val="22"/>
          <w:szCs w:val="22"/>
        </w:rPr>
        <w:t xml:space="preserve">Trusted AI, security and risk</w:t>
      </w:r>
    </w:p>
    <w:p>
      <w:pPr>
        <w:pStyle w:val="ListParagraph"/>
        <w:numPr>
          <w:ilvl w:val="0"/>
          <w:numId w:val="2"/>
        </w:numPr>
        <w:spacing w:after="70" w:line="264"/>
      </w:pPr>
      <w:r>
        <w:rPr>
          <w:rFonts w:ascii="Arial" w:cs="Arial" w:eastAsia="Arial" w:hAnsi="Arial"/>
          <w:color w:val="333333"/>
          <w:sz w:val="21"/>
          <w:szCs w:val="21"/>
        </w:rPr>
        <w:t xml:space="preserve">Embed KPMG Trusted AI and responsible-AI controls into the stack by design: content safety, prompt-injection defences, groundedness and hallucination checks, PII handling, human-in-the-loop checkpoints and full auditability.</w:t>
      </w:r>
    </w:p>
    <w:p>
      <w:pPr>
        <w:pStyle w:val="ListParagraph"/>
        <w:numPr>
          <w:ilvl w:val="0"/>
          <w:numId w:val="2"/>
        </w:numPr>
        <w:spacing w:after="70" w:line="264"/>
      </w:pPr>
      <w:r>
        <w:rPr>
          <w:rFonts w:ascii="Arial" w:cs="Arial" w:eastAsia="Arial" w:hAnsi="Arial"/>
          <w:color w:val="333333"/>
          <w:sz w:val="21"/>
          <w:szCs w:val="21"/>
        </w:rPr>
        <w:t xml:space="preserve">Implement Azure security baselines (Microsoft Entra ID, managed identities, Key Vault, Private Link and VNet integration, RBAC, encryption and data residency) and support threat modelling, security reviews and client risk assessments, including the OWASP Top 10 for LLM applications.</w:t>
      </w:r>
    </w:p>
    <w:p>
      <w:pPr>
        <w:pStyle w:val="ListParagraph"/>
        <w:numPr>
          <w:ilvl w:val="0"/>
          <w:numId w:val="2"/>
        </w:numPr>
        <w:spacing w:after="70" w:line="264"/>
      </w:pPr>
      <w:r>
        <w:rPr>
          <w:rFonts w:ascii="Arial" w:cs="Arial" w:eastAsia="Arial" w:hAnsi="Arial"/>
          <w:color w:val="333333"/>
          <w:sz w:val="21"/>
          <w:szCs w:val="21"/>
        </w:rPr>
        <w:t xml:space="preserve">Ensure adherence to the firm’s risk management, information security, independence and data-protection obligations (including the DPDP Act and GDPR) on every engagement.</w:t>
      </w:r>
    </w:p>
    <w:p>
      <w:pPr>
        <w:pStyle w:val="Heading2"/>
      </w:pPr>
      <w:r>
        <w:rPr>
          <w:rFonts w:ascii="Arial" w:cs="Arial" w:eastAsia="Arial" w:hAnsi="Arial"/>
          <w:b/>
          <w:bCs/>
          <w:color w:val="005EB8"/>
          <w:sz w:val="22"/>
          <w:szCs w:val="22"/>
        </w:rPr>
        <w:t xml:space="preserve">Client and practice contribution</w:t>
      </w:r>
    </w:p>
    <w:p>
      <w:pPr>
        <w:pStyle w:val="ListParagraph"/>
        <w:numPr>
          <w:ilvl w:val="0"/>
          <w:numId w:val="2"/>
        </w:numPr>
        <w:spacing w:after="70" w:line="264"/>
      </w:pPr>
      <w:r>
        <w:rPr>
          <w:rFonts w:ascii="Arial" w:cs="Arial" w:eastAsia="Arial" w:hAnsi="Arial"/>
          <w:color w:val="333333"/>
          <w:sz w:val="21"/>
          <w:szCs w:val="21"/>
        </w:rPr>
        <w:t xml:space="preserve">Lead solution design workshops with client stakeholders; translate business problems into technical designs, estimates and delivery plans; present architecture options and trade-offs to senior and CXO audiences.</w:t>
      </w:r>
    </w:p>
    <w:p>
      <w:pPr>
        <w:pStyle w:val="ListParagraph"/>
        <w:numPr>
          <w:ilvl w:val="0"/>
          <w:numId w:val="2"/>
        </w:numPr>
        <w:spacing w:after="70" w:line="264"/>
      </w:pPr>
      <w:r>
        <w:rPr>
          <w:rFonts w:ascii="Arial" w:cs="Arial" w:eastAsia="Arial" w:hAnsi="Arial"/>
          <w:color w:val="333333"/>
          <w:sz w:val="21"/>
          <w:szCs w:val="21"/>
        </w:rPr>
        <w:t xml:space="preserve">Support pursuits through RFP/RFI responses, solution proposals, demos and effort estimates, and contribute to KPMG’s AI propositions and go-to-market assets alongside the Microsoft alliance team.</w:t>
      </w:r>
    </w:p>
    <w:p>
      <w:pPr>
        <w:pStyle w:val="ListParagraph"/>
        <w:numPr>
          <w:ilvl w:val="0"/>
          <w:numId w:val="2"/>
        </w:numPr>
        <w:spacing w:after="70" w:line="264"/>
      </w:pPr>
      <w:r>
        <w:rPr>
          <w:rFonts w:ascii="Arial" w:cs="Arial" w:eastAsia="Arial" w:hAnsi="Arial"/>
          <w:color w:val="333333"/>
          <w:sz w:val="21"/>
          <w:szCs w:val="21"/>
        </w:rPr>
        <w:t xml:space="preserve">Contribute to practice intellectual property: accelerators, playbooks, coding standards, points of view and thought leadership.</w:t>
      </w:r>
    </w:p>
    <w:p>
      <w:pPr>
        <w:pStyle w:val="Heading2"/>
      </w:pPr>
      <w:r>
        <w:rPr>
          <w:rFonts w:ascii="Arial" w:cs="Arial" w:eastAsia="Arial" w:hAnsi="Arial"/>
          <w:b/>
          <w:bCs/>
          <w:color w:val="005EB8"/>
          <w:sz w:val="22"/>
          <w:szCs w:val="22"/>
        </w:rPr>
        <w:t xml:space="preserve">People and capability</w:t>
      </w:r>
    </w:p>
    <w:p>
      <w:pPr>
        <w:pStyle w:val="ListParagraph"/>
        <w:numPr>
          <w:ilvl w:val="0"/>
          <w:numId w:val="2"/>
        </w:numPr>
        <w:spacing w:after="70" w:line="264"/>
      </w:pPr>
      <w:r>
        <w:rPr>
          <w:rFonts w:ascii="Arial" w:cs="Arial" w:eastAsia="Arial" w:hAnsi="Arial"/>
          <w:color w:val="333333"/>
          <w:sz w:val="21"/>
          <w:szCs w:val="21"/>
        </w:rPr>
        <w:t xml:space="preserve">Lead, coach and grow a squad of 4–8 engineers; set goals, give regular feedback and support performance and career conversations.</w:t>
      </w:r>
    </w:p>
    <w:p>
      <w:pPr>
        <w:pStyle w:val="ListParagraph"/>
        <w:numPr>
          <w:ilvl w:val="0"/>
          <w:numId w:val="2"/>
        </w:numPr>
        <w:spacing w:after="70" w:line="264"/>
      </w:pPr>
      <w:r>
        <w:rPr>
          <w:rFonts w:ascii="Arial" w:cs="Arial" w:eastAsia="Arial" w:hAnsi="Arial"/>
          <w:color w:val="333333"/>
          <w:sz w:val="21"/>
          <w:szCs w:val="21"/>
        </w:rPr>
        <w:t xml:space="preserve">Build engineering capability across the practice through training, communities of practice, certification drives and hiring (interview panels, technical case design).</w:t>
      </w:r>
    </w:p>
    <w:p>
      <w:pPr>
        <w:pStyle w:val="ListParagraph"/>
        <w:numPr>
          <w:ilvl w:val="0"/>
          <w:numId w:val="2"/>
        </w:numPr>
        <w:spacing w:after="70" w:line="264"/>
      </w:pPr>
      <w:r>
        <w:rPr>
          <w:rFonts w:ascii="Arial" w:cs="Arial" w:eastAsia="Arial" w:hAnsi="Arial"/>
          <w:color w:val="333333"/>
          <w:sz w:val="21"/>
          <w:szCs w:val="21"/>
        </w:rPr>
        <w:t xml:space="preserve">Model KPMG’s values and a culture of engineering excellence, inclusion and continuous learning.</w:t>
      </w:r>
    </w:p>
    <w:p>
      <w:pPr>
        <w:pStyle w:val="Heading1"/>
      </w:pPr>
      <w:r>
        <w:rPr>
          <w:rFonts w:ascii="Arial" w:cs="Arial" w:eastAsia="Arial" w:hAnsi="Arial"/>
          <w:b/>
          <w:bCs/>
          <w:color w:val="00338D"/>
          <w:sz w:val="26"/>
          <w:szCs w:val="26"/>
        </w:rPr>
        <w:t xml:space="preserve">Mandatory technical and functional skills</w:t>
      </w:r>
    </w:p>
    <w:p>
      <w:pPr>
        <w:pStyle w:val="ListParagraph"/>
        <w:numPr>
          <w:ilvl w:val="0"/>
          <w:numId w:val="2"/>
        </w:numPr>
        <w:spacing w:after="70" w:line="264"/>
      </w:pPr>
      <w:r>
        <w:rPr>
          <w:rFonts w:ascii="Arial" w:cs="Arial" w:eastAsia="Arial" w:hAnsi="Arial"/>
          <w:color w:val="333333"/>
          <w:sz w:val="21"/>
          <w:szCs w:val="21"/>
        </w:rPr>
        <w:t xml:space="preserve">5–8 years of overall software, data or ML engineering experience, of which at least 3 years designing and building AI/ML solutions and at least 2 years delivering production Generative AI workloads on Microsoft Azure.</w:t>
      </w:r>
    </w:p>
    <w:p>
      <w:pPr>
        <w:pStyle w:val="ListParagraph"/>
        <w:numPr>
          <w:ilvl w:val="0"/>
          <w:numId w:val="2"/>
        </w:numPr>
        <w:spacing w:after="70" w:line="264"/>
      </w:pPr>
      <w:r>
        <w:rPr>
          <w:rFonts w:ascii="Arial" w:cs="Arial" w:eastAsia="Arial" w:hAnsi="Arial"/>
          <w:color w:val="333333"/>
          <w:sz w:val="21"/>
          <w:szCs w:val="21"/>
        </w:rPr>
        <w:t xml:space="preserve">Demonstrated technical leadership of an engineering squad (four or more engineers) through full delivery lifecycles, including design ownership, code review and release management.</w:t>
      </w:r>
    </w:p>
    <w:p>
      <w:pPr>
        <w:pStyle w:val="ListParagraph"/>
        <w:numPr>
          <w:ilvl w:val="0"/>
          <w:numId w:val="2"/>
        </w:numPr>
        <w:spacing w:after="70" w:line="264"/>
      </w:pPr>
      <w:r>
        <w:rPr>
          <w:rFonts w:ascii="Arial" w:cs="Arial" w:eastAsia="Arial" w:hAnsi="Arial"/>
          <w:color w:val="333333"/>
          <w:sz w:val="21"/>
          <w:szCs w:val="21"/>
        </w:rPr>
        <w:t xml:space="preserve">Expert-level Python; working proficiency in at least one of C#/.NET, TypeScript/Node.js or Java.</w:t>
      </w:r>
    </w:p>
    <w:p>
      <w:pPr>
        <w:pStyle w:val="ListParagraph"/>
        <w:numPr>
          <w:ilvl w:val="0"/>
          <w:numId w:val="2"/>
        </w:numPr>
        <w:spacing w:after="70" w:line="264"/>
      </w:pPr>
      <w:r>
        <w:rPr>
          <w:rFonts w:ascii="Arial" w:cs="Arial" w:eastAsia="Arial" w:hAnsi="Arial"/>
          <w:color w:val="333333"/>
          <w:sz w:val="21"/>
          <w:szCs w:val="21"/>
        </w:rPr>
        <w:t xml:space="preserve">Azure AI platform: Azure OpenAI (GPT-4.1/GPT-5 family, o-series reasoning models, embeddings, structured outputs, function calling), Microsoft Foundry (model catalogue, Foundry Agent Service, prompt flow, evaluations), Azure AI Search (hybrid and vector search, semantic ranking, indexers and skillsets), Azure AI Document Intelligence, Azure AI Content Safety and Azure AI Language.</w:t>
      </w:r>
    </w:p>
    <w:p>
      <w:pPr>
        <w:pStyle w:val="ListParagraph"/>
        <w:numPr>
          <w:ilvl w:val="0"/>
          <w:numId w:val="2"/>
        </w:numPr>
        <w:spacing w:after="70" w:line="264"/>
      </w:pPr>
      <w:r>
        <w:rPr>
          <w:rFonts w:ascii="Arial" w:cs="Arial" w:eastAsia="Arial" w:hAnsi="Arial"/>
          <w:color w:val="333333"/>
          <w:sz w:val="21"/>
          <w:szCs w:val="21"/>
        </w:rPr>
        <w:t xml:space="preserve">Generative AI engineering: RAG design (chunking, embeddings, re-ranking, metadata filtering), prompt engineering and prompt management, agentic patterns (tool use, planning, memory, multi-agent orchestration), Model Context Protocol (MCP), evaluation frameworks and guardrails.</w:t>
      </w:r>
    </w:p>
    <w:p>
      <w:pPr>
        <w:pStyle w:val="ListParagraph"/>
        <w:numPr>
          <w:ilvl w:val="0"/>
          <w:numId w:val="2"/>
        </w:numPr>
        <w:spacing w:after="70" w:line="264"/>
      </w:pPr>
      <w:r>
        <w:rPr>
          <w:rFonts w:ascii="Arial" w:cs="Arial" w:eastAsia="Arial" w:hAnsi="Arial"/>
          <w:color w:val="333333"/>
          <w:sz w:val="21"/>
          <w:szCs w:val="21"/>
        </w:rPr>
        <w:t xml:space="preserve">Orchestration frameworks: Semantic Kernel and/or Microsoft Agent Framework, LangChain/LangGraph, AutoGen.</w:t>
      </w:r>
    </w:p>
    <w:p>
      <w:pPr>
        <w:pStyle w:val="ListParagraph"/>
        <w:numPr>
          <w:ilvl w:val="0"/>
          <w:numId w:val="2"/>
        </w:numPr>
        <w:spacing w:after="70" w:line="264"/>
      </w:pPr>
      <w:r>
        <w:rPr>
          <w:rFonts w:ascii="Arial" w:cs="Arial" w:eastAsia="Arial" w:hAnsi="Arial"/>
          <w:color w:val="333333"/>
          <w:sz w:val="21"/>
          <w:szCs w:val="21"/>
        </w:rPr>
        <w:t xml:space="preserve">Azure application platform: Azure Kubernetes Service or Azure Container Apps, Azure Functions, Azure API Management, Azure Cosmos DB, Azure SQL or Azure Database for PostgreSQL (pgvector), Azure Data Lake Storage Gen2, Azure Service Bus or Event Hubs, Azure Key Vault and Microsoft Entra ID.</w:t>
      </w:r>
    </w:p>
    <w:p>
      <w:pPr>
        <w:pStyle w:val="ListParagraph"/>
        <w:numPr>
          <w:ilvl w:val="0"/>
          <w:numId w:val="2"/>
        </w:numPr>
        <w:spacing w:after="70" w:line="264"/>
      </w:pPr>
      <w:r>
        <w:rPr>
          <w:rFonts w:ascii="Arial" w:cs="Arial" w:eastAsia="Arial" w:hAnsi="Arial"/>
          <w:color w:val="333333"/>
          <w:sz w:val="21"/>
          <w:szCs w:val="21"/>
        </w:rPr>
        <w:t xml:space="preserve">Data and ML platform: Azure Machine Learning (pipelines, managed online endpoints, model registry, MLflow) with Azure Databricks and/or Microsoft Fabric; solid grounding in ML fundamentals, feature engineering and model evaluation.</w:t>
      </w:r>
    </w:p>
    <w:p>
      <w:pPr>
        <w:pStyle w:val="ListParagraph"/>
        <w:numPr>
          <w:ilvl w:val="0"/>
          <w:numId w:val="2"/>
        </w:numPr>
        <w:spacing w:after="70" w:line="264"/>
      </w:pPr>
      <w:r>
        <w:rPr>
          <w:rFonts w:ascii="Arial" w:cs="Arial" w:eastAsia="Arial" w:hAnsi="Arial"/>
          <w:color w:val="333333"/>
          <w:sz w:val="21"/>
          <w:szCs w:val="21"/>
        </w:rPr>
        <w:t xml:space="preserve">DevOps and infrastructure as code: Azure DevOps or GitHub Actions, Terraform or Bicep, Docker and Helm, environment and secrets management, automated testing.</w:t>
      </w:r>
    </w:p>
    <w:p>
      <w:pPr>
        <w:pStyle w:val="ListParagraph"/>
        <w:numPr>
          <w:ilvl w:val="0"/>
          <w:numId w:val="2"/>
        </w:numPr>
        <w:spacing w:after="70" w:line="264"/>
      </w:pPr>
      <w:r>
        <w:rPr>
          <w:rFonts w:ascii="Arial" w:cs="Arial" w:eastAsia="Arial" w:hAnsi="Arial"/>
          <w:color w:val="333333"/>
          <w:sz w:val="21"/>
          <w:szCs w:val="21"/>
        </w:rPr>
        <w:t xml:space="preserve">LLMOps and observability: Foundry evaluation tooling (or RAGAS/DeepEval), OpenTelemetry tracing, Azure Monitor and Application Insights, token and cost telemetry, A/B and regression testing of prompts and models.</w:t>
      </w:r>
    </w:p>
    <w:p>
      <w:pPr>
        <w:pStyle w:val="ListParagraph"/>
        <w:numPr>
          <w:ilvl w:val="0"/>
          <w:numId w:val="2"/>
        </w:numPr>
        <w:spacing w:after="70" w:line="264"/>
      </w:pPr>
      <w:r>
        <w:rPr>
          <w:rFonts w:ascii="Arial" w:cs="Arial" w:eastAsia="Arial" w:hAnsi="Arial"/>
          <w:color w:val="333333"/>
          <w:sz w:val="21"/>
          <w:szCs w:val="21"/>
        </w:rPr>
        <w:t xml:space="preserve">Architecture: microservices and event-driven design, REST/gRPC/asynchronous APIs, Azure Well-Architected Framework and Cloud Adoption Framework, landing-zone and network patterns (hub-spoke, Private Link, VNet integration).</w:t>
      </w:r>
    </w:p>
    <w:p>
      <w:pPr>
        <w:pStyle w:val="ListParagraph"/>
        <w:numPr>
          <w:ilvl w:val="0"/>
          <w:numId w:val="2"/>
        </w:numPr>
        <w:spacing w:after="70" w:line="264"/>
      </w:pPr>
      <w:r>
        <w:rPr>
          <w:rFonts w:ascii="Arial" w:cs="Arial" w:eastAsia="Arial" w:hAnsi="Arial"/>
          <w:color w:val="333333"/>
          <w:sz w:val="21"/>
          <w:szCs w:val="21"/>
        </w:rPr>
        <w:t xml:space="preserve">Security and privacy for AI systems: OWASP Top 10 for LLM applications, identity and access management (RBAC, managed identities), data classification, PII detection and redaction, audit logging.</w:t>
      </w:r>
    </w:p>
    <w:p>
      <w:pPr>
        <w:pStyle w:val="ListParagraph"/>
        <w:numPr>
          <w:ilvl w:val="0"/>
          <w:numId w:val="2"/>
        </w:numPr>
        <w:spacing w:after="70" w:line="264"/>
      </w:pPr>
      <w:r>
        <w:rPr>
          <w:rFonts w:ascii="Arial" w:cs="Arial" w:eastAsia="Arial" w:hAnsi="Arial"/>
          <w:color w:val="333333"/>
          <w:sz w:val="21"/>
          <w:szCs w:val="21"/>
        </w:rPr>
        <w:t xml:space="preserve">Agile delivery (Scrum/Kanban), estimation and technical planning; ability to run design authority and architecture review forums.</w:t>
      </w:r>
    </w:p>
    <w:p>
      <w:pPr>
        <w:pStyle w:val="Heading1"/>
      </w:pPr>
      <w:r>
        <w:rPr>
          <w:rFonts w:ascii="Arial" w:cs="Arial" w:eastAsia="Arial" w:hAnsi="Arial"/>
          <w:b/>
          <w:bCs/>
          <w:color w:val="00338D"/>
          <w:sz w:val="26"/>
          <w:szCs w:val="26"/>
        </w:rPr>
        <w:t xml:space="preserve">Preferred technical and functional skills</w:t>
      </w:r>
    </w:p>
    <w:p>
      <w:pPr>
        <w:pStyle w:val="ListParagraph"/>
        <w:numPr>
          <w:ilvl w:val="0"/>
          <w:numId w:val="2"/>
        </w:numPr>
        <w:spacing w:after="70" w:line="264"/>
      </w:pPr>
      <w:r>
        <w:rPr>
          <w:rFonts w:ascii="Arial" w:cs="Arial" w:eastAsia="Arial" w:hAnsi="Arial"/>
          <w:color w:val="333333"/>
          <w:sz w:val="21"/>
          <w:szCs w:val="21"/>
        </w:rPr>
        <w:t xml:space="preserve">Microsoft certifications: Azure AI Engineer Associate (AI-102), Azure Solutions Architect Expert (AZ-305), Azure Data Scientist Associate (DP-100), DevOps Engineer Expert (AZ-400) or Fabric Analytics Engineer Associate (DP-600).</w:t>
      </w:r>
    </w:p>
    <w:p>
      <w:pPr>
        <w:pStyle w:val="ListParagraph"/>
        <w:numPr>
          <w:ilvl w:val="0"/>
          <w:numId w:val="2"/>
        </w:numPr>
        <w:spacing w:after="70" w:line="264"/>
      </w:pPr>
      <w:r>
        <w:rPr>
          <w:rFonts w:ascii="Arial" w:cs="Arial" w:eastAsia="Arial" w:hAnsi="Arial"/>
          <w:color w:val="333333"/>
          <w:sz w:val="21"/>
          <w:szCs w:val="21"/>
        </w:rPr>
        <w:t xml:space="preserve">Model adaptation and serving: fine-tuning (LoRA/PEFT, Azure OpenAI fine-tuning), open-weight models from the Foundry model catalogue (Llama, Mistral, Phi), GPU compute (NC/ND series), vLLM or ONNX Runtime and inference optimisation.</w:t>
      </w:r>
    </w:p>
    <w:p>
      <w:pPr>
        <w:pStyle w:val="ListParagraph"/>
        <w:numPr>
          <w:ilvl w:val="0"/>
          <w:numId w:val="2"/>
        </w:numPr>
        <w:spacing w:after="70" w:line="264"/>
      </w:pPr>
      <w:r>
        <w:rPr>
          <w:rFonts w:ascii="Arial" w:cs="Arial" w:eastAsia="Arial" w:hAnsi="Arial"/>
          <w:color w:val="333333"/>
          <w:sz w:val="21"/>
          <w:szCs w:val="21"/>
        </w:rPr>
        <w:t xml:space="preserve">Microsoft 365 Copilot extensibility (Copilot Studio, declarative agents, Teams and Microsoft Graph integration) and Power Platform.</w:t>
      </w:r>
    </w:p>
    <w:p>
      <w:pPr>
        <w:pStyle w:val="ListParagraph"/>
        <w:numPr>
          <w:ilvl w:val="0"/>
          <w:numId w:val="2"/>
        </w:numPr>
        <w:spacing w:after="70" w:line="264"/>
      </w:pPr>
      <w:r>
        <w:rPr>
          <w:rFonts w:ascii="Arial" w:cs="Arial" w:eastAsia="Arial" w:hAnsi="Arial"/>
          <w:color w:val="333333"/>
          <w:sz w:val="21"/>
          <w:szCs w:val="21"/>
        </w:rPr>
        <w:t xml:space="preserve">Front-end and product skills for AI experiences: React/Next.js, Streamlit or Gradio for rapid prototyping, UX patterns for conversational and agentic interfaces.</w:t>
      </w:r>
    </w:p>
    <w:p>
      <w:pPr>
        <w:pStyle w:val="ListParagraph"/>
        <w:numPr>
          <w:ilvl w:val="0"/>
          <w:numId w:val="2"/>
        </w:numPr>
        <w:spacing w:after="70" w:line="264"/>
      </w:pPr>
      <w:r>
        <w:rPr>
          <w:rFonts w:ascii="Arial" w:cs="Arial" w:eastAsia="Arial" w:hAnsi="Arial"/>
          <w:color w:val="333333"/>
          <w:sz w:val="21"/>
          <w:szCs w:val="21"/>
        </w:rPr>
        <w:t xml:space="preserve">Multi-cloud awareness (AWS Bedrock/SageMaker, Google Vertex AI) and hybrid or edge deployment patterns.</w:t>
      </w:r>
    </w:p>
    <w:p>
      <w:pPr>
        <w:pStyle w:val="ListParagraph"/>
        <w:numPr>
          <w:ilvl w:val="0"/>
          <w:numId w:val="2"/>
        </w:numPr>
        <w:spacing w:after="70" w:line="264"/>
      </w:pPr>
      <w:r>
        <w:rPr>
          <w:rFonts w:ascii="Arial" w:cs="Arial" w:eastAsia="Arial" w:hAnsi="Arial"/>
          <w:color w:val="333333"/>
          <w:sz w:val="21"/>
          <w:szCs w:val="21"/>
        </w:rPr>
        <w:t xml:space="preserve">Knowledge of AI governance and regulation: EU AI Act, NIST AI Risk Management Framework, ISO/IEC 42001, India’s DPDP Act and sector regulations (e.g., RBI/SEBI, HIPAA).</w:t>
      </w:r>
    </w:p>
    <w:p>
      <w:pPr>
        <w:pStyle w:val="ListParagraph"/>
        <w:numPr>
          <w:ilvl w:val="0"/>
          <w:numId w:val="2"/>
        </w:numPr>
        <w:spacing w:after="70" w:line="264"/>
      </w:pPr>
      <w:r>
        <w:rPr>
          <w:rFonts w:ascii="Arial" w:cs="Arial" w:eastAsia="Arial" w:hAnsi="Arial"/>
          <w:color w:val="333333"/>
          <w:sz w:val="21"/>
          <w:szCs w:val="21"/>
        </w:rPr>
        <w:t xml:space="preserve">Domain experience in financial services, healthcare and life sciences, energy, public sector, telecom or consumer and retail.</w:t>
      </w:r>
    </w:p>
    <w:p>
      <w:pPr>
        <w:pStyle w:val="ListParagraph"/>
        <w:numPr>
          <w:ilvl w:val="0"/>
          <w:numId w:val="2"/>
        </w:numPr>
        <w:spacing w:after="70" w:line="264"/>
      </w:pPr>
      <w:r>
        <w:rPr>
          <w:rFonts w:ascii="Arial" w:cs="Arial" w:eastAsia="Arial" w:hAnsi="Arial"/>
          <w:color w:val="333333"/>
          <w:sz w:val="21"/>
          <w:szCs w:val="21"/>
        </w:rPr>
        <w:t xml:space="preserve">Prior Big 4 or consulting experience with pre-sales and client-facing delivery.</w:t>
      </w:r>
    </w:p>
    <w:p>
      <w:pPr>
        <w:pStyle w:val="ListParagraph"/>
        <w:numPr>
          <w:ilvl w:val="0"/>
          <w:numId w:val="2"/>
        </w:numPr>
        <w:spacing w:after="70" w:line="264"/>
      </w:pPr>
      <w:r>
        <w:rPr>
          <w:rFonts w:ascii="Arial" w:cs="Arial" w:eastAsia="Arial" w:hAnsi="Arial"/>
          <w:color w:val="333333"/>
          <w:sz w:val="21"/>
          <w:szCs w:val="21"/>
        </w:rPr>
        <w:t xml:space="preserve">Open-source contributions, publications, conference talks or hackathon leadership in AI/ML.</w:t>
      </w:r>
    </w:p>
    <w:p>
      <w:pPr>
        <w:pStyle w:val="Heading1"/>
      </w:pPr>
      <w:r>
        <w:rPr>
          <w:rFonts w:ascii="Arial" w:cs="Arial" w:eastAsia="Arial" w:hAnsi="Arial"/>
          <w:b/>
          <w:bCs/>
          <w:color w:val="00338D"/>
          <w:sz w:val="26"/>
          <w:szCs w:val="26"/>
        </w:rPr>
        <w:t xml:space="preserve">Key behavioural attributes and requirements</w:t>
      </w:r>
    </w:p>
    <w:p>
      <w:pPr>
        <w:pStyle w:val="ListParagraph"/>
        <w:numPr>
          <w:ilvl w:val="0"/>
          <w:numId w:val="2"/>
        </w:numPr>
        <w:spacing w:after="70" w:line="264"/>
      </w:pPr>
      <w:r>
        <w:rPr>
          <w:rFonts w:ascii="Arial" w:cs="Arial" w:eastAsia="Arial" w:hAnsi="Arial"/>
          <w:b/>
          <w:bCs/>
          <w:color w:val="333333"/>
          <w:sz w:val="21"/>
          <w:szCs w:val="21"/>
        </w:rPr>
        <w:t xml:space="preserve">Ownership mindset: </w:t>
      </w:r>
      <w:r>
        <w:rPr>
          <w:rFonts w:ascii="Arial" w:cs="Arial" w:eastAsia="Arial" w:hAnsi="Arial"/>
          <w:color w:val="333333"/>
          <w:sz w:val="21"/>
          <w:szCs w:val="21"/>
        </w:rPr>
        <w:t xml:space="preserve">takes end-to-end accountability for outcomes, quality and timelines.</w:t>
      </w:r>
    </w:p>
    <w:p>
      <w:pPr>
        <w:pStyle w:val="ListParagraph"/>
        <w:numPr>
          <w:ilvl w:val="0"/>
          <w:numId w:val="2"/>
        </w:numPr>
        <w:spacing w:after="70" w:line="264"/>
      </w:pPr>
      <w:r>
        <w:rPr>
          <w:rFonts w:ascii="Arial" w:cs="Arial" w:eastAsia="Arial" w:hAnsi="Arial"/>
          <w:b/>
          <w:bCs/>
          <w:color w:val="333333"/>
          <w:sz w:val="21"/>
          <w:szCs w:val="21"/>
        </w:rPr>
        <w:t xml:space="preserve">Executive presence: </w:t>
      </w:r>
      <w:r>
        <w:rPr>
          <w:rFonts w:ascii="Arial" w:cs="Arial" w:eastAsia="Arial" w:hAnsi="Arial"/>
          <w:color w:val="333333"/>
          <w:sz w:val="21"/>
          <w:szCs w:val="21"/>
        </w:rPr>
        <w:t xml:space="preserve">explains complex technical choices clearly to non-technical and CXO stakeholders; writes crisp, decision-ready documentation.</w:t>
      </w:r>
    </w:p>
    <w:p>
      <w:pPr>
        <w:pStyle w:val="ListParagraph"/>
        <w:numPr>
          <w:ilvl w:val="0"/>
          <w:numId w:val="2"/>
        </w:numPr>
        <w:spacing w:after="70" w:line="264"/>
      </w:pPr>
      <w:r>
        <w:rPr>
          <w:rFonts w:ascii="Arial" w:cs="Arial" w:eastAsia="Arial" w:hAnsi="Arial"/>
          <w:b/>
          <w:bCs/>
          <w:color w:val="333333"/>
          <w:sz w:val="21"/>
          <w:szCs w:val="21"/>
        </w:rPr>
        <w:t xml:space="preserve">Structured problem solving: </w:t>
      </w:r>
      <w:r>
        <w:rPr>
          <w:rFonts w:ascii="Arial" w:cs="Arial" w:eastAsia="Arial" w:hAnsi="Arial"/>
          <w:color w:val="333333"/>
          <w:sz w:val="21"/>
          <w:szCs w:val="21"/>
        </w:rPr>
        <w:t xml:space="preserve">comfortable with ambiguity; makes pragmatic build, buy or adopt decisions and can defend them with evidence.</w:t>
      </w:r>
    </w:p>
    <w:p>
      <w:pPr>
        <w:pStyle w:val="ListParagraph"/>
        <w:numPr>
          <w:ilvl w:val="0"/>
          <w:numId w:val="2"/>
        </w:numPr>
        <w:spacing w:after="70" w:line="264"/>
      </w:pPr>
      <w:r>
        <w:rPr>
          <w:rFonts w:ascii="Arial" w:cs="Arial" w:eastAsia="Arial" w:hAnsi="Arial"/>
          <w:b/>
          <w:bCs/>
          <w:color w:val="333333"/>
          <w:sz w:val="21"/>
          <w:szCs w:val="21"/>
        </w:rPr>
        <w:t xml:space="preserve">Collaborative leadership: </w:t>
      </w:r>
      <w:r>
        <w:rPr>
          <w:rFonts w:ascii="Arial" w:cs="Arial" w:eastAsia="Arial" w:hAnsi="Arial"/>
          <w:color w:val="333333"/>
          <w:sz w:val="21"/>
          <w:szCs w:val="21"/>
        </w:rPr>
        <w:t xml:space="preserve">coaches, delegates and builds inclusive, high-performing teams.</w:t>
      </w:r>
    </w:p>
    <w:p>
      <w:pPr>
        <w:pStyle w:val="ListParagraph"/>
        <w:numPr>
          <w:ilvl w:val="0"/>
          <w:numId w:val="2"/>
        </w:numPr>
        <w:spacing w:after="70" w:line="264"/>
      </w:pPr>
      <w:r>
        <w:rPr>
          <w:rFonts w:ascii="Arial" w:cs="Arial" w:eastAsia="Arial" w:hAnsi="Arial"/>
          <w:b/>
          <w:bCs/>
          <w:color w:val="333333"/>
          <w:sz w:val="21"/>
          <w:szCs w:val="21"/>
        </w:rPr>
        <w:t xml:space="preserve">Commercial acumen: </w:t>
      </w:r>
      <w:r>
        <w:rPr>
          <w:rFonts w:ascii="Arial" w:cs="Arial" w:eastAsia="Arial" w:hAnsi="Arial"/>
          <w:color w:val="333333"/>
          <w:sz w:val="21"/>
          <w:szCs w:val="21"/>
        </w:rPr>
        <w:t xml:space="preserve">understands effort, cost and value; contributes to proposals and manages scope with clients.</w:t>
      </w:r>
    </w:p>
    <w:p>
      <w:pPr>
        <w:pStyle w:val="ListParagraph"/>
        <w:numPr>
          <w:ilvl w:val="0"/>
          <w:numId w:val="2"/>
        </w:numPr>
        <w:spacing w:after="70" w:line="264"/>
      </w:pPr>
      <w:r>
        <w:rPr>
          <w:rFonts w:ascii="Arial" w:cs="Arial" w:eastAsia="Arial" w:hAnsi="Arial"/>
          <w:b/>
          <w:bCs/>
          <w:color w:val="333333"/>
          <w:sz w:val="21"/>
          <w:szCs w:val="21"/>
        </w:rPr>
        <w:t xml:space="preserve">Learning agility: </w:t>
      </w:r>
      <w:r>
        <w:rPr>
          <w:rFonts w:ascii="Arial" w:cs="Arial" w:eastAsia="Arial" w:hAnsi="Arial"/>
          <w:color w:val="333333"/>
          <w:sz w:val="21"/>
          <w:szCs w:val="21"/>
        </w:rPr>
        <w:t xml:space="preserve">stays current with the fast-moving Azure AI and open-source ecosystem and actively shares knowledge.</w:t>
      </w:r>
    </w:p>
    <w:p>
      <w:pPr>
        <w:pStyle w:val="ListParagraph"/>
        <w:numPr>
          <w:ilvl w:val="0"/>
          <w:numId w:val="2"/>
        </w:numPr>
        <w:spacing w:after="70" w:line="264"/>
      </w:pPr>
      <w:r>
        <w:rPr>
          <w:rFonts w:ascii="Arial" w:cs="Arial" w:eastAsia="Arial" w:hAnsi="Arial"/>
          <w:b/>
          <w:bCs/>
          <w:color w:val="333333"/>
          <w:sz w:val="21"/>
          <w:szCs w:val="21"/>
        </w:rPr>
        <w:t xml:space="preserve">Integrity and professionalism: </w:t>
      </w:r>
      <w:r>
        <w:rPr>
          <w:rFonts w:ascii="Arial" w:cs="Arial" w:eastAsia="Arial" w:hAnsi="Arial"/>
          <w:color w:val="333333"/>
          <w:sz w:val="21"/>
          <w:szCs w:val="21"/>
        </w:rPr>
        <w:t xml:space="preserve">upholds KPMG’s values, code of conduct, quality and risk-management standards.</w:t>
      </w:r>
    </w:p>
    <w:p>
      <w:pPr>
        <w:pStyle w:val="ListParagraph"/>
        <w:numPr>
          <w:ilvl w:val="0"/>
          <w:numId w:val="2"/>
        </w:numPr>
        <w:spacing w:after="70" w:line="264"/>
      </w:pPr>
      <w:r>
        <w:rPr>
          <w:rFonts w:ascii="Arial" w:cs="Arial" w:eastAsia="Arial" w:hAnsi="Arial"/>
          <w:b/>
          <w:bCs/>
          <w:color w:val="333333"/>
          <w:sz w:val="21"/>
          <w:szCs w:val="21"/>
        </w:rPr>
        <w:t xml:space="preserve">Mobility: </w:t>
      </w:r>
      <w:r>
        <w:rPr>
          <w:rFonts w:ascii="Arial" w:cs="Arial" w:eastAsia="Arial" w:hAnsi="Arial"/>
          <w:color w:val="333333"/>
          <w:sz w:val="21"/>
          <w:szCs w:val="21"/>
        </w:rPr>
        <w:t xml:space="preserve">flexibility to travel to client locations as required.</w:t>
      </w:r>
    </w:p>
    <w:p>
      <w:pPr>
        <w:pStyle w:val="Heading1"/>
      </w:pPr>
      <w:r>
        <w:rPr>
          <w:rFonts w:ascii="Arial" w:cs="Arial" w:eastAsia="Arial" w:hAnsi="Arial"/>
          <w:b/>
          <w:bCs/>
          <w:color w:val="00338D"/>
          <w:sz w:val="26"/>
          <w:szCs w:val="26"/>
        </w:rPr>
        <w:t xml:space="preserve">Qualifications</w:t>
      </w:r>
    </w:p>
    <w:p>
      <w:pPr>
        <w:pStyle w:val="Heading2"/>
      </w:pPr>
      <w:r>
        <w:rPr>
          <w:rFonts w:ascii="Arial" w:cs="Arial" w:eastAsia="Arial" w:hAnsi="Arial"/>
          <w:b/>
          <w:bCs/>
          <w:color w:val="005EB8"/>
          <w:sz w:val="22"/>
          <w:szCs w:val="22"/>
        </w:rPr>
        <w:t xml:space="preserve">Educational qualifications</w:t>
      </w:r>
    </w:p>
    <w:p>
      <w:pPr>
        <w:pStyle w:val="ListParagraph"/>
        <w:numPr>
          <w:ilvl w:val="0"/>
          <w:numId w:val="2"/>
        </w:numPr>
        <w:spacing w:after="70" w:line="264"/>
      </w:pPr>
      <w:r>
        <w:rPr>
          <w:rFonts w:ascii="Arial" w:cs="Arial" w:eastAsia="Arial" w:hAnsi="Arial"/>
          <w:color w:val="333333"/>
          <w:sz w:val="21"/>
          <w:szCs w:val="21"/>
        </w:rPr>
        <w:t xml:space="preserve">B.E./B.Tech, M.E./M.Tech, MCA or M.Sc. in Computer Science, Engineering, Mathematics, Statistics or a related discipline from a recognised institute. A master’s degree or PhD in AI, ML or Data Science is an advantage.</w:t>
      </w:r>
    </w:p>
    <w:p>
      <w:pPr>
        <w:pStyle w:val="Heading2"/>
      </w:pPr>
      <w:r>
        <w:rPr>
          <w:rFonts w:ascii="Arial" w:cs="Arial" w:eastAsia="Arial" w:hAnsi="Arial"/>
          <w:b/>
          <w:bCs/>
          <w:color w:val="005EB8"/>
          <w:sz w:val="22"/>
          <w:szCs w:val="22"/>
        </w:rPr>
        <w:t xml:space="preserve">Work experience</w:t>
      </w:r>
    </w:p>
    <w:p>
      <w:pPr>
        <w:pStyle w:val="ListParagraph"/>
        <w:numPr>
          <w:ilvl w:val="0"/>
          <w:numId w:val="2"/>
        </w:numPr>
        <w:spacing w:after="70" w:line="264"/>
      </w:pPr>
      <w:r>
        <w:rPr>
          <w:rFonts w:ascii="Arial" w:cs="Arial" w:eastAsia="Arial" w:hAnsi="Arial"/>
          <w:color w:val="333333"/>
          <w:sz w:val="21"/>
          <w:szCs w:val="21"/>
        </w:rPr>
        <w:t xml:space="preserve">5–8 years of relevant experience as described above, including a minimum of 2 years in a technical-lead or lead-engineer capacity on Azure-based AI/ML programmes.</w:t>
      </w:r>
    </w:p>
    <w:p>
      <w:pPr>
        <w:pStyle w:val="Heading1"/>
      </w:pPr>
      <w:r>
        <w:rPr>
          <w:rFonts w:ascii="Arial" w:cs="Arial" w:eastAsia="Arial" w:hAnsi="Arial"/>
          <w:b/>
          <w:bCs/>
          <w:color w:val="00338D"/>
          <w:sz w:val="26"/>
          <w:szCs w:val="26"/>
        </w:rPr>
        <w:t xml:space="preserve">What you can expect from us</w:t>
      </w:r>
    </w:p>
    <w:p>
      <w:pPr>
        <w:pStyle w:val="ListParagraph"/>
        <w:numPr>
          <w:ilvl w:val="0"/>
          <w:numId w:val="2"/>
        </w:numPr>
        <w:spacing w:after="70" w:line="264"/>
      </w:pPr>
      <w:r>
        <w:rPr>
          <w:rFonts w:ascii="Arial" w:cs="Arial" w:eastAsia="Arial" w:hAnsi="Arial"/>
          <w:color w:val="333333"/>
          <w:sz w:val="21"/>
          <w:szCs w:val="21"/>
        </w:rPr>
        <w:t xml:space="preserve">Flagship AI programmes for marquee clients across sectors, with the scale and backing of KPMG’s global network.</w:t>
      </w:r>
    </w:p>
    <w:p>
      <w:pPr>
        <w:pStyle w:val="ListParagraph"/>
        <w:numPr>
          <w:ilvl w:val="0"/>
          <w:numId w:val="2"/>
        </w:numPr>
        <w:spacing w:after="70" w:line="264"/>
      </w:pPr>
      <w:r>
        <w:rPr>
          <w:rFonts w:ascii="Arial" w:cs="Arial" w:eastAsia="Arial" w:hAnsi="Arial"/>
          <w:color w:val="333333"/>
          <w:sz w:val="21"/>
          <w:szCs w:val="21"/>
        </w:rPr>
        <w:t xml:space="preserve">Joint innovation with Microsoft through the KPMG–Microsoft alliance, and a seat at the table as our Azure AI stack evolves.</w:t>
      </w:r>
    </w:p>
    <w:p>
      <w:pPr>
        <w:pStyle w:val="ListParagraph"/>
        <w:numPr>
          <w:ilvl w:val="0"/>
          <w:numId w:val="2"/>
        </w:numPr>
        <w:spacing w:after="70" w:line="264"/>
      </w:pPr>
      <w:r>
        <w:rPr>
          <w:rFonts w:ascii="Arial" w:cs="Arial" w:eastAsia="Arial" w:hAnsi="Arial"/>
          <w:color w:val="333333"/>
          <w:sz w:val="21"/>
          <w:szCs w:val="21"/>
        </w:rPr>
        <w:t xml:space="preserve">Structured learning, certification support and a defined career framework.</w:t>
      </w:r>
    </w:p>
    <w:p>
      <w:pPr>
        <w:pStyle w:val="ListParagraph"/>
        <w:numPr>
          <w:ilvl w:val="0"/>
          <w:numId w:val="2"/>
        </w:numPr>
        <w:spacing w:after="70" w:line="264"/>
      </w:pPr>
      <w:r>
        <w:rPr>
          <w:rFonts w:ascii="Arial" w:cs="Arial" w:eastAsia="Arial" w:hAnsi="Arial"/>
          <w:color w:val="333333"/>
          <w:sz w:val="21"/>
          <w:szCs w:val="21"/>
        </w:rPr>
        <w:t xml:space="preserve">An inclusive, hybrid working environment and a firm-wide commitment to Trusted AI.</w:t>
      </w:r>
    </w:p>
    <w:p>
      <w:pPr>
        <w:pStyle w:val="Heading1"/>
      </w:pPr>
      <w:r>
        <w:rPr>
          <w:rFonts w:ascii="Arial" w:cs="Arial" w:eastAsia="Arial" w:hAnsi="Arial"/>
          <w:b/>
          <w:bCs/>
          <w:color w:val="00338D"/>
          <w:sz w:val="26"/>
          <w:szCs w:val="26"/>
        </w:rPr>
        <w:t xml:space="preserve">Equal employment opportunity information</w:t>
      </w:r>
    </w:p>
    <w:p>
      <w:pPr>
        <w:spacing w:after="120" w:line="276"/>
      </w:pPr>
      <w:r>
        <w:rPr>
          <w:rFonts w:ascii="Arial" w:cs="Arial" w:eastAsia="Arial" w:hAnsi="Arial"/>
          <w:color w:val="333333"/>
          <w:sz w:val="21"/>
          <w:szCs w:val="21"/>
        </w:rPr>
        <w:t xml:space="preserve">KPMG India has a policy of providing equal opportunity for all applicants and employees regardless of their colour, caste, religion, age, sex/gender, national origin, citizenship, sexual orientation, gender identity or expression, disability or other legally protected status. KPMG India values diversity and welcomes applications from all qualified candidates.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6" w:sz="4" w:space="4"/>
      </w:pBdr>
      <w:jc w:val="center"/>
    </w:pPr>
    <w:r>
      <w:rPr>
        <w:rFonts w:ascii="Arial" w:cs="Arial" w:eastAsia="Arial" w:hAnsi="Arial"/>
        <w:color w:val="6D6E71"/>
        <w:sz w:val="16"/>
        <w:szCs w:val="16"/>
      </w:rPr>
      <w:t xml:space="preserve">AI Stack Development Lead – Azure  |  Job Description  |  Page </w:t>
    </w:r>
    <w:r>
      <w:rPr>
        <w:rFonts w:ascii="Arial" w:cs="Arial" w:eastAsia="Arial" w:hAnsi="Arial"/>
        <w:color w:val="6D6E71"/>
        <w:sz w:val="16"/>
        <w:szCs w:val="16"/>
      </w:rPr>
      <w:fldChar w:fldCharType="begin"/>
      <w:instrText xml:space="preserve">PAGE</w:instrText>
      <w:fldChar w:fldCharType="separate"/>
      <w:fldChar w:fldCharType="end"/>
    </w:r>
    <w:r>
      <w:rPr>
        <w:rFonts w:ascii="Arial" w:cs="Arial" w:eastAsia="Arial" w:hAnsi="Arial"/>
        <w:color w:val="6D6E71"/>
        <w:sz w:val="16"/>
        <w:szCs w:val="16"/>
      </w:rPr>
      <w:t xml:space="preserve"> of </w:t>
    </w:r>
    <w:r>
      <w:rPr>
        <w:rFonts w:ascii="Arial" w:cs="Arial" w:eastAsia="Arial" w:hAnsi="Arial"/>
        <w:color w:val="6D6E7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Arial" w:cs="Arial" w:eastAsia="Arial" w:hAnsi="Arial"/>
      <w:b/>
      <w:bCs/>
      <w:color w:val="00338D"/>
      <w:sz w:val="26"/>
      <w:szCs w:val="26"/>
    </w:rPr>
  </w:style>
  <w:style w:type="paragraph" w:styleId="Heading2">
    <w:name w:val="Heading 2"/>
    <w:basedOn w:val="Normal"/>
    <w:next w:val="Normal"/>
    <w:qFormat/>
    <w:pPr>
      <w:keepNext/>
      <w:spacing w:after="80" w:before="180"/>
      <w:outlineLvl w:val="1"/>
    </w:pPr>
    <w:rPr>
      <w:rFonts w:ascii="Arial" w:cs="Arial" w:eastAsia="Arial" w:hAnsi="Arial"/>
      <w:b/>
      <w:bCs/>
      <w:color w:val="005EB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Stack Development Lead – Azure | Job Description</dc:title>
  <dc:creator>Talent Acquisition</dc:creator>
  <cp:lastModifiedBy>Un-named</cp:lastModifiedBy>
  <cp:revision>1</cp:revision>
  <dcterms:created xsi:type="dcterms:W3CDTF">2026-09-07T12:03:35.724Z</dcterms:created>
  <dcterms:modified xsi:type="dcterms:W3CDTF">2026-09-07T12:03:35.725Z</dcterms:modified>
</cp:coreProperties>
</file>

<file path=docProps/custom.xml><?xml version="1.0" encoding="utf-8"?>
<Properties xmlns="http://schemas.openxmlformats.org/officeDocument/2006/custom-properties" xmlns:vt="http://schemas.openxmlformats.org/officeDocument/2006/docPropsVTypes"/>
</file>