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40"/>
      </w:pPr>
      <w:r>
        <w:rPr>
          <w:rFonts w:ascii="Arial" w:cs="Arial" w:eastAsia="Arial" w:hAnsi="Arial"/>
          <w:b/>
          <w:bCs/>
          <w:color w:val="00338D"/>
          <w:sz w:val="44"/>
          <w:szCs w:val="44"/>
        </w:rPr>
        <w:t xml:space="preserve">AI Stack Development Lead</w:t>
      </w:r>
    </w:p>
    <w:p>
      <w:pPr>
        <w:pBdr>
          <w:bottom w:val="single" w:color="0091DA" w:sz="12" w:space="8"/>
        </w:pBdr>
        <w:spacing w:after="220"/>
      </w:pPr>
      <w:r>
        <w:rPr>
          <w:rFonts w:ascii="Arial" w:cs="Arial" w:eastAsia="Arial" w:hAnsi="Arial"/>
          <w:b/>
          <w:bCs/>
          <w:color w:val="0091DA"/>
          <w:sz w:val="24"/>
          <w:szCs w:val="24"/>
        </w:rPr>
        <w:t xml:space="preserve">Job Description</w:t>
      </w:r>
    </w:p>
    <w:tbl>
      <w:tblPr>
        <w:tblW w:type="dxa" w:w="9360"/>
        <w:tblBorders>
          <w:top w:val="single" w:color="C7D4EA" w:sz="2"/>
          <w:left w:val="single" w:color="C7D4EA" w:sz="2"/>
          <w:bottom w:val="single" w:color="C7D4EA" w:sz="2"/>
          <w:right w:val="single" w:color="C7D4EA" w:sz="2"/>
          <w:insideH w:val="single" w:color="C7D4EA" w:sz="2"/>
          <w:insideV w:val="single" w:color="C7D4EA" w:sz="2"/>
        </w:tblBorders>
      </w:tblPr>
      <w:tblGrid>
        <w:gridCol w:w="2700"/>
        <w:gridCol w:w="6660"/>
      </w:tblGrid>
      <w:tr>
        <w:tc>
          <w:tcPr>
            <w:tcW w:type="dxa" w:w="2700"/>
            <w:shd w:fill="E8EEF8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338D"/>
                <w:sz w:val="20"/>
                <w:szCs w:val="20"/>
              </w:rPr>
              <w:t xml:space="preserve">Experience</w:t>
            </w:r>
          </w:p>
        </w:tc>
        <w:tc>
          <w:tcPr>
            <w:tcW w:type="dxa" w:w="666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5–8 years relevant experience</w:t>
            </w:r>
          </w:p>
        </w:tc>
      </w:tr>
      <w:tr>
        <w:tc>
          <w:tcPr>
            <w:tcW w:type="dxa" w:w="2700"/>
            <w:shd w:fill="E8EEF8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338D"/>
                <w:sz w:val="20"/>
                <w:szCs w:val="20"/>
              </w:rPr>
              <w:t xml:space="preserve">Contract Duration</w:t>
            </w:r>
          </w:p>
        </w:tc>
        <w:tc>
          <w:tcPr>
            <w:tcW w:type="dxa" w:w="666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[TBC]</w:t>
            </w:r>
          </w:p>
        </w:tc>
      </w:tr>
      <w:tr>
        <w:tc>
          <w:tcPr>
            <w:tcW w:type="dxa" w:w="2700"/>
            <w:shd w:fill="E8EEF8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338D"/>
                <w:sz w:val="20"/>
                <w:szCs w:val="20"/>
              </w:rPr>
              <w:t xml:space="preserve">Location</w:t>
            </w:r>
          </w:p>
        </w:tc>
        <w:tc>
          <w:tcPr>
            <w:tcW w:type="dxa" w:w="666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UAE (on-site)</w:t>
            </w:r>
          </w:p>
        </w:tc>
      </w:tr>
      <w:tr>
        <w:tc>
          <w:tcPr>
            <w:tcW w:type="dxa" w:w="2700"/>
            <w:shd w:fill="E8EEF8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338D"/>
                <w:sz w:val="20"/>
                <w:szCs w:val="20"/>
              </w:rPr>
              <w:t xml:space="preserve">Platform Area</w:t>
            </w:r>
          </w:p>
        </w:tc>
        <w:tc>
          <w:tcPr>
            <w:tcW w:type="dxa" w:w="666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AI Platforms – Azure</w:t>
            </w:r>
          </w:p>
        </w:tc>
      </w:tr>
    </w:tbl>
    <w:p>
      <w:pPr>
        <w:spacing w:after="60"/>
      </w:pPr>
    </w:p>
    <w:p>
      <w:pPr>
        <w:pBdr>
          <w:bottom w:val="single" w:color="C7D4EA" w:sz="4" w:space="4"/>
        </w:pBdr>
        <w:spacing w:after="64" w:before="128"/>
      </w:pPr>
      <w:r>
        <w:rPr>
          <w:rFonts w:ascii="Arial" w:cs="Arial" w:eastAsia="Arial" w:hAnsi="Arial"/>
          <w:b/>
          <w:bCs/>
          <w:color w:val="00338D"/>
          <w:sz w:val="24"/>
          <w:szCs w:val="24"/>
        </w:rPr>
        <w:t xml:space="preserve">About the Role</w:t>
      </w:r>
    </w:p>
    <w:p>
      <w:pPr>
        <w:spacing w:after="64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 AI Stack Development Lead will design, build, and lead the development of the enterprise AI application stack on Microsoft Azure, turning approved AI use cases into reliable, secure, production-grade AI services and agents. The role spans solution architecture, hands-on development, productionisation, and technical leadership of a small AI engineering team.</w:t>
      </w:r>
    </w:p>
    <w:p>
      <w:pPr>
        <w:spacing w:after="64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This is a hands-on lead role. It owns the engineering standards, reusable patterns, and delivery of AI solutions built on Azure OpenAI, Azure AI Foundry, Azure AI Services, and MCP-based agent integrations, working closely with AI Platforms, Cloud Platforms, Data Platforms, Architecture, Security, and business teams.</w:t>
      </w:r>
    </w:p>
    <w:p>
      <w:pPr>
        <w:spacing w:after="64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It ensures AI solutions and agents are well-engineered, governed, observable, cost-efficient, and ready for enterprise adoption, covering corporate AI use cases, centralised productionisation, and function-specific agent building.</w:t>
      </w:r>
    </w:p>
    <w:p>
      <w:pPr>
        <w:pBdr>
          <w:bottom w:val="single" w:color="C7D4EA" w:sz="4" w:space="4"/>
        </w:pBdr>
        <w:spacing w:after="64" w:before="128"/>
      </w:pPr>
      <w:r>
        <w:rPr>
          <w:rFonts w:ascii="Arial" w:cs="Arial" w:eastAsia="Arial" w:hAnsi="Arial"/>
          <w:b/>
          <w:bCs/>
          <w:color w:val="00338D"/>
          <w:sz w:val="24"/>
          <w:szCs w:val="24"/>
        </w:rPr>
        <w:t xml:space="preserve">Key Responsibilities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Lead the design and development of AI services, AI agents, retrieval-augmented generation (RAG) solutions, and copilots on Azure OpenAI, Azure AI Foundry, and Azure AI Services.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Own the AI application stack architecture, including orchestration frameworks, MCP gateways and tool integrations, APIs, connectors, and the retrieval layer on Azure AI Search.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Set and enforce engineering standards, reusable patterns, code quality, and design reviews across AI developers.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Lead and mentor a small team of AI developers; plan sprints, estimate work, and manage technical risk and delivery quality.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Build and support AI agents that connect securely to approved enterprise data sources, tools, APIs, and systems.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Drive centralised productionisation of AI use cases, including evaluation, testing, release readiness, monitoring, documentation, and operational handover.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Establish LLMOps practices with the AI Platforms team: prompt and model versioning, automated evaluation, regression testing, CI/CD, and infrastructure as code.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Implement responsible AI, security, and governance controls by design, including content safety, prompt-injection defences, PII handling, identity and access, and auditability.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Work with business teams to assess, prioritise, and onboard AI use cases, and translate them into technical designs and delivery plans.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Evaluate models, frameworks, and tools; run proofs of concept and provide roadmap inputs.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Monitor solution quality, usage, cost, and performance, and resolve application, integration, and data-access issues.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Maintain technical documentation, reusable implementation patterns, and enablement material for AI developers.</w:t>
      </w:r>
    </w:p>
    <w:p>
      <w:pPr>
        <w:pBdr>
          <w:bottom w:val="single" w:color="C7D4EA" w:sz="4" w:space="4"/>
        </w:pBdr>
        <w:spacing w:after="64" w:before="128"/>
      </w:pPr>
      <w:r>
        <w:rPr>
          <w:rFonts w:ascii="Arial" w:cs="Arial" w:eastAsia="Arial" w:hAnsi="Arial"/>
          <w:b/>
          <w:bCs/>
          <w:color w:val="00338D"/>
          <w:sz w:val="24"/>
          <w:szCs w:val="24"/>
        </w:rPr>
        <w:t xml:space="preserve">Required Qualifications &amp; Experience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Bachelor’s degree in Computer Science, Engineering, AI, Data Science, or a related discipline.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5–8 years of hands-on software or AI engineering experience, including at least 2 years building production Generative AI or agent-based solutions on Microsoft Azure.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Proven experience leading a small development team or acting as technical lead on AI/ML delivery.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Strong Python; working knowledge of C#/.NET or TypeScript.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Hands-on experience with Azure OpenAI, Azure AI Foundry (models, Agent Service, evaluations), Azure AI Search, and Azure AI Services.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Experience with agent and orchestration frameworks (Semantic Kernel, Microsoft Agent Framework, LangChain/LangGraph, AutoGen) and MCP-based tool integration.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Experience building and securing APIs and integrations on Azure (API Management, Functions, Container Apps or AKS, Cosmos DB, Key Vault, Entra ID).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Experience with CI/CD, infrastructure as code (Bicep or Terraform), and productionising AI solutions with evaluation, monitoring, and cost controls.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Working understanding of responsible AI, data governance, identity, permissions, and security controls for AI systems.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Strong analytical, problem-solving, and communication skills; able to work with technical teams and business stakeholders.</w:t>
      </w:r>
    </w:p>
    <w:p>
      <w:pPr>
        <w:pBdr>
          <w:bottom w:val="single" w:color="C7D4EA" w:sz="4" w:space="4"/>
        </w:pBdr>
        <w:spacing w:after="64" w:before="128"/>
      </w:pPr>
      <w:r>
        <w:rPr>
          <w:rFonts w:ascii="Arial" w:cs="Arial" w:eastAsia="Arial" w:hAnsi="Arial"/>
          <w:b/>
          <w:bCs/>
          <w:color w:val="00338D"/>
          <w:sz w:val="24"/>
          <w:szCs w:val="24"/>
        </w:rPr>
        <w:t xml:space="preserve">Preferred Skills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Experience with AI coding assistants such as Claude Code, OpenAI Codex, GitHub Copilot, and Cursor, and enabling their adoption across engineering teams.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Experience with Microsoft 365 Copilot extensibility, Copilot Studio, and Power Platform.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Exposure to Azure Machine Learning, Azure Databricks, or Microsoft Fabric, and to enterprise data platforms such as Snowflake, Azure Data Factory, or Power BI.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Experience fine-tuning or hosting open-weight models (Azure AI Foundry model catalogue, GPU compute, vLLM or ONNX Runtime).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Familiarity with observability and evaluation for LLM applications (OpenTelemetry, Application Insights, Azure AI Foundry evaluations, RAGAS or DeepEval).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Knowledge of AI governance frameworks and regulation (NIST AI RMF, ISO/IEC 42001, EU AI Act) and the UAE Personal Data Protection Law (PDPL).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Experience with front-end frameworks (React or Next.js) or rapid prototyping tools (Streamlit, Gradio) for AI experiences.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Prior experience delivering enterprise AI solutions in the UAE or GCC region.</w:t>
      </w:r>
    </w:p>
    <w:p>
      <w:pPr>
        <w:pBdr>
          <w:bottom w:val="single" w:color="C7D4EA" w:sz="4" w:space="4"/>
        </w:pBdr>
        <w:spacing w:after="64" w:before="128"/>
      </w:pPr>
      <w:r>
        <w:rPr>
          <w:rFonts w:ascii="Arial" w:cs="Arial" w:eastAsia="Arial" w:hAnsi="Arial"/>
          <w:b/>
          <w:bCs/>
          <w:color w:val="00338D"/>
          <w:sz w:val="24"/>
          <w:szCs w:val="24"/>
        </w:rPr>
        <w:t xml:space="preserve">Preferred Certifications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Microsoft Certified: Azure AI Engineer Associate (AI-102).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Microsoft Certified: Azure Solutions Architect Expert (AZ-305) or Azure Developer Associate (AZ-204).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Microsoft Certified: DevOps Engineer Expert (AZ-400) or Azure Data Scientist Associate (DP-100).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AI, cloud, or security-related certifications are an advantage.</w:t>
      </w:r>
    </w:p>
    <w:p>
      <w:pPr>
        <w:pBdr>
          <w:bottom w:val="single" w:color="C7D4EA" w:sz="4" w:space="4"/>
        </w:pBdr>
        <w:spacing w:after="64" w:before="128"/>
      </w:pPr>
      <w:r>
        <w:rPr>
          <w:rFonts w:ascii="Arial" w:cs="Arial" w:eastAsia="Arial" w:hAnsi="Arial"/>
          <w:b/>
          <w:bCs/>
          <w:color w:val="00338D"/>
          <w:sz w:val="24"/>
          <w:szCs w:val="24"/>
        </w:rPr>
        <w:t xml:space="preserve">Key Success Measures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 well-architected, reusable AI application stack on Azure adopted across AI use cases.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AI use cases delivered from prototype to production with consistent quality, evaluation, and monitoring.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Reliable, secure, and governed operation of AI services and agents.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High engineering standards, code quality, and reuse across the AI developer team.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Timely resolution of application, integration, and data-access issues.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Demonstrated compliance with responsible AI, security, and operational standards.</w:t>
      </w:r>
    </w:p>
    <w:sectPr>
      <w:footerReference w:type="default" r:id="rId7"/>
      <w:pgSz w:w="12240" w:h="15840" w:orient="portrait"/>
      <w:pgMar w:top="880" w:right="1440" w:bottom="8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5"/>
        <w:szCs w:val="15"/>
      </w:rPr>
      <w:t xml:space="preserve">AI Stack Development Lead  ·  Job Description  ·  Page </w:t>
    </w:r>
    <w:r>
      <w:rPr>
        <w:rFonts w:ascii="Arial" w:cs="Arial" w:eastAsia="Arial" w:hAnsi="Arial"/>
        <w:color w:val="666666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0091D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Stack Development Lead | Job Description</dc:title>
  <dc:creator>Talent Acquisition</dc:creator>
  <cp:lastModifiedBy>Un-named</cp:lastModifiedBy>
  <cp:revision>1</cp:revision>
  <dcterms:created xsi:type="dcterms:W3CDTF">2026-09-07T12:50:05.430Z</dcterms:created>
  <dcterms:modified xsi:type="dcterms:W3CDTF">2026-09-07T12:50:05.444Z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