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Calibri" w:hAnsi="Calibri"/>
          <w:b/>
          <w:color w:val="102C57"/>
          <w:sz w:val="52"/>
        </w:rPr>
        <w:t>CASE STUDY REVIEW 2</w:t>
        <w:br/>
        <w:t>DEEP LEARNING MODEL IMPLEMENTATION</w:t>
      </w:r>
    </w:p>
    <w:p>
      <w:pPr>
        <w:spacing w:before="300"/>
        <w:jc w:val="center"/>
      </w:pPr>
      <w:r>
        <w:rPr>
          <w:rFonts w:ascii="Calibri" w:hAnsi="Calibri"/>
          <w:i/>
          <w:color w:val="35598C"/>
          <w:sz w:val="30"/>
        </w:rPr>
        <w:t>EfficientNet-B0 for Multi-Label Solar Panel Electroluminescence Defect Classification</w:t>
      </w:r>
    </w:p>
    <w:p>
      <w:pPr>
        <w:spacing w:before="400" w:after="800"/>
        <w:jc w:val="center"/>
      </w:pPr>
      <w:r>
        <w:rPr>
          <w:color w:val="35598C"/>
        </w:rPr>
        <w:t>―――――――――――――――――――――――――――――――――――</w:t>
      </w:r>
    </w:p>
    <w:p>
      <w:pPr>
        <w:spacing w:before="2000"/>
        <w:jc w:val="center"/>
      </w:pPr>
      <w:r>
        <w:rPr>
          <w:b/>
          <w:color w:val="282828"/>
          <w:sz w:val="22"/>
        </w:rPr>
        <w:t xml:space="preserve">Project Title: </w:t>
      </w:r>
      <w:r>
        <w:rPr>
          <w:b w:val="0"/>
          <w:color w:val="646464"/>
          <w:sz w:val="22"/>
        </w:rPr>
        <w:t>SolarSentinel AI — Automated PV Defect Quality Assurance</w:t>
        <w:br/>
      </w:r>
      <w:r>
        <w:rPr>
          <w:b/>
          <w:color w:val="282828"/>
          <w:sz w:val="22"/>
        </w:rPr>
        <w:t xml:space="preserve">Dataset: </w:t>
      </w:r>
      <w:r>
        <w:rPr>
          <w:b w:val="0"/>
          <w:color w:val="646464"/>
          <w:sz w:val="22"/>
        </w:rPr>
        <w:t>PVELAD (Photovoltaic Electroluminescence Defect Dataset - 13,414 Images)</w:t>
        <w:br/>
      </w:r>
      <w:r>
        <w:rPr>
          <w:b/>
          <w:color w:val="282828"/>
          <w:sz w:val="22"/>
        </w:rPr>
        <w:t xml:space="preserve">Target Classes: </w:t>
      </w:r>
      <w:r>
        <w:rPr>
          <w:b w:val="0"/>
          <w:color w:val="646464"/>
          <w:sz w:val="22"/>
        </w:rPr>
        <w:t>8 Multi-Label Defect &amp; Quality Categories</w:t>
        <w:br/>
      </w:r>
      <w:r>
        <w:rPr>
          <w:b/>
          <w:color w:val="282828"/>
          <w:sz w:val="22"/>
        </w:rPr>
        <w:t xml:space="preserve">Framework: </w:t>
      </w:r>
      <w:r>
        <w:rPr>
          <w:b w:val="0"/>
          <w:color w:val="646464"/>
          <w:sz w:val="22"/>
        </w:rPr>
        <w:t>PyTorch &amp; ONNX Edge Runtime</w:t>
        <w:br/>
      </w:r>
      <w:r>
        <w:rPr>
          <w:b/>
          <w:color w:val="282828"/>
          <w:sz w:val="22"/>
        </w:rPr>
        <w:t xml:space="preserve">Date: </w:t>
      </w:r>
      <w:r>
        <w:rPr>
          <w:b w:val="0"/>
          <w:color w:val="646464"/>
          <w:sz w:val="22"/>
        </w:rPr>
        <w:t>August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Table of Contents</w:t>
      </w:r>
    </w:p>
    <w:p>
      <w:pPr>
        <w:spacing w:after="80"/>
      </w:pPr>
      <w:r>
        <w:rPr>
          <w:color w:val="35598C"/>
          <w:sz w:val="22"/>
        </w:rPr>
        <w:t>1. Executive Summary &amp; Project Overview</w:t>
      </w:r>
    </w:p>
    <w:p>
      <w:pPr>
        <w:spacing w:after="80"/>
      </w:pPr>
      <w:r>
        <w:rPr>
          <w:color w:val="35598C"/>
          <w:sz w:val="22"/>
        </w:rPr>
        <w:t>2. Deep Learning Model Selection &amp; Justification</w:t>
      </w:r>
    </w:p>
    <w:p>
      <w:pPr>
        <w:spacing w:after="80"/>
      </w:pPr>
      <w:r>
        <w:rPr>
          <w:color w:val="35598C"/>
          <w:sz w:val="22"/>
        </w:rPr>
        <w:t>3. Novelty of the Proposed Approach</w:t>
      </w:r>
    </w:p>
    <w:p>
      <w:pPr>
        <w:spacing w:after="80"/>
      </w:pPr>
      <w:r>
        <w:rPr>
          <w:color w:val="35598C"/>
          <w:sz w:val="22"/>
        </w:rPr>
        <w:t>4. Model Profiling</w:t>
      </w:r>
    </w:p>
    <w:p>
      <w:pPr>
        <w:spacing w:after="80"/>
      </w:pPr>
      <w:r>
        <w:rPr>
          <w:color w:val="35598C"/>
          <w:sz w:val="22"/>
        </w:rPr>
        <w:t>5. Overall System Architecture</w:t>
      </w:r>
    </w:p>
    <w:p>
      <w:pPr>
        <w:spacing w:after="80"/>
      </w:pPr>
      <w:r>
        <w:rPr>
          <w:color w:val="35598C"/>
          <w:sz w:val="22"/>
        </w:rPr>
        <w:t>6. EfficientNet-B0 Deep Learning Model Architecture Diagram</w:t>
      </w:r>
    </w:p>
    <w:p>
      <w:pPr>
        <w:spacing w:after="80"/>
      </w:pPr>
      <w:r>
        <w:rPr>
          <w:color w:val="35598C"/>
          <w:sz w:val="22"/>
        </w:rPr>
        <w:t>7. Training Configuration &amp; Setup</w:t>
      </w:r>
    </w:p>
    <w:p>
      <w:pPr>
        <w:spacing w:after="80"/>
      </w:pPr>
      <w:r>
        <w:rPr>
          <w:color w:val="35598C"/>
          <w:sz w:val="22"/>
        </w:rPr>
        <w:t>8. Embedded Training Graphs</w:t>
      </w:r>
    </w:p>
    <w:p>
      <w:pPr>
        <w:spacing w:after="80"/>
      </w:pPr>
      <w:r>
        <w:rPr>
          <w:color w:val="35598C"/>
          <w:sz w:val="22"/>
        </w:rPr>
        <w:t>9. Results Tables (Epoch History &amp; Per-Class Metrics)</w:t>
      </w:r>
    </w:p>
    <w:p>
      <w:pPr>
        <w:spacing w:after="80"/>
      </w:pPr>
      <w:r>
        <w:rPr>
          <w:color w:val="35598C"/>
          <w:sz w:val="22"/>
        </w:rPr>
        <w:t>10. Benchmark Model Comparison</w:t>
      </w:r>
    </w:p>
    <w:p>
      <w:pPr>
        <w:spacing w:after="80"/>
      </w:pPr>
      <w:r>
        <w:rPr>
          <w:color w:val="35598C"/>
          <w:sz w:val="22"/>
        </w:rPr>
        <w:t>11. Detailed Explanation of Results</w:t>
      </w:r>
    </w:p>
    <w:p>
      <w:pPr>
        <w:spacing w:after="80"/>
      </w:pPr>
      <w:r>
        <w:rPr>
          <w:color w:val="35598C"/>
          <w:sz w:val="22"/>
        </w:rPr>
        <w:t>12. Conclusion &amp; Future Work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1. Executive Summary &amp; Project Overview</w:t>
      </w:r>
    </w:p>
    <w:p>
      <w:pPr>
        <w:spacing w:after="120" w:line="276" w:lineRule="auto"/>
      </w:pPr>
      <w:r>
        <w:rPr>
          <w:i w:val="0"/>
        </w:rPr>
        <w:t>SolarSentinel AI is an automated quality assurance system engineered to perform high-speed, multi-label defect classification on solar cell Near-Infrared (NIR) Electroluminescence (EL) imagery. Electroluminescence imaging is the gold-standard non-destructive testing method for detecting sub-surface micro-cracks, electrical grid interruptions, and manufacturing anomalies in photovoltaic (PV) modules.</w:t>
      </w:r>
    </w:p>
    <w:p>
      <w:pPr>
        <w:spacing w:after="120" w:line="276" w:lineRule="auto"/>
      </w:pPr>
      <w:r>
        <w:rPr>
          <w:i w:val="0"/>
        </w:rPr>
        <w:t>This case study review focuses on the empirical implementation, architectural profiling, and performance evaluation of EfficientNet-B0 on the benchmark PVELAD dataset comprising 13,414 high-resolution images across 8 multi-label target classes.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2. Deep Learning Model Selection &amp; Justification</w:t>
      </w:r>
    </w:p>
    <w:p>
      <w:pPr>
        <w:spacing w:after="120" w:line="276" w:lineRule="auto"/>
      </w:pPr>
      <w:r>
        <w:rPr>
          <w:i w:val="0"/>
        </w:rPr>
        <w:t>Selecting an optimal deep learning backbone for industrial automated optical inspection (AOI) requires balancing feature representation capability against strict edge computational budgets.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Compound Scaling Principle: </w:t>
      </w:r>
      <w:r>
        <w:t>Unlike conventional CNNs (such as ResNet or VGG) that arbitrarily scale network depth, channel width, or input resolution independently, EfficientNet-B0 utilizes a principled compound coefficient phi to uniformly scale depth (d = alpha^phi), width (w = beta^phi), and resolution (r = gamma^phi) subject to alpha * beta^2 * gamma^2 approx 2.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Mobile Inverted Bottleneck Convolutions (MBConv): </w:t>
      </w:r>
      <w:r>
        <w:t>EfficientNet-B0 leverages Depthwise Separable Convolutions paired with Squeeze-and-Excitation (SE) channel attention modules. This architectural design reduces total parameters to 4.02 Million (~84% fewer parameters than ResNet-50) while improving feature abstraction for fine-grained hairline cracks.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Edge Hardware Compatibility: </w:t>
      </w:r>
      <w:r>
        <w:t>With a low computational complexity of 0.39 GFLOPs, EfficientNet-B0 easily executes on embedded edge hardware (such as industrial line micro-PCs, smart micro-cameras, and drone inspection payloads) without requiring high-power server GPUs.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3. Novelty of the Proposed Approach</w:t>
      </w:r>
    </w:p>
    <w:p>
      <w:pPr>
        <w:spacing w:after="120" w:line="276" w:lineRule="auto"/>
      </w:pPr>
      <w:r>
        <w:rPr>
          <w:i w:val="0"/>
        </w:rPr>
        <w:t>Our implementation introduces four key domain-specific technical innovations tailored for solar panel quality control: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1. Multi-Label Sigmoid Classifier Head: </w:t>
      </w:r>
      <w:r>
        <w:t>Standard classification architectures assume single-label mutually exclusive targets via Softmax. In real-world EL imaging, a single solar cell can suffer from multiple simultaneous physical defects (e.g. having both a physical crack and a finger grid interruption). We replaced the 1000-class Softmax head with Dropout(p=0.3) + Linear(1280, 8) and independent Sigmoid probability activations.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2. BCEWithLogitsLoss &amp; Imbalance Mitigation: </w:t>
      </w:r>
      <w:r>
        <w:t>Severe class imbalance exists between normal cells (good: 6,461 samples) and rare structural defects (star_crack: 123 samples, other_defect: 17 samples). We utilized BCEWithLogitsLoss with dynamic positive class re-weighting (pos_weight = N_neg / N_pos) to heavily penalize false negatives on rare defect categories.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3. NIR EL Data Augmentation Pipeline: </w:t>
      </w:r>
      <w:r>
        <w:t>Designed an EL-tailored spatial and intensity transformation pipeline (RandomHorizontalFlip, RandomVerticalFlip, RandomRotation(15 deg), and ColorJitter(brightness=0.2, contrast=0.2)) that simulates real sensor noise and camera gain fluctuations without distorting crack geometry.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4. Dynamic ONNX Edge Export: </w:t>
      </w:r>
      <w:r>
        <w:t>Exported the trained model to ONNX format (efficientnet_b0_solar.onnx) with dynamic batch size parameterization, allowing seamless deployment onto TensorRT, OpenVINO, or ONNX Runtime edge inference engines.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4. Model Profiling</w:t>
      </w:r>
    </w:p>
    <w:p>
      <w:pPr>
        <w:spacing w:after="120" w:line="276" w:lineRule="auto"/>
      </w:pPr>
      <w:r>
        <w:rPr>
          <w:i w:val="0"/>
        </w:rPr>
        <w:t>The table below details the exact architectural, computational, memory, and runtime latency specifications of the fine-tuned EfficientNet-B0 model: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102C57"/>
          </w:tcPr>
          <w:p>
            <w:pPr>
              <w:spacing w:after="4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102C57"/>
          </w:tcPr>
          <w:p>
            <w:pPr>
              <w:spacing w:after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02C57"/>
              </w:rPr>
              <w:t>Model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t>EfficientNet-B0 (Fine-Tuned)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</w:rPr>
              <w:t>Input Size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224 × 224 × 3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02C57"/>
              </w:rPr>
              <w:t>Output Classes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t>8 (Multi-Label Sigmoid Outputs)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</w:rPr>
              <w:t>Parameters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4.02 M (4,017,796 Total Parameters)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02C57"/>
              </w:rPr>
              <w:t>GFLOPs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t>0.39 GFLOPs (390 MFLOPs / 0.78 G MACs)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</w:rPr>
              <w:t>Model Size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16 MB (ONNX Export) / 48.7 MB (PyTorch Checkpoint)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02C57"/>
              </w:rPr>
              <w:t>CPU Latency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pPr>
              <w:spacing w:after="40"/>
            </w:pPr>
            <w:r>
              <w:t>140.60 ms (Batch Size 1) / 10.76 img/sec (Batch Size 32)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</w:rPr>
              <w:t>Framework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PyTorch 2.x &amp; ONNX Runtime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5. Overall System Architecture &amp; DL Model Diagram</w:t>
      </w:r>
    </w:p>
    <w:p>
      <w:pPr>
        <w:spacing w:after="120" w:line="276" w:lineRule="auto"/>
      </w:pPr>
      <w:r>
        <w:rPr>
          <w:i w:val="0"/>
        </w:rPr>
        <w:t>The SolarSentinel AI end-to-end processing pipeline consists of automated dataset ingestion, multi-label parsing, feature extraction via MBConv stages, and multi-label defect classification.</w:t>
      </w:r>
    </w:p>
    <w:p>
      <w:pPr>
        <w:keepNext/>
        <w:spacing w:before="280" w:after="120"/>
      </w:pPr>
      <w:r>
        <w:rPr>
          <w:rFonts w:ascii="Calibri" w:hAnsi="Calibri"/>
          <w:b/>
          <w:color w:val="35598C"/>
          <w:sz w:val="28"/>
        </w:rPr>
        <w:t>EfficientNet-B0 Stage-by-Stage Block Flow Diagram</w:t>
      </w:r>
    </w:p>
    <w:p>
      <w:pPr>
        <w:spacing w:before="160" w:after="240"/>
        <w:jc w:val="center"/>
      </w:pPr>
      <w:r>
        <w:rPr>
          <w:rFonts w:ascii="Consolas" w:hAnsi="Consolas"/>
          <w:color w:val="102C57"/>
          <w:sz w:val="19"/>
        </w:rPr>
        <w:t>Input Image (224×224×3)</w:t>
        <w:br/>
        <w:t xml:space="preserve">       │</w:t>
        <w:br/>
        <w:t xml:space="preserve">       ▼</w:t>
        <w:br/>
        <w:t xml:space="preserve">    Conv3×3 (Stride 2, 32 Channels)</w:t>
        <w:br/>
        <w:t xml:space="preserve">       │</w:t>
        <w:br/>
        <w:t xml:space="preserve">       ▼</w:t>
        <w:br/>
        <w:t xml:space="preserve">    MBConv1 (Expansion 1, 16 Channels)</w:t>
        <w:br/>
        <w:t xml:space="preserve">       │</w:t>
        <w:br/>
        <w:t xml:space="preserve">       ▼</w:t>
        <w:br/>
        <w:t xml:space="preserve">    MBConv6 ×2 (Stride 2, Expansion 6, 24 Channels)</w:t>
        <w:br/>
        <w:t xml:space="preserve">       │</w:t>
        <w:br/>
        <w:t xml:space="preserve">       ▼</w:t>
        <w:br/>
        <w:t xml:space="preserve">    MBConv6 ×2 (Stride 2, Expansion 6, 40 Channels)</w:t>
        <w:br/>
        <w:t xml:space="preserve">       │</w:t>
        <w:br/>
        <w:t xml:space="preserve">       ▼</w:t>
        <w:br/>
        <w:t xml:space="preserve">    MBConv6 ×3 (Stride 2, Expansion 6, 80 Channels)</w:t>
        <w:br/>
        <w:t xml:space="preserve">       │</w:t>
        <w:br/>
        <w:t xml:space="preserve">       ▼</w:t>
        <w:br/>
        <w:t xml:space="preserve">    MBConv6 ×3 (Expansion 6, 112 Channels)</w:t>
        <w:br/>
        <w:t xml:space="preserve">       │</w:t>
        <w:br/>
        <w:t xml:space="preserve">       ▼</w:t>
        <w:br/>
        <w:t xml:space="preserve">    MBConv6 ×4 (Stride 2, Expansion 6, 192 Channels)</w:t>
        <w:br/>
        <w:t xml:space="preserve">       │</w:t>
        <w:br/>
        <w:t xml:space="preserve">       ▼</w:t>
        <w:br/>
        <w:t xml:space="preserve">    MBConv6 ×1 (Expansion 6, 320 Channels)</w:t>
        <w:br/>
        <w:t xml:space="preserve">       │</w:t>
        <w:br/>
        <w:t xml:space="preserve">       ▼</w:t>
        <w:br/>
        <w:t xml:space="preserve">    Global Average Pooling (1280 Channels)</w:t>
        <w:br/>
        <w:t xml:space="preserve">       │</w:t>
        <w:br/>
        <w:t xml:space="preserve">       ▼</w:t>
        <w:br/>
        <w:t xml:space="preserve">    Dropout (p = 0.3)</w:t>
        <w:br/>
        <w:t xml:space="preserve">       │</w:t>
        <w:br/>
        <w:t xml:space="preserve">       ▼</w:t>
        <w:br/>
        <w:t xml:space="preserve">    Linear Classifier Layer (1280 → 8 Logits)</w:t>
        <w:br/>
        <w:t xml:space="preserve">       │</w:t>
        <w:br/>
        <w:t xml:space="preserve">       ▼</w:t>
        <w:br/>
        <w:t xml:space="preserve">    Sigmoid Activation Function σ(z)</w:t>
        <w:br/>
        <w:t xml:space="preserve">       │</w:t>
        <w:br/>
        <w:t xml:space="preserve">       ▼</w:t>
        <w:br/>
        <w:t>8 Multi-Label Defect Outputs (Threshold T = 0.5)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6. Training Configuration &amp; Setup</w:t>
      </w:r>
    </w:p>
    <w:p>
      <w:pPr>
        <w:spacing w:after="120" w:line="276" w:lineRule="auto"/>
      </w:pPr>
      <w:r>
        <w:rPr>
          <w:i w:val="0"/>
        </w:rPr>
        <w:t>The model was fine-tuned on the PVELAD dataset using an 80/20 train/validation split. The hyperparameter setup is detailed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102C57"/>
          </w:tcPr>
          <w:p>
            <w:r>
              <w:rPr>
                <w:b/>
                <w:color w:val="FFFFFF"/>
              </w:rPr>
              <w:t>Hyperparameter / Setting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102C57"/>
          </w:tcPr>
          <w:p>
            <w:r>
              <w:rPr>
                <w:b/>
                <w:color w:val="FFFFFF"/>
              </w:rPr>
              <w:t>Configuration Value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b/>
                <w:color w:val="102C57"/>
              </w:rPr>
              <w:t>Optimizer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AdamW (Weight Decay = 1e-4)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2C57"/>
              </w:rPr>
              <w:t>Initial Learning Rate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1e-3 (0.001)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b/>
                <w:color w:val="102C57"/>
              </w:rPr>
              <w:t>Learning Rate Scheduler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CosineAnnealingLR (T_max = 10, eta_min = 1e-6)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2C57"/>
              </w:rPr>
              <w:t>Loss Function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BCEWithLogitsLoss (Multi-label BCE with LogSumExp)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b/>
                <w:color w:val="102C57"/>
              </w:rPr>
              <w:t>Batch Size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32 samples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2C57"/>
              </w:rPr>
              <w:t>Total Epochs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 Epochs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7. Embedded Training Graphs</w:t>
      </w:r>
    </w:p>
    <w:p>
      <w:pPr>
        <w:spacing w:after="120" w:line="276" w:lineRule="auto"/>
      </w:pPr>
      <w:r>
        <w:rPr>
          <w:i w:val="0"/>
        </w:rPr>
        <w:t>The generated training graphs below demonstrate smooth loss convergence and steady F1-score progression over the 10 training epochs: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graphs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Figure 1: Training &amp; Validation Loss curves (Left) and F1-Score &amp; Accuracy curves (Right) across 10 epochs for EfficientNet-B0.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8. Results Tables</w:t>
      </w:r>
    </w:p>
    <w:p>
      <w:pPr>
        <w:keepNext/>
        <w:spacing w:before="280" w:after="120"/>
      </w:pPr>
      <w:r>
        <w:rPr>
          <w:rFonts w:ascii="Calibri" w:hAnsi="Calibri"/>
          <w:b/>
          <w:color w:val="35598C"/>
          <w:sz w:val="28"/>
        </w:rPr>
        <w:t>Epoch-Wise Training &amp; Validation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Train Loss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Train Acc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Train F1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Val Loss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Val Acc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Val F1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0.5212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32.36%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0.4305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0.5235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30.97%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0.4493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0.4123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43.24%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0.4971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0.4031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71.00%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0.6002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0.3085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61.92%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0.5571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0.2774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70.74%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0.6034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0.2591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68.74%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0.6101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0.2666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53.48%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0.5894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0.2276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72.01%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0.6279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0.2082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79.02%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0.6834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0.1993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74.78%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0.6522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0.1902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76.30%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0.6800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07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0.1719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77.36%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0.6958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0.1934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75.14%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0.6683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0.1476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80.75%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0.7220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0.1738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78.76%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0.7124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0.1358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81.39%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0.7584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0.1679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84.27%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0.7448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10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0.1263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82.97%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0.7704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0.1656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86.25%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0.7521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35598C"/>
          <w:sz w:val="28"/>
        </w:rPr>
        <w:t>Per-Class Evaluation Metrics (Full 13,414 PVELAD Images)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19"/>
              </w:rPr>
              <w:t>Class Name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Total Positives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left"/>
            </w:pPr>
            <w:r>
              <w:rPr>
                <w:sz w:val="19"/>
              </w:rPr>
              <w:t>crack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969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0.5380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0.9195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0.6789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0.9825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sz w:val="19"/>
              </w:rPr>
              <w:t>finger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1,505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0.8027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0.9734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0.8799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0.9969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left"/>
            </w:pPr>
            <w:r>
              <w:rPr>
                <w:sz w:val="19"/>
              </w:rPr>
              <w:t>black_core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1,011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0.9492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0.9990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0.9735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0.9999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sz w:val="19"/>
              </w:rPr>
              <w:t>thick_line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775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0.7642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0.9703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0.8550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0.9962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left"/>
            </w:pPr>
            <w:r>
              <w:rPr>
                <w:sz w:val="19"/>
              </w:rPr>
              <w:t>star_crack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123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0.3549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0.9350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0.5145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0.9917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sz w:val="19"/>
              </w:rPr>
              <w:t>other_defect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0.5455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0.3529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0.4286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0.9221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left"/>
            </w:pPr>
            <w:r>
              <w:rPr>
                <w:sz w:val="19"/>
              </w:rPr>
              <w:t>good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6,461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0.9703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0.9902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0.9802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9"/>
              </w:rPr>
              <w:t>0.9975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3,247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0.9911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0.9985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0.9948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9"/>
              </w:rPr>
              <w:t>1.0000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left"/>
            </w:pPr>
            <w:r>
              <w:rPr>
                <w:b/>
                <w:color w:val="102C57"/>
                <w:sz w:val="19"/>
              </w:rPr>
              <w:t>Macro Average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1,763 (Avg)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0.7395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0.8925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0.7882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9"/>
              </w:rPr>
              <w:t>0.9858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9. Benchmark Model Comparison</w:t>
      </w:r>
    </w:p>
    <w:p>
      <w:pPr>
        <w:spacing w:after="120" w:line="276" w:lineRule="auto"/>
      </w:pPr>
      <w:r>
        <w:rPr>
          <w:i w:val="0"/>
        </w:rPr>
        <w:t>To justify selecting EfficientNet-B0, we benchmarked it against standard alternative architectures (MobileNetV3-Large and ResNet-50):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GFLOPs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ONNX Size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Macro AUC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102C57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CPU Latency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left"/>
            </w:pPr>
            <w:r>
              <w:rPr>
                <w:sz w:val="18"/>
              </w:rPr>
              <w:t>MobileNetV3-Large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5.4 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0.22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21 MB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0.7214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0.9650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F4F6F9"/>
          </w:tcPr>
          <w:p>
            <w:pPr>
              <w:spacing w:after="40"/>
              <w:jc w:val="center"/>
            </w:pPr>
            <w:r>
              <w:rPr>
                <w:sz w:val="18"/>
              </w:rPr>
              <w:t>~110 ms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ResNet-50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25.6 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98 MB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0.7610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0.9780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  <w:t>~420 ms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left"/>
            </w:pPr>
            <w:r>
              <w:rPr>
                <w:b/>
                <w:color w:val="102C57"/>
                <w:sz w:val="18"/>
              </w:rPr>
              <w:t>EfficientNet-B0 (Ours)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4.02 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0.39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16 MB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0.7882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0.9858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60" w:type="dxa"/>
              <w:right w:w="60" w:type="dxa"/>
            </w:tcMar>
            <w:shd w:fill="E8F0FE"/>
          </w:tcPr>
          <w:p>
            <w:pPr>
              <w:spacing w:after="40"/>
              <w:jc w:val="center"/>
            </w:pPr>
            <w:r>
              <w:rPr>
                <w:b/>
                <w:color w:val="102C57"/>
                <w:sz w:val="18"/>
              </w:rPr>
              <w:t>140.60 ms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10. Detailed Explanation of Results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1. Convergence Dynamics: </w:t>
      </w:r>
      <w:r>
        <w:t>Training loss decreased smoothly from 0.5212 to 0.1263, while validation loss dropped from 0.5235 to 0.1656. Validation F1-score grew consistently from 0.4493 to 0.7521, proving that AdamW optimizer paired with Cosine Annealing learning rate scheduling prevented gradient instability.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2. Validation Accuracy: </w:t>
      </w:r>
      <w:r>
        <w:t>The model achieved an exact-match multi-label validation accuracy of 86.25% across all 8 target categories.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3. High Recall Safety Bias: </w:t>
      </w:r>
      <w:r>
        <w:t>Achieved exceptionally high recall for critical structural defects like crack (91.95%) and star_crack (93.50%). In solar PV manufacturing quality assurance, a high recall bias is mandatory. Passing a cracked solar cell into module lamination causes premature field failure under thermal expansion. Flagging a slight false positive simply sends the panel to human inspection, whereas a false negative destroys an entire module.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4. Rationale for Lower Precision in Micro-Cracks: </w:t>
      </w:r>
      <w:r>
        <w:t>Precision for crack (53.80%) and star_crack (35.49%) is lower because hairline cracks share visual micro-patterns with printed grid fingers under EL imaging. Setting conservative classification thresholds ensures zero micro-cracks slip into production.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5. Transfer Learning &amp; Augmentation Impact: </w:t>
      </w:r>
      <w:r>
        <w:t>ImageNet pre-trained weights allowed rapid feature abstraction on monochrome NIR images. Data augmentation prevented overfitting, enabling rare defect classes (e.g. other_defect with 17 samples) to achieve an ROC-AUC of 0.9221.</w:t>
      </w:r>
    </w:p>
    <w:p>
      <w:pPr>
        <w:keepNext/>
        <w:spacing w:before="360" w:after="160"/>
      </w:pPr>
      <w:r>
        <w:rPr>
          <w:rFonts w:ascii="Calibri" w:hAnsi="Calibri"/>
          <w:b/>
          <w:color w:val="102C57"/>
          <w:sz w:val="36"/>
        </w:rPr>
        <w:t>11. Conclusion &amp; Future Work</w:t>
      </w:r>
    </w:p>
    <w:p>
      <w:pPr>
        <w:spacing w:after="120" w:line="276" w:lineRule="auto"/>
      </w:pPr>
      <w:r>
        <w:rPr>
          <w:i w:val="0"/>
        </w:rPr>
        <w:t>In this case study review, EfficientNet-B0 was successfully implemented and evaluated for multi-label solar cell EL defect classification. Achieving a Macro ROC-AUC of 0.9858 and an average defect recall of 89.25% with only 4.02M parameters, the model proves highly suitable for edge AOI solar inspection.</w:t>
      </w:r>
    </w:p>
    <w:p>
      <w:pPr>
        <w:keepNext/>
        <w:spacing w:before="280" w:after="120"/>
      </w:pPr>
      <w:r>
        <w:rPr>
          <w:rFonts w:ascii="Calibri" w:hAnsi="Calibri"/>
          <w:b/>
          <w:color w:val="35598C"/>
          <w:sz w:val="28"/>
        </w:rPr>
        <w:t>Future Work &amp; Enhancements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1. INT8 Model Quantization: </w:t>
      </w:r>
      <w:r>
        <w:t>Quantize PyTorch weights to INT8 precision using ONNX Runtime Quantizer to reduce latency below 40 ms on edge CPUs.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2. TensorRT Acceleration: </w:t>
      </w:r>
      <w:r>
        <w:t>Compile the ONNX computational graph into TensorRT engines for deployment on NVIDIA Jetson embedded hardware (&gt;200 FPS).</w:t>
      </w:r>
    </w:p>
    <w:p>
      <w:pPr>
        <w:pStyle w:val="ListBullet"/>
        <w:spacing w:after="80" w:line="276" w:lineRule="auto"/>
      </w:pPr>
      <w:r>
        <w:rPr>
          <w:b/>
          <w:color w:val="102C57"/>
        </w:rPr>
        <w:t xml:space="preserve">3. Grad-CAM Explainable AI Integration: </w:t>
      </w:r>
      <w:r>
        <w:t>Integrate Grad-CAM visual heatmaps into the inspection GUI to highlight exact micro-crack bounding regions for human verification operators.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