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17985ba1e2e4f7e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p>
      <w:pPr>
        <w:jc w:val="center"/>
      </w:pPr>
      <w:r>
        <w:rPr>
          <w:lang w:val="en-US"/>
          <w:sz w:val="32"/>
          <w:szCs w:val="32"/>
          <w:b/>
        </w:rPr>
        <w:t>5. Commitments, Contingencies and Subsequent Events Questionnaire</w:t>
      </w:r>
    </w:p>
    <w:p>
      <w:pPr/>
    </w:p>
    <w:tbl>
      <w:tblPr>
        <w:tblStyle w:val="LightList-Accent1"/>
        <w:tblW w:w="5000" w:type="auto"/>
        <w:tblLook w:val="04A0"/>
      </w:tblPr>
      <w:tblGrid>
        <w:gridCol w:w="4510"/>
        <w:gridCol w:w="4510"/>
      </w:tblGrid>
      <w:tr>
        <w:tc>
          <w:tcPr>
            <w:tcW w:w="4510" w:type="dxa"/>
          </w:tcPr>
          <w:p>
            <w:pPr/>
            <w:r>
              <w:rPr>
                <w:b/>
              </w:rPr>
              <w:t>Client:</w:t>
            </w:r>
          </w:p>
        </w:tc>
        <w:tc>
          <w:tcPr>
            <w:tcW w:w="4510" w:type="dxa"/>
          </w:tcPr>
          <w:p>
            <w:pPr/>
            <w:r>
              <w:t>GBR Technologies</w:t>
            </w:r>
          </w:p>
        </w:tc>
      </w:tr>
      <w:tr>
        <w:tc>
          <w:tcPr>
            <w:tcW w:w="4510" w:type="dxa"/>
          </w:tcPr>
          <w:p>
            <w:pPr/>
            <w:r>
              <w:rPr>
                <w:b/>
              </w:rPr>
              <w:t>Audit No:</w:t>
            </w:r>
          </w:p>
        </w:tc>
        <w:tc>
          <w:tcPr>
            <w:tcW w:w="4510" w:type="dxa"/>
          </w:tcPr>
          <w:p>
            <w:pPr/>
            <w:r>
              <w:t>GBR25-2</w:t>
            </w:r>
          </w:p>
        </w:tc>
      </w:tr>
      <w:tr>
        <w:tc>
          <w:tcPr>
            <w:tcW w:w="4510" w:type="dxa"/>
          </w:tcPr>
          <w:p>
            <w:pPr/>
            <w:r>
              <w:rPr>
                <w:b/>
              </w:rPr>
              <w:t>Date:</w:t>
            </w:r>
          </w:p>
        </w:tc>
        <w:tc>
          <w:tcPr>
            <w:tcW w:w="4510" w:type="dxa"/>
          </w:tcPr>
          <w:p>
            <w:pPr/>
            <w:r>
              <w:t>09-Dec-25</w:t>
            </w:r>
          </w:p>
        </w:tc>
      </w:tr>
    </w:tbl>
    <w:p>
      <w:pPr/>
    </w:p>
    <w:p>
      <w:pPr>
        <w:spacing w:after="100"/>
      </w:pPr>
      <w:r>
        <w:rPr>
          <w:lang w:val="en-US"/>
          <w:b/>
          <w:sz w:val="24"/>
          <w:szCs w:val="24"/>
        </w:rPr>
        <w:t>Balance Sheet Date:</w:t>
      </w:r>
    </w:p>
    <w:p>
      <w:pPr>
        <w:spacing w:after="40"/>
      </w:pPr>
      <w:r>
        <w:rPr>
          <w:lang w:val="en-US"/>
          <w:sz w:val="22"/>
          <w:szCs w:val="22"/>
        </w:rPr>
        <w:t>Date</w:t>
      </w:r>
    </w:p>
    <w:p>
      <w:pPr>
        <w:spacing w:before="100" w:after="100"/>
      </w:pPr>
      <w:r>
        <w:rPr>
          <w:lang w:val="en-US"/>
        </w:rPr>
        <w:t>________________________________________________________________________________</w:t>
      </w:r>
    </w:p>
    <w:p>
      <w:pPr/>
    </w:p>
    <w:p>
      <w:pPr>
        <w:spacing w:after="100"/>
      </w:pPr>
      <w:r>
        <w:rPr>
          <w:lang w:val="en-US"/>
          <w:b/>
          <w:sz w:val="24"/>
          <w:szCs w:val="24"/>
        </w:rPr>
        <w:t>Management Responses.</w:t>
      </w:r>
    </w:p>
    <w:p>
      <w:pPr>
        <w:spacing w:after="40"/>
      </w:pPr>
      <w:r>
        <w:rPr>
          <w:lang w:val="en-US"/>
          <w:sz w:val="22"/>
          <w:szCs w:val="22"/>
        </w:rPr>
        <w:t>Completed by:   Name,                                                         Position</w:t>
      </w:r>
    </w:p>
    <w:p>
      <w:pPr>
        <w:spacing w:before="100" w:after="100"/>
      </w:pPr>
      <w:r>
        <w:rPr>
          <w:lang w:val="en-US"/>
        </w:rPr>
        <w:t>________________________________________________________________________________</w:t>
      </w:r>
    </w:p>
    <w:p>
      <w:pPr/>
    </w:p>
    <w:p>
      <w:pPr>
        <w:spacing w:after="100"/>
      </w:pPr>
      <w:r>
        <w:rPr>
          <w:lang w:val="en-US"/>
          <w:b/>
          <w:sz w:val="24"/>
          <w:szCs w:val="24"/>
        </w:rPr>
        <w:t>1)</w:t>
      </w:r>
      <w:r>
        <w:rPr>
          <w:lang w:val="en-US"/>
          <w:b/>
          <w:sz w:val="24"/>
          <w:szCs w:val="24"/>
        </w:rPr>
        <w:tab/>
      </w:r>
      <w:r>
        <w:rPr>
          <w:lang w:val="en-US"/>
          <w:b/>
          <w:sz w:val="24"/>
          <w:szCs w:val="24"/>
        </w:rPr>
        <w:t xml:space="preserve"> What procedures does management establish to ensure subsequent events are identified?</w:t>
      </w:r>
    </w:p>
    <w:p>
      <w:pPr>
        <w:spacing w:after="40"/>
      </w:pPr>
      <w:r>
        <w:rPr>
          <w:lang w:val="en-US"/>
          <w:sz w:val="22"/>
          <w:szCs w:val="22"/>
        </w:rPr>
        <w:t>...........................</w:t>
      </w:r>
    </w:p>
    <w:p>
      <w:pPr>
        <w:spacing w:before="100" w:after="100"/>
      </w:pPr>
      <w:r>
        <w:rPr>
          <w:lang w:val="en-US"/>
        </w:rPr>
        <w:t>________________________________________________________________________________</w:t>
      </w:r>
    </w:p>
    <w:p>
      <w:pPr/>
    </w:p>
    <w:p>
      <w:pPr>
        <w:spacing w:after="100"/>
      </w:pPr>
      <w:r>
        <w:rPr>
          <w:lang w:val="en-US"/>
          <w:b/>
          <w:sz w:val="24"/>
          <w:szCs w:val="24"/>
        </w:rPr>
        <w:t>2)</w:t>
      </w:r>
      <w:r>
        <w:rPr>
          <w:lang w:val="en-US"/>
          <w:b/>
          <w:sz w:val="24"/>
          <w:szCs w:val="24"/>
        </w:rPr>
        <w:tab/>
      </w:r>
      <w:r>
        <w:rPr>
          <w:lang w:val="en-US"/>
          <w:b/>
          <w:sz w:val="24"/>
          <w:szCs w:val="24"/>
        </w:rPr>
        <w:t xml:space="preserve"> Is there a subsequent event not disclosed in the consolidated financial statements that has occurred might affect the consolidated financial statements?</w:t>
      </w:r>
    </w:p>
    <w:p>
      <w:pPr>
        <w:spacing w:after="40"/>
      </w:pPr>
      <w:r>
        <w:rPr>
          <w:lang w:val="en-US"/>
          <w:sz w:val="22"/>
          <w:szCs w:val="22"/>
        </w:rPr>
        <w:t>NA</w:t>
      </w:r>
    </w:p>
    <w:p>
      <w:pPr>
        <w:spacing w:before="100" w:after="100"/>
      </w:pPr>
      <w:r>
        <w:rPr>
          <w:lang w:val="en-US"/>
        </w:rPr>
        <w:t>________________________________________________________________________________</w:t>
      </w:r>
    </w:p>
    <w:p>
      <w:pPr/>
    </w:p>
    <w:p>
      <w:pPr>
        <w:spacing w:after="100"/>
      </w:pPr>
      <w:r>
        <w:rPr>
          <w:lang w:val="en-US"/>
          <w:b/>
          <w:sz w:val="24"/>
          <w:szCs w:val="24"/>
        </w:rPr>
        <w:t>3)</w:t>
      </w:r>
      <w:r>
        <w:rPr>
          <w:lang w:val="en-US"/>
          <w:b/>
          <w:sz w:val="24"/>
          <w:szCs w:val="24"/>
        </w:rPr>
        <w:tab/>
      </w:r>
      <w:r>
        <w:rPr>
          <w:lang w:val="en-US"/>
          <w:b/>
          <w:sz w:val="24"/>
          <w:szCs w:val="24"/>
        </w:rPr>
        <w:t>Are there any decisions taken at meetings where the minutes are not yet available? If so, please describe.</w:t>
      </w:r>
    </w:p>
    <w:p>
      <w:pPr>
        <w:spacing w:after="40"/>
      </w:pPr>
      <w:r>
        <w:rPr>
          <w:lang w:val="en-US"/>
          <w:sz w:val="22"/>
          <w:szCs w:val="22"/>
        </w:rPr>
        <w:t>......................................</w:t>
      </w:r>
    </w:p>
    <w:p>
      <w:pPr>
        <w:spacing w:before="100" w:after="100"/>
      </w:pPr>
      <w:r>
        <w:rPr>
          <w:lang w:val="en-US"/>
        </w:rPr>
        <w:t>________________________________________________________________________________</w:t>
      </w:r>
    </w:p>
    <w:p>
      <w:pPr/>
    </w:p>
    <w:p>
      <w:pPr>
        <w:spacing w:after="100"/>
      </w:pPr>
      <w:r>
        <w:rPr>
          <w:lang w:val="en-US"/>
          <w:b/>
          <w:sz w:val="24"/>
          <w:szCs w:val="24"/>
        </w:rPr>
        <w:t>-</w:t>
      </w:r>
    </w:p>
    <w:p>
      <w:pPr>
        <w:spacing w:after="40"/>
      </w:pPr>
      <w:r>
        <w:rPr>
          <w:lang w:val="en-US"/>
          <w:sz w:val="22"/>
          <w:szCs w:val="22"/>
        </w:rPr>
        <w:t>4)</w:t>
      </w:r>
      <w:r>
        <w:rPr>
          <w:lang w:val="en-US"/>
          <w:sz w:val="22"/>
          <w:szCs w:val="22"/>
        </w:rPr>
        <w:tab/>
      </w:r>
      <w:r>
        <w:rPr>
          <w:lang w:val="en-US"/>
          <w:sz w:val="22"/>
          <w:szCs w:val="22"/>
        </w:rPr>
        <w:t>After ............................ through the date of your response, does ................................................(or the “Company”) have the following significant subsequent transactions occurred but were not disclosed?</w:t>
      </w:r>
    </w:p>
    <w:p>
      <w:pPr>
        <w:spacing w:after="40"/>
      </w:pPr>
      <w:r>
        <w:rPr>
          <w:lang w:val="en-US"/>
          <w:sz w:val="22"/>
          <w:szCs w:val="22"/>
        </w:rPr>
        <w:t>a.</w:t>
      </w:r>
      <w:r>
        <w:rPr>
          <w:lang w:val="en-US"/>
          <w:sz w:val="22"/>
          <w:szCs w:val="22"/>
        </w:rPr>
        <w:tab/>
      </w:r>
      <w:r>
        <w:rPr>
          <w:lang w:val="en-US"/>
          <w:sz w:val="22"/>
          <w:szCs w:val="22"/>
        </w:rPr>
        <w:t>New commitments, borrowings or guarantees have been entered into.</w:t>
      </w:r>
    </w:p>
    <w:p>
      <w:pPr>
        <w:spacing w:after="40"/>
      </w:pPr>
      <w:r>
        <w:rPr>
          <w:lang w:val="en-US"/>
          <w:sz w:val="22"/>
          <w:szCs w:val="22"/>
        </w:rPr>
        <w:t>b.</w:t>
      </w:r>
      <w:r>
        <w:rPr>
          <w:lang w:val="en-US"/>
          <w:sz w:val="22"/>
          <w:szCs w:val="22"/>
        </w:rPr>
        <w:tab/>
      </w:r>
      <w:r>
        <w:rPr>
          <w:lang w:val="en-US"/>
          <w:sz w:val="22"/>
          <w:szCs w:val="22"/>
        </w:rPr>
        <w:t>Sales or acquisitions of assets have occurred or are planned.</w:t>
      </w:r>
    </w:p>
    <w:p>
      <w:pPr>
        <w:spacing w:after="40"/>
      </w:pPr>
      <w:r>
        <w:rPr>
          <w:lang w:val="en-US"/>
          <w:sz w:val="22"/>
          <w:szCs w:val="22"/>
        </w:rPr>
        <w:t>c.</w:t>
      </w:r>
      <w:r>
        <w:rPr>
          <w:lang w:val="en-US"/>
          <w:sz w:val="22"/>
          <w:szCs w:val="22"/>
        </w:rPr>
        <w:tab/>
      </w:r>
      <w:r>
        <w:rPr>
          <w:lang w:val="en-US"/>
          <w:sz w:val="22"/>
          <w:szCs w:val="22"/>
        </w:rPr>
        <w:t>Increases in capital or issuance of debt instruments (new shares or debentures, or agreement to mergeGoliquidate made or planned).</w:t>
      </w:r>
    </w:p>
    <w:p>
      <w:pPr>
        <w:spacing w:after="40"/>
      </w:pPr>
      <w:r>
        <w:rPr>
          <w:lang w:val="en-US"/>
          <w:sz w:val="22"/>
          <w:szCs w:val="22"/>
        </w:rPr>
        <w:t>d.</w:t>
      </w:r>
      <w:r>
        <w:rPr>
          <w:lang w:val="en-US"/>
          <w:sz w:val="22"/>
          <w:szCs w:val="22"/>
        </w:rPr>
        <w:tab/>
      </w:r>
      <w:r>
        <w:rPr>
          <w:lang w:val="en-US"/>
          <w:sz w:val="22"/>
          <w:szCs w:val="22"/>
        </w:rPr>
        <w:t>Assets have been appropriated by government or destroyed (fire, flood, etc.).</w:t>
      </w:r>
    </w:p>
    <w:p>
      <w:pPr>
        <w:spacing w:after="40"/>
      </w:pPr>
      <w:r>
        <w:rPr>
          <w:lang w:val="en-US"/>
          <w:sz w:val="22"/>
          <w:szCs w:val="22"/>
        </w:rPr>
        <w:t>e.</w:t>
      </w:r>
      <w:r>
        <w:rPr>
          <w:lang w:val="en-US"/>
          <w:sz w:val="22"/>
          <w:szCs w:val="22"/>
        </w:rPr>
        <w:tab/>
      </w:r>
      <w:r>
        <w:rPr>
          <w:lang w:val="en-US"/>
          <w:sz w:val="22"/>
          <w:szCs w:val="22"/>
        </w:rPr>
        <w:t>Any developments regarding contingencies (such as the pending litigation or investigation).</w:t>
      </w:r>
    </w:p>
    <w:p>
      <w:pPr>
        <w:spacing w:after="40"/>
      </w:pPr>
      <w:r>
        <w:rPr>
          <w:lang w:val="en-US"/>
          <w:sz w:val="22"/>
          <w:szCs w:val="22"/>
        </w:rPr>
        <w:t>f.</w:t>
      </w:r>
      <w:r>
        <w:rPr>
          <w:lang w:val="en-US"/>
          <w:sz w:val="22"/>
          <w:szCs w:val="22"/>
        </w:rPr>
        <w:tab/>
      </w:r>
      <w:r>
        <w:rPr>
          <w:lang w:val="en-US"/>
          <w:sz w:val="22"/>
          <w:szCs w:val="22"/>
        </w:rPr>
        <w:t>Any unusual accounting adjustments have been made or are contemplated.</w:t>
      </w:r>
    </w:p>
    <w:p>
      <w:pPr>
        <w:spacing w:after="40"/>
      </w:pPr>
      <w:r>
        <w:rPr>
          <w:lang w:val="en-US"/>
          <w:sz w:val="22"/>
          <w:szCs w:val="22"/>
        </w:rPr>
        <w:t>g.</w:t>
      </w:r>
      <w:r>
        <w:rPr>
          <w:lang w:val="en-US"/>
          <w:sz w:val="22"/>
          <w:szCs w:val="22"/>
        </w:rPr>
        <w:tab/>
      </w:r>
      <w:r>
        <w:rPr>
          <w:lang w:val="en-US"/>
          <w:sz w:val="22"/>
          <w:szCs w:val="22"/>
        </w:rPr>
        <w:t>Any events have occurred or likely to occur that will bring into question the appropriateness of accounting policies used.</w:t>
      </w:r>
    </w:p>
    <w:p>
      <w:pPr>
        <w:spacing w:after="40"/>
      </w:pPr>
      <w:r>
        <w:rPr>
          <w:lang w:val="en-US"/>
          <w:sz w:val="22"/>
          <w:szCs w:val="22"/>
        </w:rPr>
        <w:t>h.</w:t>
      </w:r>
      <w:r>
        <w:rPr>
          <w:lang w:val="en-US"/>
          <w:sz w:val="22"/>
          <w:szCs w:val="22"/>
        </w:rPr>
        <w:tab/>
      </w:r>
      <w:r>
        <w:rPr>
          <w:lang w:val="en-US"/>
          <w:sz w:val="22"/>
          <w:szCs w:val="22"/>
        </w:rPr>
        <w:t>Any events have occurred that are relevant to the measurement of estimates or provisions made in the financial statements.</w:t>
      </w:r>
    </w:p>
    <w:p>
      <w:pPr>
        <w:spacing w:after="40"/>
      </w:pPr>
      <w:r>
        <w:rPr>
          <w:lang w:val="en-US"/>
          <w:sz w:val="22"/>
          <w:szCs w:val="22"/>
        </w:rPr>
        <w:t>i.</w:t>
      </w:r>
      <w:r>
        <w:rPr>
          <w:lang w:val="en-US"/>
          <w:sz w:val="22"/>
          <w:szCs w:val="22"/>
        </w:rPr>
        <w:tab/>
      </w:r>
      <w:r>
        <w:rPr>
          <w:lang w:val="en-US"/>
          <w:sz w:val="22"/>
          <w:szCs w:val="22"/>
        </w:rPr>
        <w:t>Any events have occurred that are relevant to the recoverability of assets.</w:t>
      </w:r>
    </w:p>
    <w:p>
      <w:pPr>
        <w:spacing w:after="40"/>
      </w:pPr>
      <w:r>
        <w:rPr>
          <w:lang w:val="en-US"/>
          <w:sz w:val="22"/>
          <w:szCs w:val="22"/>
        </w:rPr>
        <w:t>j.</w:t>
      </w:r>
      <w:r>
        <w:rPr>
          <w:lang w:val="en-US"/>
          <w:sz w:val="22"/>
          <w:szCs w:val="22"/>
        </w:rPr>
        <w:tab/>
      </w:r>
      <w:r>
        <w:rPr>
          <w:lang w:val="en-US"/>
          <w:sz w:val="22"/>
          <w:szCs w:val="22"/>
        </w:rPr>
        <w:t>Any changes in the Company’s related parties.</w:t>
      </w:r>
    </w:p>
    <w:p>
      <w:pPr>
        <w:spacing w:after="40"/>
      </w:pPr>
      <w:r>
        <w:rPr>
          <w:lang w:val="en-US"/>
          <w:sz w:val="22"/>
          <w:szCs w:val="22"/>
        </w:rPr>
        <w:t>k.</w:t>
      </w:r>
      <w:r>
        <w:rPr>
          <w:lang w:val="en-US"/>
          <w:sz w:val="22"/>
          <w:szCs w:val="22"/>
        </w:rPr>
        <w:tab/>
      </w:r>
      <w:r>
        <w:rPr>
          <w:lang w:val="en-US"/>
          <w:sz w:val="22"/>
          <w:szCs w:val="22"/>
        </w:rPr>
        <w:t>Any significant new related party transactions.</w:t>
      </w:r>
    </w:p>
    <w:p>
      <w:pPr/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  <w:footerReference w:type="even" r:id="R4186b41cbd3f47e9"/>
      <w:footerReference w:type="first" r:id="R6c8d56448722401b"/>
      <w:footerReference w:type="default" r:id="Rdf0124ca8d8a4c8b"/>
      <w:titlePg/>
    </w:sectPr>
  </w:body>
</w:document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72B" w:rsidRDefault="009D472B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72B" w:rsidRDefault="009D472B">
    <w:pPr>
      <w:pStyle w:val="footer"/>
    </w:pPr>
  </w:p>
  <w:p>
    <w:pPr>
      <w:jc w:val="center"/>
    </w:pPr>
    <w:r>
      <w:rPr>
        <w:lang w:val="en-US"/>
        <w:sz w:val="18"/>
        <w:szCs w:val="18"/>
      </w:rPr>
      <w:t>Generated on 09-Dec-2025 12:13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72B" w:rsidRDefault="009D472B">
    <w:pPr>
      <w:pStyle w:val="footer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  <w:style w:type="table" w:styleId="TableGrid">
    <w:name w:val="Table Grid"/>
    <w:basedOn w:val="TableNormal"/>
    <w:uiPriority w:val="59"/>
    <w:rsid w:val="008D011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-Accent1">
    <w:name w:val="Light List Accent 1"/>
    <w:basedOn w:val="TableNormal"/>
    <w:uiPriority w:val="61"/>
    <w:rsid w:val="00E14F8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7efddfcc56204621" /><Relationship Type="http://schemas.openxmlformats.org/officeDocument/2006/relationships/numbering" Target="/word/numbering.xml" Id="Rc8274f74cccd4fbf" /><Relationship Type="http://schemas.openxmlformats.org/officeDocument/2006/relationships/settings" Target="/word/settings.xml" Id="R65f1cfd5fd224b71" /><Relationship Type="http://schemas.openxmlformats.org/officeDocument/2006/relationships/footer" Target="/word/footer1.xml" Id="R4186b41cbd3f47e9" /><Relationship Type="http://schemas.openxmlformats.org/officeDocument/2006/relationships/footer" Target="/word/footer2.xml" Id="R6c8d56448722401b" /><Relationship Type="http://schemas.openxmlformats.org/officeDocument/2006/relationships/footer" Target="/word/footer3.xml" Id="Rdf0124ca8d8a4c8b" /></Relationships>
</file>