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Enterprise Q3 Remote Work and Home Office Technology Policy</w:t>
      </w:r>
    </w:p>
    <w:p>
      <w:r>
        <w:t>Section 1: Workstation Setup Stipend. All full-time employees are eligible for an annual ergonomics equipment reimbursement up to 25,000 INR.</w:t>
      </w:r>
    </w:p>
    <w:p>
      <w:r>
        <w:t>Section 2: High-Speed Internet Allowance. Monthly broadband subsidies of 2,500 INR are credited directly through corporate payroll upon proof of ISP invoice.</w:t>
      </w:r>
    </w:p>
    <w:p>
      <w:r>
        <w:t>Section 3: Mandatory Cyber Security Controls. Home routers must use WPA3 or AES-encrypted WPA2. Default router administrator passwords must be replaced immediately.</w:t>
      </w:r>
    </w:p>
  </w:body>
</w:document>
</file>