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E5C4F"/>
          <w:sz w:val="36"/>
          <w:szCs w:val="36"/>
        </w:rPr>
        <w:t xml:space="preserve">DECISION MATRIX FOR PRE-TRAINED MODEL SELECTION</w:t>
      </w:r>
    </w:p>
    <w:p>
      <w:pPr>
        <w:spacing w:after="320"/>
      </w:pPr>
      <w:r>
        <w:rPr>
          <w:rFonts w:ascii="Arial" w:cs="Arial" w:eastAsia="Arial" w:hAnsi="Arial"/>
          <w:i/>
          <w:iCs/>
          <w:color w:val="595959"/>
          <w:sz w:val="22"/>
          <w:szCs w:val="22"/>
        </w:rPr>
        <w:t xml:space="preserve">Comparing trade-offs across NLP, Computer Vision, and Tabular domains</w:t>
      </w:r>
    </w:p>
    <w:p>
      <w:pPr>
        <w:pStyle w:val="Heading1"/>
      </w:pPr>
      <w:r>
        <w:t xml:space="preserve">Introduction</w:t>
      </w:r>
    </w:p>
    <w:p>
      <w:pPr>
        <w:spacing w:after="160" w:line="276"/>
      </w:pPr>
      <w:r>
        <w:rPr>
          <w:rFonts w:ascii="Arial" w:cs="Arial" w:eastAsia="Arial" w:hAnsi="Arial"/>
          <w:sz w:val="22"/>
          <w:szCs w:val="22"/>
        </w:rPr>
        <w:t xml:space="preserve">Selecting a pre-trained model is rarely a search for the single “best” option — it is a negotiation between competing constraints. A model's accuracy on a benchmark says little about whether it will run within a mobile app's memory budget, meet a real-time API's latency SLA, or remain interpretable enough for a regulated decision. These trade-offs become sharper, not simpler, as models scale: state-of-the-art accuracy increasingly comes bundled with parameter counts and compute requirements that are impractical for edge devices, cost-sensitive deployments, or latency-critical services.</w:t>
      </w:r>
    </w:p>
    <w:p>
      <w:pPr>
        <w:spacing w:after="160" w:line="276"/>
      </w:pPr>
      <w:r>
        <w:rPr>
          <w:rFonts w:ascii="Arial" w:cs="Arial" w:eastAsia="Arial" w:hAnsi="Arial"/>
          <w:sz w:val="22"/>
          <w:szCs w:val="22"/>
        </w:rPr>
        <w:t xml:space="preserve">Explainability adds a further dimension that pure performance metrics omit. A gradient-boosted tree model can expose feature-level importances; a 1.5-billion-parameter transformer largely cannot, at least not natively. For domains like supply chain planning, finance, or healthcare — where a wrong or unexplainable prediction has real operational and compliance consequences — this is not a secondary concern. It can be the deciding factor between two models with otherwise similar accuracy.</w:t>
      </w:r>
    </w:p>
    <w:p>
      <w:pPr>
        <w:spacing w:after="200" w:line="276"/>
      </w:pPr>
      <w:r>
        <w:rPr>
          <w:rFonts w:ascii="Arial" w:cs="Arial" w:eastAsia="Arial" w:hAnsi="Arial"/>
          <w:sz w:val="22"/>
          <w:szCs w:val="22"/>
        </w:rPr>
        <w:t xml:space="preserve">This document presents a structured comparison of four pre-trained models spanning NLP/Generative AI, Computer Vision, and Tabular data, with the explicit goal of making these trade-offs visible and decision-ready rather than burying them in benchmark tables.</w:t>
      </w:r>
    </w:p>
    <w:p>
      <w:pPr>
        <w:pStyle w:val="Heading1"/>
      </w:pPr>
      <w:r>
        <w:t xml:space="preserve">Methodology</w:t>
      </w:r>
    </w:p>
    <w:p>
      <w:pPr>
        <w:pStyle w:val="Heading2"/>
      </w:pPr>
      <w:r>
        <w:t xml:space="preserve">Model Selection</w:t>
      </w:r>
    </w:p>
    <w:p>
      <w:pPr>
        <w:spacing w:after="160" w:line="276"/>
      </w:pPr>
      <w:r>
        <w:rPr>
          <w:rFonts w:ascii="Arial" w:cs="Arial" w:eastAsia="Arial" w:hAnsi="Arial"/>
          <w:sz w:val="22"/>
          <w:szCs w:val="22"/>
        </w:rPr>
        <w:t xml:space="preserve">Four models were selected to span three domains relevant to enterprise AI/ML work and to represent meaningfully different points on the size-accuracy-speed spectrum within their domains:</w:t>
      </w:r>
    </w:p>
    <w:p>
      <w:pPr>
        <w:pStyle w:val="ListParagraph"/>
        <w:numPr>
          <w:ilvl w:val="0"/>
          <w:numId w:val="2"/>
        </w:numPr>
        <w:spacing w:after="100" w:line="276"/>
      </w:pPr>
      <w:r>
        <w:rPr>
          <w:rFonts w:ascii="Arial" w:cs="Arial" w:eastAsia="Arial" w:hAnsi="Arial"/>
          <w:sz w:val="22"/>
          <w:szCs w:val="22"/>
        </w:rPr>
        <w:t xml:space="preserve">GPT-2 (1.5B parameters) — NLP / Generative AI, representing a larger generative transformer.</w:t>
      </w:r>
    </w:p>
    <w:p>
      <w:pPr>
        <w:pStyle w:val="ListParagraph"/>
        <w:numPr>
          <w:ilvl w:val="0"/>
          <w:numId w:val="2"/>
        </w:numPr>
        <w:spacing w:after="100" w:line="276"/>
      </w:pPr>
      <w:r>
        <w:rPr>
          <w:rFonts w:ascii="Arial" w:cs="Arial" w:eastAsia="Arial" w:hAnsi="Arial"/>
          <w:sz w:val="22"/>
          <w:szCs w:val="22"/>
        </w:rPr>
        <w:t xml:space="preserve">BERT-base (110M parameters) — NLP / Generative AI, representing a compact encoder model widely used as the reference baseline for efficient NLP.</w:t>
      </w:r>
    </w:p>
    <w:p>
      <w:pPr>
        <w:pStyle w:val="ListParagraph"/>
        <w:numPr>
          <w:ilvl w:val="0"/>
          <w:numId w:val="2"/>
        </w:numPr>
        <w:spacing w:after="100" w:line="276"/>
      </w:pPr>
      <w:r>
        <w:rPr>
          <w:rFonts w:ascii="Arial" w:cs="Arial" w:eastAsia="Arial" w:hAnsi="Arial"/>
          <w:sz w:val="22"/>
          <w:szCs w:val="22"/>
        </w:rPr>
        <w:t xml:space="preserve">EfficientNet-B0 — Computer Vision, representing a compound-scaled CNN designed specifically to optimize the accuracy-per-parameter trade-off.</w:t>
      </w:r>
    </w:p>
    <w:p>
      <w:pPr>
        <w:pStyle w:val="ListParagraph"/>
        <w:numPr>
          <w:ilvl w:val="0"/>
          <w:numId w:val="2"/>
        </w:numPr>
        <w:spacing w:after="100" w:line="276"/>
      </w:pPr>
      <w:r>
        <w:rPr>
          <w:rFonts w:ascii="Arial" w:cs="Arial" w:eastAsia="Arial" w:hAnsi="Arial"/>
          <w:sz w:val="22"/>
          <w:szCs w:val="22"/>
        </w:rPr>
        <w:t xml:space="preserve">MobileNetV2 — Computer Vision, representing an architecture purpose-built for mobile and edge deployment.</w:t>
      </w:r>
    </w:p>
    <w:p>
      <w:pPr>
        <w:pStyle w:val="ListParagraph"/>
        <w:numPr>
          <w:ilvl w:val="0"/>
          <w:numId w:val="2"/>
        </w:numPr>
        <w:spacing w:after="100" w:line="276"/>
      </w:pPr>
      <w:r>
        <w:rPr>
          <w:rFonts w:ascii="Arial" w:cs="Arial" w:eastAsia="Arial" w:hAnsi="Arial"/>
          <w:sz w:val="22"/>
          <w:szCs w:val="22"/>
        </w:rPr>
        <w:t xml:space="preserve">XGBoost — Tabular data, representing the dominant approach for structured/tabular prediction tasks and providing a non-neural contrast point on interpretability.</w:t>
      </w:r>
    </w:p>
    <w:p>
      <w:pPr>
        <w:spacing w:after="200"/>
      </w:pPr>
    </w:p>
    <w:p>
      <w:pPr>
        <w:pStyle w:val="Heading2"/>
      </w:pPr>
      <w:r>
        <w:t xml:space="preserve">Data Collection</w:t>
      </w:r>
    </w:p>
    <w:p>
      <w:pPr>
        <w:spacing w:after="160" w:line="276"/>
      </w:pPr>
      <w:r>
        <w:rPr>
          <w:rFonts w:ascii="Arial" w:cs="Arial" w:eastAsia="Arial" w:hAnsi="Arial"/>
          <w:sz w:val="22"/>
          <w:szCs w:val="22"/>
        </w:rPr>
        <w:t xml:space="preserve">Model size (parameter count), accuracy, and inference speed figures were gathered from each model's original publication and widely-cited public benchmarks: the GLUE benchmark leaderboard and original BERT paper (Devlin et al., 2018) for BERT-base; the original GPT-2 technical report (Radford et al., 2019) for GPT-2; the EfficientNet paper (Tan &amp; Le, 2019) and ImageNet benchmark results for EfficientNet-B0; the MobileNetV2 paper (Sandler et al., 2018) and ImageNet results for MobileNetV2; and standard XGBoost documentation and published Kaggle/industry benchmarks for XGBoost, where accuracy is inherently dataset-dependent rather than fixed by a single leaderboard.</w:t>
      </w:r>
    </w:p>
    <w:p>
      <w:pPr>
        <w:spacing w:after="200" w:line="276"/>
      </w:pPr>
      <w:r>
        <w:rPr>
          <w:rFonts w:ascii="Arial" w:cs="Arial" w:eastAsia="Arial" w:hAnsi="Arial"/>
          <w:sz w:val="22"/>
          <w:szCs w:val="22"/>
        </w:rPr>
        <w:t xml:space="preserve">Inference latency figures are representative single-sample, CPU/edge-class measurements drawn from publicly reported benchmarks rather than a single controlled experiment; they are intended to communicate relative ordering (which models are meaningfully faster or slower) rather than to serve as precise production SLAs, since actual latency depends heavily on hardware, batch size, and quantization choices.</w:t>
      </w:r>
    </w:p>
    <w:p>
      <w:pPr>
        <w:pStyle w:val="Heading1"/>
      </w:pPr>
      <w:r>
        <w:t xml:space="preserve">Trade-Off Analysis</w:t>
      </w:r>
    </w:p>
    <w:p>
      <w:pPr>
        <w:spacing w:after="160" w:line="276"/>
      </w:pPr>
      <w:r>
        <w:rPr>
          <w:rFonts w:ascii="Arial" w:cs="Arial" w:eastAsia="Arial" w:hAnsi="Arial"/>
          <w:sz w:val="22"/>
          <w:szCs w:val="22"/>
        </w:rPr>
        <w:t xml:space="preserve">Across all three domains, the same pattern holds: the smallest, fastest model in each domain (MobileNetV2 in vision; XGBoost in tabular) is not the most accurate, and the largest model (GPT-2) is the slowest and most resource-intensive by a wide margin. Accuracy, size, and speed behave as a genuine three-way trade-off rather than a ranking that one model can dominate.</w:t>
      </w:r>
    </w:p>
    <w:p>
      <w:pPr>
        <w:spacing w:after="160" w:line="276"/>
      </w:pPr>
      <w:r>
        <w:rPr>
          <w:rFonts w:ascii="Arial" w:cs="Arial" w:eastAsia="Arial" w:hAnsi="Arial"/>
          <w:sz w:val="22"/>
          <w:szCs w:val="22"/>
        </w:rPr>
        <w:t xml:space="preserve">Within NLP, BERT-base outperforms GPT-2 on discriminative tasks (classification, NER) at roughly 7% of the parameter count, because the two models are optimized for different jobs — BERT for understanding fixed input, GPT-2 for generating open-ended text. This is a reminder that “accuracy” is not comparable across models with different objectives without first matching the task.</w:t>
      </w:r>
    </w:p>
    <w:p>
      <w:pPr>
        <w:spacing w:after="160" w:line="276"/>
      </w:pPr>
      <w:r>
        <w:rPr>
          <w:rFonts w:ascii="Arial" w:cs="Arial" w:eastAsia="Arial" w:hAnsi="Arial"/>
          <w:sz w:val="22"/>
          <w:szCs w:val="22"/>
        </w:rPr>
        <w:t xml:space="preserve">Within Computer Vision, EfficientNet-B0 and MobileNetV2 illustrate a cleaner apples-to-apples trade-off: EfficientNet-B0 trades roughly 1.6x the parameters of MobileNetV2 for about 5 percentage points of ImageNet top-1 accuracy. Whether that trade is worth making depends entirely on the deployment target — a cloud inference endpoint can usually absorb it; a battery-powered edge device may not be able to.</w:t>
      </w:r>
    </w:p>
    <w:p>
      <w:pPr>
        <w:spacing w:after="200" w:line="276"/>
      </w:pPr>
      <w:r>
        <w:rPr>
          <w:rFonts w:ascii="Arial" w:cs="Arial" w:eastAsia="Arial" w:hAnsi="Arial"/>
          <w:sz w:val="22"/>
          <w:szCs w:val="22"/>
        </w:rPr>
        <w:t xml:space="preserve">XGBoost stands apart on explainability rather than raw performance. Its feature importances and SHAP-compatible structure give it a transparency advantage that none of the neural models on this list match without additional tooling (e.g., LIME, SHAP, attention visualization) — making it the default choice in domains where a model's reasoning must be auditable, not just accurate.</w:t>
      </w:r>
    </w:p>
    <w:p>
      <w:pPr>
        <w:pStyle w:val="Heading1"/>
      </w:pPr>
      <w:r>
        <w:t xml:space="preserve">Decision Matrix</w:t>
      </w:r>
    </w:p>
    <w:p>
      <w:pPr>
        <w:spacing w:after="200" w:line="276"/>
      </w:pPr>
      <w:r>
        <w:rPr>
          <w:rFonts w:ascii="Arial" w:cs="Arial" w:eastAsia="Arial" w:hAnsi="Arial"/>
          <w:sz w:val="22"/>
          <w:szCs w:val="22"/>
        </w:rPr>
        <w:t xml:space="preserve">The matrix below scores each model across the three core criteria plus a column for additional considerations relevant to deployment decisions. Color tint indicates domain: amber for NLP/Generative AI, teal for Computer Vision, violet for Tabular.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3060"/>
      </w:tblGrid>
      <w:tr>
        <w:trPr>
          <w:tblHeader/>
        </w:trPr>
        <w:tc>
          <w:tcPr>
            <w:tcW w:type="dxa" w:w="1500"/>
            <w:tcBorders>
              <w:top w:val="single" w:color="CCCCCC" w:sz="1"/>
              <w:left w:val="single" w:color="CCCCCC" w:sz="1"/>
              <w:bottom w:val="single" w:color="CCCCCC" w:sz="1"/>
              <w:right w:val="single" w:color="CCCCCC" w:sz="1"/>
            </w:tcBorders>
            <w:shd w:fill="2E5C4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2E5C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Size (Params)</w:t>
            </w:r>
          </w:p>
        </w:tc>
        <w:tc>
          <w:tcPr>
            <w:tcW w:type="dxa" w:w="1600"/>
            <w:tcBorders>
              <w:top w:val="single" w:color="CCCCCC" w:sz="1"/>
              <w:left w:val="single" w:color="CCCCCC" w:sz="1"/>
              <w:bottom w:val="single" w:color="CCCCCC" w:sz="1"/>
              <w:right w:val="single" w:color="CCCCCC" w:sz="1"/>
            </w:tcBorders>
            <w:shd w:fill="2E5C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w:t>
            </w:r>
          </w:p>
        </w:tc>
        <w:tc>
          <w:tcPr>
            <w:tcW w:type="dxa" w:w="1600"/>
            <w:tcBorders>
              <w:top w:val="single" w:color="CCCCCC" w:sz="1"/>
              <w:left w:val="single" w:color="CCCCCC" w:sz="1"/>
              <w:bottom w:val="single" w:color="CCCCCC" w:sz="1"/>
              <w:right w:val="single" w:color="CCCCCC" w:sz="1"/>
            </w:tcBorders>
            <w:shd w:fill="2E5C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Inference Speed</w:t>
            </w:r>
          </w:p>
        </w:tc>
        <w:tc>
          <w:tcPr>
            <w:tcW w:type="dxa" w:w="3060"/>
            <w:tcBorders>
              <w:top w:val="single" w:color="CCCCCC" w:sz="1"/>
              <w:left w:val="single" w:color="CCCCCC" w:sz="1"/>
              <w:bottom w:val="single" w:color="CCCCCC" w:sz="1"/>
              <w:right w:val="single" w:color="CCCCCC" w:sz="1"/>
            </w:tcBorders>
            <w:shd w:fill="2E5C4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Additional Considerations</w:t>
            </w:r>
          </w:p>
        </w:tc>
      </w:tr>
      <w:tr>
        <w:tc>
          <w:tcPr>
            <w:tcW w:type="dxa" w:w="1500"/>
            <w:tcBorders>
              <w:top w:val="single" w:color="CCCCCC" w:sz="1"/>
              <w:left w:val="single" w:color="CCCCCC" w:sz="1"/>
              <w:bottom w:val="single" w:color="CCCCCC" w:sz="1"/>
              <w:right w:val="single" w:color="CCCCCC" w:sz="1"/>
            </w:tcBorders>
            <w:shd w:fill="FBF1E4"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GPT-2 (1.5B)</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1.5B params</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Strong generative fluency; not GLUE-comparable</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Slowest of the four — high compute cost per token</w:t>
            </w:r>
          </w:p>
        </w:tc>
        <w:tc>
          <w:tcPr>
            <w:tcW w:type="dxa" w:w="30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Best suited to open-ended generation tasks, not classification. Largest memory footprint; impractical for edge deployment.</w:t>
            </w:r>
          </w:p>
        </w:tc>
      </w:tr>
      <w:tr>
        <w:tc>
          <w:tcPr>
            <w:tcW w:type="dxa" w:w="1500"/>
            <w:tcBorders>
              <w:top w:val="single" w:color="CCCCCC" w:sz="1"/>
              <w:left w:val="single" w:color="CCCCCC" w:sz="1"/>
              <w:bottom w:val="single" w:color="CCCCCC" w:sz="1"/>
              <w:right w:val="single" w:color="CCCCCC" w:sz="1"/>
            </w:tcBorders>
            <w:shd w:fill="FBF1E4"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BERT-base</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110M params</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~79.1 GLUE avg.</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Moderate — viable for server-side real-time use</w:t>
            </w:r>
          </w:p>
        </w:tc>
        <w:tc>
          <w:tcPr>
            <w:tcW w:type="dxa" w:w="30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Strong default for classification, NER, and retrieval. Needs fine-tuning per task; not generative.</w:t>
            </w:r>
          </w:p>
        </w:tc>
      </w:tr>
      <w:tr>
        <w:tc>
          <w:tcPr>
            <w:tcW w:type="dxa" w:w="1500"/>
            <w:tcBorders>
              <w:top w:val="single" w:color="CCCCCC" w:sz="1"/>
              <w:left w:val="single" w:color="CCCCCC" w:sz="1"/>
              <w:bottom w:val="single" w:color="CCCCCC" w:sz="1"/>
              <w:right w:val="single" w:color="CCCCCC" w:sz="1"/>
            </w:tcBorders>
            <w:shd w:fill="E7F1EF"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EfficientNet-B0</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5.3M params</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77.1% top-1 (ImageNet)</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Fast — optimized accuracy-per-FLOP</w:t>
            </w:r>
          </w:p>
        </w:tc>
        <w:tc>
          <w:tcPr>
            <w:tcW w:type="dxa" w:w="30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Best accuracy-to-size ratio in this set for vision. Good cloud or mid-tier edge fit.</w:t>
            </w:r>
          </w:p>
        </w:tc>
      </w:tr>
      <w:tr>
        <w:tc>
          <w:tcPr>
            <w:tcW w:type="dxa" w:w="1500"/>
            <w:tcBorders>
              <w:top w:val="single" w:color="CCCCCC" w:sz="1"/>
              <w:left w:val="single" w:color="CCCCCC" w:sz="1"/>
              <w:bottom w:val="single" w:color="CCCCCC" w:sz="1"/>
              <w:right w:val="single" w:color="CCCCCC" w:sz="1"/>
            </w:tcBorders>
            <w:shd w:fill="E7F1EF"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MobileNetV2</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3.4M params</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72.0% top-1 (ImageNet)</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Fastest vision model — built for mobile/edge</w:t>
            </w:r>
          </w:p>
        </w:tc>
        <w:tc>
          <w:tcPr>
            <w:tcW w:type="dxa" w:w="30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Smallest vision footprint here. Accepts an accuracy trade-off explicitly to fit on-device.</w:t>
            </w:r>
          </w:p>
        </w:tc>
      </w:tr>
      <w:tr>
        <w:tc>
          <w:tcPr>
            <w:tcW w:type="dxa" w:w="1500"/>
            <w:tcBorders>
              <w:top w:val="single" w:color="CCCCCC" w:sz="1"/>
              <w:left w:val="single" w:color="CCCCCC" w:sz="1"/>
              <w:bottom w:val="single" w:color="CCCCCC" w:sz="1"/>
              <w:right w:val="single" w:color="CCCCCC" w:sz="1"/>
            </w:tcBorders>
            <w:shd w:fill="EDEAF5"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XGBoost</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1–50MB (task-dep.)</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Task-dependent; no universal benchmark</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Near-instant — sub-millisecond typical</w:t>
            </w:r>
          </w:p>
        </w:tc>
        <w:tc>
          <w:tcPr>
            <w:tcW w:type="dxa" w:w="30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9"/>
                <w:szCs w:val="19"/>
              </w:rPr>
              <w:t xml:space="preserve">Highest native interpretability (feature importance, SHAP-ready). Default for structured/tabular prediction; not applicable to text or image inputs.</w:t>
            </w:r>
          </w:p>
        </w:tc>
      </w:tr>
    </w:tbl>
    <w:p>
      <w:pPr>
        <w:spacing w:before="240"/>
      </w:pPr>
    </w:p>
    <w:p>
      <w:pPr>
        <w:pStyle w:val="Heading1"/>
      </w:pPr>
      <w:r>
        <w:t xml:space="preserve">Analysis and Recommendations</w:t>
      </w:r>
    </w:p>
    <w:p>
      <w:pPr>
        <w:pStyle w:val="Heading2"/>
      </w:pPr>
      <w:r>
        <w:t xml:space="preserve">NLP / Generative AI</w:t>
      </w:r>
    </w:p>
    <w:p>
      <w:pPr>
        <w:spacing w:after="160" w:line="276"/>
      </w:pPr>
      <w:r>
        <w:rPr>
          <w:rFonts w:ascii="Arial" w:cs="Arial" w:eastAsia="Arial" w:hAnsi="Arial"/>
          <w:sz w:val="22"/>
          <w:szCs w:val="22"/>
        </w:rPr>
        <w:t xml:space="preserve">Use BERT-base (or a similarly-sized encoder) when the task is classification, extraction, or retrieval and latency or deployment footprint matters — it covers the large majority of enterprise NLP use cases at a fraction of GPT-2's cost. Reserve GPT-2-class generative models for tasks that genuinely require open-ended text generation; the larger footprint is the price of that capability, not a sign the smaller model is simply worse.</w:t>
      </w:r>
    </w:p>
    <w:p>
      <w:pPr>
        <w:pStyle w:val="Heading2"/>
      </w:pPr>
      <w:r>
        <w:t xml:space="preserve">Computer Vision</w:t>
      </w:r>
    </w:p>
    <w:p>
      <w:pPr>
        <w:spacing w:after="160" w:line="276"/>
      </w:pPr>
      <w:r>
        <w:rPr>
          <w:rFonts w:ascii="Arial" w:cs="Arial" w:eastAsia="Arial" w:hAnsi="Arial"/>
          <w:sz w:val="22"/>
          <w:szCs w:val="22"/>
        </w:rPr>
        <w:t xml:space="preserve">Use MobileNetV2 when the deployment target is a phone, IoT device, or any environment with a hard memory/power budget, and the accuracy gap is acceptable for the task. Use EfficientNet-B0 when running in the cloud or on capable edge hardware where the extra ~5 points of accuracy justify the larger — but still modest — footprint. Neither model should be the default choice for tasks requiring near state-of-the-art accuracy regardless of cost; that calls for a larger backbone outside this comparison set.</w:t>
      </w:r>
    </w:p>
    <w:p>
      <w:pPr>
        <w:pStyle w:val="Heading2"/>
      </w:pPr>
      <w:r>
        <w:t xml:space="preserve">Tabular</w:t>
      </w:r>
    </w:p>
    <w:p>
      <w:pPr>
        <w:spacing w:after="200" w:line="276"/>
      </w:pPr>
      <w:r>
        <w:rPr>
          <w:rFonts w:ascii="Arial" w:cs="Arial" w:eastAsia="Arial" w:hAnsi="Arial"/>
          <w:sz w:val="22"/>
          <w:szCs w:val="22"/>
        </w:rPr>
        <w:t xml:space="preserve">Use XGBoost (or a similar gradient-boosted tree model) as the default for structured/tabular prediction problems — demand forecasting, churn, credit risk, and similar use cases — unless the dataset has properties (very high dimensionality, unstructured features, sequential dependencies) that specifically favor a neural approach. Its combination of speed, small footprint, and native interpretability is difficult for any neural model on this list to match for tabular data specifically.</w:t>
      </w:r>
    </w:p>
    <w:p>
      <w:pPr>
        <w:pStyle w:val="Heading1"/>
      </w:pPr>
      <w:r>
        <w:t xml:space="preserve">Conclusion</w:t>
      </w:r>
    </w:p>
    <w:p>
      <w:pPr>
        <w:spacing w:after="160" w:line="276"/>
      </w:pPr>
      <w:r>
        <w:rPr>
          <w:rFonts w:ascii="Arial" w:cs="Arial" w:eastAsia="Arial" w:hAnsi="Arial"/>
          <w:sz w:val="22"/>
          <w:szCs w:val="22"/>
        </w:rPr>
        <w:t xml:space="preserve">Across NLP, vision, and tabular domains, no model in this comparison wins on every axis — and that is the central, generalizable insight. Model size, accuracy, and inference speed form a genuine three-way trade-off, and the “right” model is defined by the deployment constraints and explainability requirements of the use case, not by a single leaderboard ranking.</w:t>
      </w:r>
    </w:p>
    <w:p>
      <w:pPr>
        <w:spacing w:after="160" w:line="276"/>
      </w:pPr>
      <w:r>
        <w:rPr>
          <w:rFonts w:ascii="Arial" w:cs="Arial" w:eastAsia="Arial" w:hAnsi="Arial"/>
          <w:sz w:val="22"/>
          <w:szCs w:val="22"/>
        </w:rPr>
        <w:t xml:space="preserve">The practical implication for model selection is to make these trade-offs explicit and weighted before comparing candidates, rather than defaulting to the highest-accuracy option and discovering the size or latency problem after deployment. The decision matrix and accompanying interactive comparison tool (submitted alongside this document) is built around that principle: it asks the user to state what matters — size, accuracy, or speed — before producing a ranking, surfacing the trade-off rather than hiding it behind a single composite score.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Karthik Ram Senthilvel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Pre-Trained Model Selection — Decision Matrix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4F" w:sz="6" w:space="4"/>
      </w:pBdr>
      <w:spacing w:after="160" w:before="320"/>
      <w:outlineLvl w:val="0"/>
    </w:pPr>
    <w:rPr>
      <w:rFonts w:ascii="Arial" w:cs="Arial" w:eastAsia="Arial" w:hAnsi="Arial"/>
      <w:b/>
      <w:bCs/>
      <w:color w:val="2E5C4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2026-06-19T17:31:20.420Z</dcterms:created>
  <dcterms:modified xsi:type="dcterms:W3CDTF">2026-06-19T17:31:20.420Z</dcterms:modified>
</cp:coreProperties>
</file>

<file path=docProps/custom.xml><?xml version="1.0" encoding="utf-8"?>
<Properties xmlns="http://schemas.openxmlformats.org/officeDocument/2006/custom-properties" xmlns:vt="http://schemas.openxmlformats.org/officeDocument/2006/docPropsVTypes"/>
</file>