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8069E" w14:textId="7AB31DA0" w:rsidR="00EA4892" w:rsidRPr="00EA4892" w:rsidRDefault="00EA4892" w:rsidP="00EA4892">
      <w:pPr>
        <w:rPr>
          <w:rFonts w:ascii="Times New Roman" w:hAnsi="Times New Roman" w:cs="Times New Roman"/>
          <w:b/>
          <w:bCs/>
          <w:sz w:val="28"/>
          <w:szCs w:val="28"/>
        </w:rPr>
      </w:pPr>
      <w:r w:rsidRPr="00EA4892">
        <w:rPr>
          <w:rFonts w:ascii="Times New Roman" w:hAnsi="Times New Roman" w:cs="Times New Roman"/>
          <w:b/>
          <w:bCs/>
          <w:sz w:val="28"/>
          <w:szCs w:val="28"/>
        </w:rPr>
        <w:t>Drone Regulations in India</w:t>
      </w:r>
    </w:p>
    <w:p w14:paraId="63BCE783" w14:textId="44847338"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I</w:t>
      </w:r>
      <w:r w:rsidRPr="00EA4892">
        <w:rPr>
          <w:rFonts w:ascii="Times New Roman" w:hAnsi="Times New Roman" w:cs="Times New Roman"/>
          <w:b/>
          <w:bCs/>
        </w:rPr>
        <w:t>ntroduction</w:t>
      </w:r>
    </w:p>
    <w:p w14:paraId="6BE503A2" w14:textId="2844FAFF" w:rsidR="00EA4892" w:rsidRPr="00EA4892" w:rsidRDefault="00EA4892" w:rsidP="00EA4892">
      <w:pPr>
        <w:rPr>
          <w:rFonts w:ascii="Times New Roman" w:hAnsi="Times New Roman" w:cs="Times New Roman"/>
        </w:rPr>
      </w:pPr>
      <w:r w:rsidRPr="00EA4892">
        <w:rPr>
          <w:rFonts w:ascii="Times New Roman" w:hAnsi="Times New Roman" w:cs="Times New Roman"/>
        </w:rPr>
        <w:t>Drone operations in India are governed by the Drone Rules 2021 issued by the Ministry of Civil Aviation and implemented by the Directorate General of Civil Aviation (DGCA). These rules aim to balance innovation, economic growth, and national security. The regulatory framework simplifies drone approvals while ensuring safety, accountability, and airspace control.</w:t>
      </w:r>
    </w:p>
    <w:p w14:paraId="4BC949E6" w14:textId="77777777"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Classification of Drones</w:t>
      </w:r>
    </w:p>
    <w:p w14:paraId="13DA3706"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Drones are categorized based on Maximum Take-Off Weight (MTOW):</w:t>
      </w:r>
    </w:p>
    <w:p w14:paraId="357D8F1D"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Nano: Less than 250 grams</w:t>
      </w:r>
    </w:p>
    <w:p w14:paraId="2CE80C46"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Micro: 250 grams to 2 kilograms</w:t>
      </w:r>
    </w:p>
    <w:p w14:paraId="5D2BB0DF"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Small: 2 to 25 kilograms</w:t>
      </w:r>
    </w:p>
    <w:p w14:paraId="702D33E0"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Medium: 25 to 150 kilograms</w:t>
      </w:r>
    </w:p>
    <w:p w14:paraId="606A9D88" w14:textId="795DBF55"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Large: Above 150 kilograms</w:t>
      </w:r>
    </w:p>
    <w:p w14:paraId="75DBA4C4" w14:textId="1C8210A6" w:rsidR="00EA4892" w:rsidRPr="00EA4892" w:rsidRDefault="00EA4892" w:rsidP="00EA4892">
      <w:pPr>
        <w:rPr>
          <w:rFonts w:ascii="Times New Roman" w:hAnsi="Times New Roman" w:cs="Times New Roman"/>
        </w:rPr>
      </w:pPr>
      <w:r w:rsidRPr="00EA4892">
        <w:rPr>
          <w:rFonts w:ascii="Times New Roman" w:hAnsi="Times New Roman" w:cs="Times New Roman"/>
        </w:rPr>
        <w:t>Each category has specific requirements related to registration, licensing, and operational permissions.</w:t>
      </w:r>
    </w:p>
    <w:p w14:paraId="4F0646D7" w14:textId="44C57204"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Registration and Digital Sky Platform</w:t>
      </w:r>
    </w:p>
    <w:p w14:paraId="14CAC068" w14:textId="65B3E8C1" w:rsidR="00EA4892" w:rsidRPr="00EA4892" w:rsidRDefault="00EA4892" w:rsidP="00EA4892">
      <w:pPr>
        <w:rPr>
          <w:rFonts w:ascii="Times New Roman" w:hAnsi="Times New Roman" w:cs="Times New Roman"/>
        </w:rPr>
      </w:pPr>
      <w:r w:rsidRPr="00EA4892">
        <w:rPr>
          <w:rFonts w:ascii="Times New Roman" w:hAnsi="Times New Roman" w:cs="Times New Roman"/>
        </w:rPr>
        <w:t>Except for Nano drones used for recreational purposes, all drones must be registered on the Digital Sky Platform. Upon registration, a Unique Identification Number (UIN) is issued. This platform enables digital permission management and tracking of drone activities.</w:t>
      </w:r>
    </w:p>
    <w:p w14:paraId="6991613E" w14:textId="41F52422"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Remote Pilot Certification</w:t>
      </w:r>
    </w:p>
    <w:p w14:paraId="094C7346"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Commercial drone operations require operators to obtain a Remote Pilot Certificate from a DGCA-approved Remote Pilot Training Organization (RPTO). Training includes:</w:t>
      </w:r>
    </w:p>
    <w:p w14:paraId="54EEFF8C"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Airspace regulations</w:t>
      </w:r>
    </w:p>
    <w:p w14:paraId="6FCE83C2"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Meteorology fundamentals</w:t>
      </w:r>
    </w:p>
    <w:p w14:paraId="60A1AAE0"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Safety procedures</w:t>
      </w:r>
    </w:p>
    <w:p w14:paraId="7243BA9C" w14:textId="7477F50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Practical flight sessions</w:t>
      </w:r>
    </w:p>
    <w:p w14:paraId="59AE9DEF" w14:textId="39001517"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Airspace Zones</w:t>
      </w:r>
    </w:p>
    <w:p w14:paraId="1AEDB8D6"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Indian airspace is divided into:</w:t>
      </w:r>
    </w:p>
    <w:p w14:paraId="2CD8A982"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Green Zone – No permission required up to specified altitude</w:t>
      </w:r>
    </w:p>
    <w:p w14:paraId="0EEBA9CF"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Yellow Zone – Requires Air Traffic Control permission</w:t>
      </w:r>
    </w:p>
    <w:p w14:paraId="46437D9B" w14:textId="7D83E243" w:rsidR="00EA4892" w:rsidRDefault="00EA4892" w:rsidP="00EA4892">
      <w:pPr>
        <w:rPr>
          <w:rFonts w:ascii="Times New Roman" w:hAnsi="Times New Roman" w:cs="Times New Roman"/>
        </w:rPr>
      </w:pPr>
      <w:r w:rsidRPr="00EA4892">
        <w:rPr>
          <w:rFonts w:ascii="Times New Roman" w:hAnsi="Times New Roman" w:cs="Times New Roman"/>
        </w:rPr>
        <w:tab/>
        <w:t>•</w:t>
      </w:r>
      <w:r>
        <w:rPr>
          <w:rFonts w:ascii="Times New Roman" w:hAnsi="Times New Roman" w:cs="Times New Roman"/>
        </w:rPr>
        <w:t xml:space="preserve">           </w:t>
      </w:r>
      <w:r w:rsidRPr="00EA4892">
        <w:rPr>
          <w:rFonts w:ascii="Times New Roman" w:hAnsi="Times New Roman" w:cs="Times New Roman"/>
        </w:rPr>
        <w:t xml:space="preserve"> </w:t>
      </w:r>
      <w:r w:rsidRPr="00EA4892">
        <w:rPr>
          <w:rFonts w:ascii="Times New Roman" w:hAnsi="Times New Roman" w:cs="Times New Roman"/>
        </w:rPr>
        <w:t>Red Zone – Strictly prohibited without central government clearance</w:t>
      </w:r>
    </w:p>
    <w:p w14:paraId="6AED9581" w14:textId="1462D72F" w:rsidR="00EA4892" w:rsidRDefault="00EA4892" w:rsidP="00EA4892">
      <w:pPr>
        <w:rPr>
          <w:rFonts w:ascii="Times New Roman" w:hAnsi="Times New Roman" w:cs="Times New Roman"/>
        </w:rPr>
      </w:pPr>
      <w:r>
        <w:rPr>
          <w:rFonts w:ascii="Times New Roman" w:hAnsi="Times New Roman" w:cs="Times New Roman"/>
        </w:rPr>
        <w:lastRenderedPageBreak/>
        <w:t xml:space="preserve">           </w:t>
      </w:r>
      <w:r w:rsidRPr="00EA4892">
        <w:rPr>
          <w:rFonts w:ascii="Times New Roman" w:hAnsi="Times New Roman" w:cs="Times New Roman"/>
        </w:rPr>
        <w:t>•</w:t>
      </w:r>
      <w:r>
        <w:rPr>
          <w:rFonts w:ascii="Times New Roman" w:hAnsi="Times New Roman" w:cs="Times New Roman"/>
        </w:rPr>
        <w:t xml:space="preserve">  </w:t>
      </w:r>
      <w:r w:rsidRPr="00EA4892">
        <w:rPr>
          <w:rFonts w:ascii="Times New Roman" w:hAnsi="Times New Roman" w:cs="Times New Roman"/>
        </w:rPr>
        <w:tab/>
        <w:t>Restricted Zones</w:t>
      </w:r>
    </w:p>
    <w:p w14:paraId="7DAE509F" w14:textId="1689F2DD" w:rsidR="00EA4892" w:rsidRPr="00EA4892" w:rsidRDefault="00EA4892" w:rsidP="00EA4892">
      <w:pPr>
        <w:rPr>
          <w:rFonts w:ascii="Times New Roman" w:hAnsi="Times New Roman" w:cs="Times New Roman"/>
        </w:rPr>
      </w:pPr>
      <w:r>
        <w:rPr>
          <w:rFonts w:ascii="Times New Roman" w:hAnsi="Times New Roman" w:cs="Times New Roman"/>
        </w:rPr>
        <w:t xml:space="preserve">           </w:t>
      </w:r>
      <w:r w:rsidRPr="00EA4892">
        <w:rPr>
          <w:rFonts w:ascii="Times New Roman" w:hAnsi="Times New Roman" w:cs="Times New Roman"/>
        </w:rPr>
        <w:t>•</w:t>
      </w:r>
      <w:r>
        <w:rPr>
          <w:rFonts w:ascii="Times New Roman" w:hAnsi="Times New Roman" w:cs="Times New Roman"/>
        </w:rPr>
        <w:t xml:space="preserve">             </w:t>
      </w:r>
      <w:r w:rsidRPr="00EA4892">
        <w:rPr>
          <w:rFonts w:ascii="Times New Roman" w:hAnsi="Times New Roman" w:cs="Times New Roman"/>
        </w:rPr>
        <w:t>Special permission zones</w:t>
      </w:r>
    </w:p>
    <w:p w14:paraId="48B51ED2" w14:textId="547DC3FE"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NPNT Compliance</w:t>
      </w:r>
    </w:p>
    <w:p w14:paraId="676C49BC"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No-Permission No-</w:t>
      </w:r>
      <w:proofErr w:type="spellStart"/>
      <w:r w:rsidRPr="00EA4892">
        <w:rPr>
          <w:rFonts w:ascii="Times New Roman" w:hAnsi="Times New Roman" w:cs="Times New Roman"/>
        </w:rPr>
        <w:t>Takeoff</w:t>
      </w:r>
      <w:proofErr w:type="spellEnd"/>
      <w:r w:rsidRPr="00EA4892">
        <w:rPr>
          <w:rFonts w:ascii="Times New Roman" w:hAnsi="Times New Roman" w:cs="Times New Roman"/>
        </w:rPr>
        <w:t xml:space="preserve"> (NPNT) ensures drones cannot operate without digital clearance. This system prevents unauthorized flights and enhances security.</w:t>
      </w:r>
    </w:p>
    <w:p w14:paraId="40559D45" w14:textId="77777777" w:rsidR="00EA4892" w:rsidRPr="00EA4892" w:rsidRDefault="00EA4892" w:rsidP="00EA4892">
      <w:pPr>
        <w:rPr>
          <w:rFonts w:ascii="Times New Roman" w:hAnsi="Times New Roman" w:cs="Times New Roman"/>
          <w:b/>
          <w:bCs/>
        </w:rPr>
      </w:pPr>
    </w:p>
    <w:p w14:paraId="3D64BBE5" w14:textId="77D4D617"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Penalties for Violations</w:t>
      </w:r>
    </w:p>
    <w:p w14:paraId="5C891C5A" w14:textId="77777777" w:rsidR="00EA4892" w:rsidRPr="00EA4892" w:rsidRDefault="00EA4892" w:rsidP="00EA4892">
      <w:pPr>
        <w:rPr>
          <w:rFonts w:ascii="Times New Roman" w:hAnsi="Times New Roman" w:cs="Times New Roman"/>
        </w:rPr>
      </w:pPr>
      <w:r w:rsidRPr="00EA4892">
        <w:rPr>
          <w:rFonts w:ascii="Times New Roman" w:hAnsi="Times New Roman" w:cs="Times New Roman"/>
        </w:rPr>
        <w:t>Failure to comply with drone regulations can result in:</w:t>
      </w:r>
    </w:p>
    <w:p w14:paraId="13119292" w14:textId="75336EF8"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Warning or Minor Fine</w:t>
      </w:r>
    </w:p>
    <w:p w14:paraId="2430B7C5" w14:textId="763471FB"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 xml:space="preserve">Fine </w:t>
      </w:r>
      <w:proofErr w:type="spellStart"/>
      <w:r w:rsidRPr="00EA4892">
        <w:rPr>
          <w:rFonts w:ascii="Times New Roman" w:hAnsi="Times New Roman" w:cs="Times New Roman"/>
        </w:rPr>
        <w:t>upto</w:t>
      </w:r>
      <w:proofErr w:type="spellEnd"/>
      <w:r w:rsidRPr="00EA4892">
        <w:rPr>
          <w:rFonts w:ascii="Times New Roman" w:hAnsi="Times New Roman" w:cs="Times New Roman"/>
        </w:rPr>
        <w:t xml:space="preserve"> 100000 INR</w:t>
      </w:r>
    </w:p>
    <w:p w14:paraId="7C06B40A" w14:textId="1A25493C" w:rsidR="00EA4892" w:rsidRP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t>Fine+ License Suspension</w:t>
      </w:r>
    </w:p>
    <w:p w14:paraId="353908A9" w14:textId="6A1D65B5" w:rsidR="00EA4892" w:rsidRDefault="00EA4892" w:rsidP="00EA4892">
      <w:pPr>
        <w:rPr>
          <w:rFonts w:ascii="Times New Roman" w:hAnsi="Times New Roman" w:cs="Times New Roman"/>
        </w:rPr>
      </w:pPr>
      <w:r w:rsidRPr="00EA4892">
        <w:rPr>
          <w:rFonts w:ascii="Times New Roman" w:hAnsi="Times New Roman" w:cs="Times New Roman"/>
        </w:rPr>
        <w:tab/>
        <w:t>•</w:t>
      </w:r>
      <w:r w:rsidRPr="00EA4892">
        <w:rPr>
          <w:rFonts w:ascii="Times New Roman" w:hAnsi="Times New Roman" w:cs="Times New Roman"/>
        </w:rPr>
        <w:tab/>
      </w:r>
      <w:proofErr w:type="spellStart"/>
      <w:r w:rsidRPr="00EA4892">
        <w:rPr>
          <w:rFonts w:ascii="Times New Roman" w:hAnsi="Times New Roman" w:cs="Times New Roman"/>
        </w:rPr>
        <w:t>Fine+Legal</w:t>
      </w:r>
      <w:proofErr w:type="spellEnd"/>
      <w:r w:rsidRPr="00EA4892">
        <w:rPr>
          <w:rFonts w:ascii="Times New Roman" w:hAnsi="Times New Roman" w:cs="Times New Roman"/>
        </w:rPr>
        <w:t xml:space="preserve"> Action</w:t>
      </w:r>
    </w:p>
    <w:p w14:paraId="4B99E8F8" w14:textId="1852FE7D" w:rsidR="00EA4892" w:rsidRPr="00EA4892" w:rsidRDefault="00EA4892" w:rsidP="00EA4892">
      <w:pPr>
        <w:rPr>
          <w:rFonts w:ascii="Times New Roman" w:hAnsi="Times New Roman" w:cs="Times New Roman"/>
        </w:rPr>
      </w:pPr>
      <w:r>
        <w:rPr>
          <w:rFonts w:ascii="Times New Roman" w:hAnsi="Times New Roman" w:cs="Times New Roman"/>
        </w:rPr>
        <w:t xml:space="preserve">            </w:t>
      </w:r>
      <w:r w:rsidRPr="00EA4892">
        <w:rPr>
          <w:rFonts w:ascii="Times New Roman" w:hAnsi="Times New Roman" w:cs="Times New Roman"/>
        </w:rPr>
        <w:t>•</w:t>
      </w:r>
      <w:r>
        <w:rPr>
          <w:rFonts w:ascii="Times New Roman" w:hAnsi="Times New Roman" w:cs="Times New Roman"/>
        </w:rPr>
        <w:t xml:space="preserve">           </w:t>
      </w:r>
      <w:r w:rsidRPr="00EA4892">
        <w:rPr>
          <w:rFonts w:ascii="Times New Roman" w:hAnsi="Times New Roman" w:cs="Times New Roman"/>
        </w:rPr>
        <w:t>Severe Legal Action</w:t>
      </w:r>
    </w:p>
    <w:p w14:paraId="7FAA8C75" w14:textId="35DBF155" w:rsidR="00EA4892" w:rsidRPr="00EA4892" w:rsidRDefault="00EA4892" w:rsidP="00EA4892">
      <w:pPr>
        <w:rPr>
          <w:rFonts w:ascii="Times New Roman" w:hAnsi="Times New Roman" w:cs="Times New Roman"/>
          <w:b/>
          <w:bCs/>
        </w:rPr>
      </w:pPr>
      <w:r w:rsidRPr="00EA4892">
        <w:rPr>
          <w:rFonts w:ascii="Times New Roman" w:hAnsi="Times New Roman" w:cs="Times New Roman"/>
          <w:b/>
          <w:bCs/>
        </w:rPr>
        <w:t>Future Outlook</w:t>
      </w:r>
    </w:p>
    <w:p w14:paraId="1AE608B2" w14:textId="4CDB5798" w:rsidR="007846C0" w:rsidRPr="00EA4892" w:rsidRDefault="00EA4892" w:rsidP="00EA4892">
      <w:pPr>
        <w:rPr>
          <w:rFonts w:ascii="Times New Roman" w:hAnsi="Times New Roman" w:cs="Times New Roman"/>
        </w:rPr>
      </w:pPr>
      <w:r w:rsidRPr="00EA4892">
        <w:rPr>
          <w:rFonts w:ascii="Times New Roman" w:hAnsi="Times New Roman" w:cs="Times New Roman"/>
        </w:rPr>
        <w:t>The Indian government aims to establish India as a global drone hub by encouraging domestic manufacturing, research, and startup participation. Regulatory reforms continue to simplify compliance processes.</w:t>
      </w:r>
    </w:p>
    <w:sectPr w:rsidR="007846C0" w:rsidRPr="00EA48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892"/>
    <w:rsid w:val="000E73FD"/>
    <w:rsid w:val="005E4604"/>
    <w:rsid w:val="007846C0"/>
    <w:rsid w:val="00985688"/>
    <w:rsid w:val="00DC00F6"/>
    <w:rsid w:val="00EA48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9E655"/>
  <w15:chartTrackingRefBased/>
  <w15:docId w15:val="{CA15358C-54A0-456D-87FE-7A277F36F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A48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A48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A48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48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A48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A48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A48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A48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A48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48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A48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A48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48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48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48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48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48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4892"/>
    <w:rPr>
      <w:rFonts w:eastAsiaTheme="majorEastAsia" w:cstheme="majorBidi"/>
      <w:color w:val="272727" w:themeColor="text1" w:themeTint="D8"/>
    </w:rPr>
  </w:style>
  <w:style w:type="paragraph" w:styleId="Title">
    <w:name w:val="Title"/>
    <w:basedOn w:val="Normal"/>
    <w:next w:val="Normal"/>
    <w:link w:val="TitleChar"/>
    <w:uiPriority w:val="10"/>
    <w:qFormat/>
    <w:rsid w:val="00EA48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48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48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48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4892"/>
    <w:pPr>
      <w:spacing w:before="160"/>
      <w:jc w:val="center"/>
    </w:pPr>
    <w:rPr>
      <w:i/>
      <w:iCs/>
      <w:color w:val="404040" w:themeColor="text1" w:themeTint="BF"/>
    </w:rPr>
  </w:style>
  <w:style w:type="character" w:customStyle="1" w:styleId="QuoteChar">
    <w:name w:val="Quote Char"/>
    <w:basedOn w:val="DefaultParagraphFont"/>
    <w:link w:val="Quote"/>
    <w:uiPriority w:val="29"/>
    <w:rsid w:val="00EA4892"/>
    <w:rPr>
      <w:i/>
      <w:iCs/>
      <w:color w:val="404040" w:themeColor="text1" w:themeTint="BF"/>
    </w:rPr>
  </w:style>
  <w:style w:type="paragraph" w:styleId="ListParagraph">
    <w:name w:val="List Paragraph"/>
    <w:basedOn w:val="Normal"/>
    <w:uiPriority w:val="34"/>
    <w:qFormat/>
    <w:rsid w:val="00EA4892"/>
    <w:pPr>
      <w:ind w:left="720"/>
      <w:contextualSpacing/>
    </w:pPr>
  </w:style>
  <w:style w:type="character" w:styleId="IntenseEmphasis">
    <w:name w:val="Intense Emphasis"/>
    <w:basedOn w:val="DefaultParagraphFont"/>
    <w:uiPriority w:val="21"/>
    <w:qFormat/>
    <w:rsid w:val="00EA4892"/>
    <w:rPr>
      <w:i/>
      <w:iCs/>
      <w:color w:val="0F4761" w:themeColor="accent1" w:themeShade="BF"/>
    </w:rPr>
  </w:style>
  <w:style w:type="paragraph" w:styleId="IntenseQuote">
    <w:name w:val="Intense Quote"/>
    <w:basedOn w:val="Normal"/>
    <w:next w:val="Normal"/>
    <w:link w:val="IntenseQuoteChar"/>
    <w:uiPriority w:val="30"/>
    <w:qFormat/>
    <w:rsid w:val="00EA48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4892"/>
    <w:rPr>
      <w:i/>
      <w:iCs/>
      <w:color w:val="0F4761" w:themeColor="accent1" w:themeShade="BF"/>
    </w:rPr>
  </w:style>
  <w:style w:type="character" w:styleId="IntenseReference">
    <w:name w:val="Intense Reference"/>
    <w:basedOn w:val="DefaultParagraphFont"/>
    <w:uiPriority w:val="32"/>
    <w:qFormat/>
    <w:rsid w:val="00EA48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343</Words>
  <Characters>1957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karthikreddyadla0@gmail.com</dc:creator>
  <cp:keywords/>
  <dc:description/>
  <cp:lastModifiedBy>karthikreddyadla0@gmail.com</cp:lastModifiedBy>
  <cp:revision>1</cp:revision>
  <dcterms:created xsi:type="dcterms:W3CDTF">2026-02-27T07:28:00Z</dcterms:created>
  <dcterms:modified xsi:type="dcterms:W3CDTF">2026-02-27T07:39:00Z</dcterms:modified>
</cp:coreProperties>
</file>