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Paper Figures</w:t>
      </w:r>
    </w:p>
    <w:p>
      <w:r>
        <w:t>Fig. 1. Pipeline block diagram.</w:t>
      </w:r>
    </w:p>
    <w:p>
      <w:r>
        <w:drawing>
          <wp:inline xmlns:a="http://schemas.openxmlformats.org/drawingml/2006/main" xmlns:pic="http://schemas.openxmlformats.org/drawingml/2006/picture">
            <wp:extent cx="5486400" cy="4337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cardio_architecture_ieee (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7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Fig. 2. Web application screens.</w:t>
      </w:r>
    </w:p>
    <w:p>
      <w:r>
        <w:drawing>
          <wp:inline xmlns:a="http://schemas.openxmlformats.org/drawingml/2006/main" xmlns:pic="http://schemas.openxmlformats.org/drawingml/2006/picture">
            <wp:extent cx="5486400" cy="29533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1_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3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Fig. 3. Confusion matrix for the tuned QSVC.</w:t>
      </w:r>
    </w:p>
    <w:p>
      <w:r>
        <w:drawing>
          <wp:inline xmlns:a="http://schemas.openxmlformats.org/drawingml/2006/main" xmlns:pic="http://schemas.openxmlformats.org/drawingml/2006/picture">
            <wp:extent cx="5486400" cy="4114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qsvc_tun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Fig. 4. ROC curves.</w:t>
      </w:r>
    </w:p>
    <w:p>
      <w:r>
        <w:drawing>
          <wp:inline xmlns:a="http://schemas.openxmlformats.org/drawingml/2006/main" xmlns:pic="http://schemas.openxmlformats.org/drawingml/2006/picture">
            <wp:extent cx="5486400" cy="15631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_all_mode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3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Fig. 5. Model accuracy under nine augmentation conditions.</w:t>
      </w:r>
    </w:p>
    <w:p>
      <w:r>
        <w:drawing>
          <wp:inline xmlns:a="http://schemas.openxmlformats.org/drawingml/2006/main" xmlns:pic="http://schemas.openxmlformats.org/drawingml/2006/picture">
            <wp:extent cx="5486400" cy="20641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gmentation_robustn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4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Fig. 6. QSVC accuracy across four feature encoding ranges.</w:t>
      </w:r>
    </w:p>
    <w:p>
      <w:r>
        <w:drawing>
          <wp:inline xmlns:a="http://schemas.openxmlformats.org/drawingml/2006/main" xmlns:pic="http://schemas.openxmlformats.org/drawingml/2006/picture">
            <wp:extent cx="5486400" cy="2999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encod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9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Fig. 7. QSVC accuracy for five entanglement topologies.</w:t>
      </w:r>
    </w:p>
    <w:p>
      <w:r>
        <w:drawing>
          <wp:inline xmlns:a="http://schemas.openxmlformats.org/drawingml/2006/main" xmlns:pic="http://schemas.openxmlformats.org/drawingml/2006/picture">
            <wp:extent cx="5486400" cy="26951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entangle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5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Fig. 8. QSVC accuracy for four Pauli feature map variants.</w:t>
      </w:r>
    </w:p>
    <w:p>
      <w:r>
        <w:drawing>
          <wp:inline xmlns:a="http://schemas.openxmlformats.org/drawingml/2006/main" xmlns:pic="http://schemas.openxmlformats.org/drawingml/2006/picture">
            <wp:extent cx="5486400" cy="270071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feature_ma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0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Fig. 9. (Top) QSVC accuracy versus SVD components; (Bottom) versus circuit repetitions.</w:t>
      </w:r>
    </w:p>
    <w:p>
      <w:r>
        <w:drawing>
          <wp:inline xmlns:a="http://schemas.openxmlformats.org/drawingml/2006/main" xmlns:pic="http://schemas.openxmlformats.org/drawingml/2006/picture">
            <wp:extent cx="5486400" cy="2997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svd_di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Fig. 9. (Bottom) Circuit repetitions.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rep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