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1E88" w14:textId="77777777" w:rsidR="00102D90" w:rsidRDefault="00D713CB">
      <w:pPr>
        <w:pStyle w:val="Title"/>
      </w:pPr>
      <w:r>
        <w:t>QuCardio Image Inventory</w:t>
      </w:r>
    </w:p>
    <w:p w14:paraId="01F412B7" w14:textId="77777777" w:rsidR="00102D90" w:rsidRDefault="00D713CB">
      <w:pPr>
        <w:pStyle w:val="Heading1"/>
      </w:pPr>
      <w:r>
        <w:t>5.1 ECG Image Preprocessing</w:t>
      </w:r>
    </w:p>
    <w:p w14:paraId="0B7E98A7" w14:textId="77777777" w:rsidR="00102D90" w:rsidRDefault="00D713CB">
      <w:pPr>
        <w:pStyle w:val="Caption"/>
      </w:pPr>
      <w:r>
        <w:t>Figure 5.1: Side-by-side comparison of a raw clinical ECG scan and the resulting 340x340 preprocessed grayscale output</w:t>
      </w:r>
    </w:p>
    <w:p w14:paraId="12B2EB8E" w14:textId="77777777" w:rsidR="00102D90" w:rsidRDefault="00D713CB">
      <w:r>
        <w:rPr>
          <w:noProof/>
        </w:rPr>
        <w:drawing>
          <wp:inline distT="0" distB="0" distL="0" distR="0" wp14:anchorId="6B52DE3F" wp14:editId="6525021B">
            <wp:extent cx="5486400" cy="2815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_preprocess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697C" w14:textId="77777777" w:rsidR="00102D90" w:rsidRDefault="00D713CB">
      <w:pPr>
        <w:pStyle w:val="Heading1"/>
      </w:pPr>
      <w:r>
        <w:t>5.5 Quantum Support Vector Classifier</w:t>
      </w:r>
    </w:p>
    <w:p w14:paraId="1EF2B2DF" w14:textId="77777777" w:rsidR="00102D90" w:rsidRDefault="00D713CB">
      <w:pPr>
        <w:pStyle w:val="Caption"/>
      </w:pPr>
      <w:r>
        <w:t>Figure 5.2: ZZFeatureMap circuit with 9 qubits, reps=2, circular entanglement</w:t>
      </w:r>
    </w:p>
    <w:p w14:paraId="5FC4D7C5" w14:textId="77777777" w:rsidR="00102D90" w:rsidRDefault="00D713CB">
      <w:r>
        <w:rPr>
          <w:noProof/>
        </w:rPr>
        <w:lastRenderedPageBreak/>
        <w:drawing>
          <wp:inline distT="0" distB="0" distL="0" distR="0" wp14:anchorId="57CEC350" wp14:editId="3227B76B">
            <wp:extent cx="5486400" cy="44358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featuremap_circu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9AB4" w14:textId="77777777" w:rsidR="00102D90" w:rsidRDefault="00D713CB">
      <w:pPr>
        <w:pStyle w:val="Heading1"/>
      </w:pPr>
      <w:r>
        <w:t>5.7 FastAPI Backend and React Frontend</w:t>
      </w:r>
    </w:p>
    <w:p w14:paraId="35B9A1B7" w14:textId="77777777" w:rsidR="00102D90" w:rsidRDefault="00D713CB">
      <w:pPr>
        <w:pStyle w:val="Caption"/>
      </w:pPr>
      <w:r>
        <w:t>Figure 5.7a: Main upload interface showing drag-and-drop ECG area and three model selector buttons</w:t>
      </w:r>
    </w:p>
    <w:p w14:paraId="2D7DB768" w14:textId="77777777" w:rsidR="00102D90" w:rsidRDefault="00D713CB">
      <w:r>
        <w:rPr>
          <w:noProof/>
        </w:rPr>
        <w:drawing>
          <wp:inline distT="0" distB="0" distL="0" distR="0" wp14:anchorId="38B4582B" wp14:editId="79A72A5B">
            <wp:extent cx="5486400" cy="2953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E706" w14:textId="77777777" w:rsidR="00102D90" w:rsidRDefault="00D713CB">
      <w:pPr>
        <w:pStyle w:val="Caption"/>
      </w:pPr>
      <w:r>
        <w:lastRenderedPageBreak/>
        <w:t>Figure 5.7b: Diagnosis result screen showing predicted class with severity color, confidence bar, per-class probability bars, preprocessed ECG thumbnail, and clinical recommendation text</w:t>
      </w:r>
    </w:p>
    <w:p w14:paraId="3D38ADA4" w14:textId="77777777" w:rsidR="00102D90" w:rsidRDefault="00D713CB">
      <w:r>
        <w:rPr>
          <w:noProof/>
        </w:rPr>
        <w:drawing>
          <wp:inline distT="0" distB="0" distL="0" distR="0" wp14:anchorId="1D10E2DE" wp14:editId="2BDC113A">
            <wp:extent cx="5486400" cy="2947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4BF6" w14:textId="77777777" w:rsidR="00102D90" w:rsidRDefault="00D713CB">
      <w:pPr>
        <w:pStyle w:val="Caption"/>
      </w:pPr>
      <w:r>
        <w:t>Figure 5.7c: Model Performance tab showing accuracy bar chart comparing all three classifiers against base paper values</w:t>
      </w:r>
    </w:p>
    <w:p w14:paraId="02F0FEFA" w14:textId="12B3A64A" w:rsidR="00102D90" w:rsidRDefault="00A21123">
      <w:r>
        <w:rPr>
          <w:noProof/>
        </w:rPr>
        <w:drawing>
          <wp:inline distT="0" distB="0" distL="0" distR="0" wp14:anchorId="41227849" wp14:editId="33110ADF">
            <wp:extent cx="5486400" cy="2953385"/>
            <wp:effectExtent l="0" t="0" r="0" b="0"/>
            <wp:docPr id="4143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71CB" w14:textId="77777777" w:rsidR="00102D90" w:rsidRDefault="00D713CB">
      <w:pPr>
        <w:pStyle w:val="Heading1"/>
      </w:pPr>
      <w:r>
        <w:t>6.1 Model Performance Comparison</w:t>
      </w:r>
    </w:p>
    <w:p w14:paraId="2B8462B3" w14:textId="77777777" w:rsidR="00102D90" w:rsidRDefault="00D713CB">
      <w:pPr>
        <w:pStyle w:val="Caption"/>
      </w:pPr>
      <w:r>
        <w:t>Figure 6.1: All Models Accuracy Comparison</w:t>
      </w:r>
    </w:p>
    <w:p w14:paraId="10CB3171" w14:textId="77777777" w:rsidR="00102D90" w:rsidRDefault="00D713CB">
      <w:r>
        <w:rPr>
          <w:noProof/>
        </w:rPr>
        <w:lastRenderedPageBreak/>
        <w:drawing>
          <wp:inline distT="0" distB="0" distL="0" distR="0" wp14:anchorId="686ED3CA" wp14:editId="7EBFE264">
            <wp:extent cx="5486400" cy="2246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694E" w14:textId="77777777" w:rsidR="00102D90" w:rsidRDefault="00D713CB">
      <w:pPr>
        <w:pStyle w:val="Caption"/>
      </w:pPr>
      <w:r>
        <w:t>Figure 6.2: QSVC Confusion Matrix</w:t>
      </w:r>
    </w:p>
    <w:p w14:paraId="1BB8CA74" w14:textId="77777777" w:rsidR="00102D90" w:rsidRDefault="00D713CB">
      <w:r>
        <w:rPr>
          <w:noProof/>
        </w:rPr>
        <w:drawing>
          <wp:inline distT="0" distB="0" distL="0" distR="0" wp14:anchorId="225D19C1" wp14:editId="68B1CBAA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qsvc_tu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3F3" w14:textId="77777777" w:rsidR="00102D90" w:rsidRDefault="00D713CB">
      <w:pPr>
        <w:pStyle w:val="Caption"/>
      </w:pPr>
      <w:r>
        <w:t>Figure 6.3: Pegasos Confusion Matrix</w:t>
      </w:r>
    </w:p>
    <w:p w14:paraId="52DBE068" w14:textId="77777777" w:rsidR="00102D90" w:rsidRDefault="00D713CB">
      <w:r>
        <w:rPr>
          <w:noProof/>
        </w:rPr>
        <w:lastRenderedPageBreak/>
        <w:drawing>
          <wp:inline distT="0" distB="0" distL="0" distR="0" wp14:anchorId="07DF2EB3" wp14:editId="180F38C2">
            <wp:extent cx="5486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pegasos_tu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D949" w14:textId="77777777" w:rsidR="00102D90" w:rsidRDefault="00D713CB">
      <w:pPr>
        <w:pStyle w:val="Heading1"/>
      </w:pPr>
      <w:r>
        <w:t>6.2 Feature Encoding and Entanglement Ablation</w:t>
      </w:r>
    </w:p>
    <w:p w14:paraId="3168A7C0" w14:textId="77777777" w:rsidR="00102D90" w:rsidRDefault="00D713CB">
      <w:pPr>
        <w:pStyle w:val="Caption"/>
      </w:pPr>
      <w:r>
        <w:t>Figure 6.4: Feature Encoding Range Ablation</w:t>
      </w:r>
    </w:p>
    <w:p w14:paraId="16F84F9D" w14:textId="77777777" w:rsidR="00102D90" w:rsidRDefault="00D713CB">
      <w:r>
        <w:rPr>
          <w:noProof/>
        </w:rPr>
        <w:drawing>
          <wp:inline distT="0" distB="0" distL="0" distR="0" wp14:anchorId="1B013901" wp14:editId="18F49CA1">
            <wp:extent cx="5486400" cy="2999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enco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EBDD" w14:textId="77777777" w:rsidR="00102D90" w:rsidRDefault="00D713CB">
      <w:pPr>
        <w:pStyle w:val="Caption"/>
      </w:pPr>
      <w:r>
        <w:lastRenderedPageBreak/>
        <w:t>Figure 6.5: Entanglement Topology Ablation</w:t>
      </w:r>
    </w:p>
    <w:p w14:paraId="23EF4F1C" w14:textId="77777777" w:rsidR="00102D90" w:rsidRDefault="00D713CB">
      <w:r>
        <w:rPr>
          <w:noProof/>
        </w:rPr>
        <w:drawing>
          <wp:inline distT="0" distB="0" distL="0" distR="0" wp14:anchorId="7B2987FA" wp14:editId="03528A92">
            <wp:extent cx="5486400" cy="26951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entangl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A623" w14:textId="77777777" w:rsidR="00102D90" w:rsidRDefault="00D713CB">
      <w:pPr>
        <w:pStyle w:val="Heading1"/>
      </w:pPr>
      <w:r>
        <w:t>6.3 Pauli Feature Map Ablation</w:t>
      </w:r>
    </w:p>
    <w:p w14:paraId="498452B3" w14:textId="77777777" w:rsidR="00102D90" w:rsidRDefault="00D713CB">
      <w:pPr>
        <w:pStyle w:val="Caption"/>
      </w:pPr>
      <w:r>
        <w:t>Figure 6.6: Pauli Feature Map Ablation</w:t>
      </w:r>
    </w:p>
    <w:p w14:paraId="74656987" w14:textId="77777777" w:rsidR="00102D90" w:rsidRDefault="00D713CB">
      <w:r>
        <w:rPr>
          <w:noProof/>
        </w:rPr>
        <w:drawing>
          <wp:inline distT="0" distB="0" distL="0" distR="0" wp14:anchorId="109AA330" wp14:editId="177318FF">
            <wp:extent cx="5486400" cy="27007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feature_ma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4B56" w14:textId="77777777" w:rsidR="00102D90" w:rsidRDefault="00D713CB">
      <w:pPr>
        <w:pStyle w:val="Heading1"/>
      </w:pPr>
      <w:r>
        <w:t>6.5 ROC-AUC and Calibration</w:t>
      </w:r>
    </w:p>
    <w:p w14:paraId="7AED26A3" w14:textId="77777777" w:rsidR="00102D90" w:rsidRDefault="00D713CB">
      <w:pPr>
        <w:pStyle w:val="Caption"/>
      </w:pPr>
      <w:r>
        <w:t>Figure 6.7: ROC Curves All Models and Classes</w:t>
      </w:r>
    </w:p>
    <w:p w14:paraId="76F039EA" w14:textId="77777777" w:rsidR="00102D90" w:rsidRDefault="00D713CB">
      <w:r>
        <w:rPr>
          <w:noProof/>
        </w:rPr>
        <w:lastRenderedPageBreak/>
        <w:drawing>
          <wp:inline distT="0" distB="0" distL="0" distR="0" wp14:anchorId="3592ADBA" wp14:editId="571F9029">
            <wp:extent cx="5486400" cy="15631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_all_mod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CC34" w14:textId="77777777" w:rsidR="00102D90" w:rsidRDefault="00D713CB">
      <w:pPr>
        <w:pStyle w:val="Caption"/>
      </w:pPr>
      <w:r>
        <w:t>Figure 6.8: Confidence Calibration Curves</w:t>
      </w:r>
    </w:p>
    <w:p w14:paraId="62A8CD04" w14:textId="77777777" w:rsidR="00102D90" w:rsidRDefault="00D713CB">
      <w:r>
        <w:rPr>
          <w:noProof/>
        </w:rPr>
        <w:drawing>
          <wp:inline distT="0" distB="0" distL="0" distR="0" wp14:anchorId="70EA5BB2" wp14:editId="69CC9D98">
            <wp:extent cx="5486400" cy="1877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all_mod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027A" w14:textId="77777777" w:rsidR="00102D90" w:rsidRDefault="00D713CB">
      <w:pPr>
        <w:pStyle w:val="Heading1"/>
      </w:pPr>
      <w:r>
        <w:t>6.6 Augmentation Robustness</w:t>
      </w:r>
    </w:p>
    <w:p w14:paraId="7A41A4A2" w14:textId="77777777" w:rsidR="00102D90" w:rsidRDefault="00D713CB">
      <w:pPr>
        <w:pStyle w:val="Caption"/>
      </w:pPr>
      <w:r>
        <w:t>Figure 6.9: Augmentation Robustness Study</w:t>
      </w:r>
    </w:p>
    <w:p w14:paraId="4355E266" w14:textId="77777777" w:rsidR="00102D90" w:rsidRDefault="00D713CB">
      <w:r>
        <w:rPr>
          <w:noProof/>
        </w:rPr>
        <w:drawing>
          <wp:inline distT="0" distB="0" distL="0" distR="0" wp14:anchorId="69C6B9A4" wp14:editId="07CCB83A">
            <wp:extent cx="5486400" cy="20641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gmentation_robust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38B2" w14:textId="77777777" w:rsidR="00102D90" w:rsidRDefault="00D713CB">
      <w:pPr>
        <w:pStyle w:val="Heading1"/>
      </w:pPr>
      <w:r>
        <w:t>6.7 Cross-Dataset Generalization</w:t>
      </w:r>
    </w:p>
    <w:p w14:paraId="051AF61C" w14:textId="77777777" w:rsidR="00102D90" w:rsidRDefault="00D713CB">
      <w:pPr>
        <w:pStyle w:val="Caption"/>
      </w:pPr>
      <w:r>
        <w:t>Figure 6.10: QSVC Cross-Dataset CM</w:t>
      </w:r>
    </w:p>
    <w:p w14:paraId="766043CB" w14:textId="77777777" w:rsidR="00102D90" w:rsidRDefault="00D713CB">
      <w:r>
        <w:rPr>
          <w:noProof/>
        </w:rPr>
        <w:lastRenderedPageBreak/>
        <w:drawing>
          <wp:inline distT="0" distB="0" distL="0" distR="0" wp14:anchorId="53C42EE9" wp14:editId="28487012">
            <wp:extent cx="5486400" cy="45000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qsv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C8B7" w14:textId="77777777" w:rsidR="00102D90" w:rsidRDefault="00D713CB">
      <w:pPr>
        <w:pStyle w:val="Caption"/>
      </w:pPr>
      <w:r>
        <w:t>Figure 6.11: SVM Cross-Dataset CM</w:t>
      </w:r>
    </w:p>
    <w:p w14:paraId="6CC20BFD" w14:textId="77777777" w:rsidR="00102D90" w:rsidRDefault="00D713CB">
      <w:r>
        <w:rPr>
          <w:noProof/>
        </w:rPr>
        <w:lastRenderedPageBreak/>
        <w:drawing>
          <wp:inline distT="0" distB="0" distL="0" distR="0" wp14:anchorId="7E002AB1" wp14:editId="6772C56E">
            <wp:extent cx="5486400" cy="45000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sv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635952">
    <w:abstractNumId w:val="8"/>
  </w:num>
  <w:num w:numId="2" w16cid:durableId="471557378">
    <w:abstractNumId w:val="6"/>
  </w:num>
  <w:num w:numId="3" w16cid:durableId="1334338009">
    <w:abstractNumId w:val="5"/>
  </w:num>
  <w:num w:numId="4" w16cid:durableId="907960605">
    <w:abstractNumId w:val="4"/>
  </w:num>
  <w:num w:numId="5" w16cid:durableId="142741094">
    <w:abstractNumId w:val="7"/>
  </w:num>
  <w:num w:numId="6" w16cid:durableId="611784390">
    <w:abstractNumId w:val="3"/>
  </w:num>
  <w:num w:numId="7" w16cid:durableId="1181972610">
    <w:abstractNumId w:val="2"/>
  </w:num>
  <w:num w:numId="8" w16cid:durableId="1804687947">
    <w:abstractNumId w:val="1"/>
  </w:num>
  <w:num w:numId="9" w16cid:durableId="195409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D90"/>
    <w:rsid w:val="0015074B"/>
    <w:rsid w:val="0029639D"/>
    <w:rsid w:val="00326F90"/>
    <w:rsid w:val="009F03B7"/>
    <w:rsid w:val="00A21123"/>
    <w:rsid w:val="00AA1D8D"/>
    <w:rsid w:val="00B47730"/>
    <w:rsid w:val="00CB0664"/>
    <w:rsid w:val="00D71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02C52"/>
  <w14:defaultImageDpi w14:val="300"/>
  <w15:docId w15:val="{36AF843C-9ECF-45B8-B761-D05B1E1A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S Poojary</cp:lastModifiedBy>
  <cp:revision>2</cp:revision>
  <dcterms:created xsi:type="dcterms:W3CDTF">2013-12-23T23:15:00Z</dcterms:created>
  <dcterms:modified xsi:type="dcterms:W3CDTF">2026-09-15T12:20:00Z</dcterms:modified>
  <cp:category/>
</cp:coreProperties>
</file>