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56"/>
          <w:szCs w:val="56"/>
        </w:rPr>
        <w:t xml:space="preserve">Common Crop Diseases and Agronomy Reference</w:t>
      </w:r>
    </w:p>
    <w:p>
      <w:pPr>
        <w:spacing w:after="480"/>
      </w:pPr>
      <w:r>
        <w:rPr>
          <w:i/>
          <w:iCs/>
          <w:sz w:val="26"/>
          <w:szCs w:val="26"/>
        </w:rPr>
        <w:t xml:space="preserve">A field reference for extension advisors and farmers — Tamil Nadu / Kerala growing conditions</w:t>
      </w:r>
    </w:p>
    <w:p/>
    <w:p>
      <w:pPr>
        <w:pStyle w:val="Heading1"/>
      </w:pPr>
      <w:r>
        <w:t xml:space="preserve">1. Introduction &amp; How to Use This Guide</w:t>
      </w:r>
    </w:p>
    <w:p>
      <w:pPr>
        <w:spacing w:after="160"/>
      </w:pPr>
      <w:r>
        <w:t xml:space="preserve">This guide is written for farmers, field extension officers, and agri-advisory staff working with tomato, rice, cotton, and chili crops under South Indian growing conditions. Each disease or issue entry follows the same structure: symptoms you can see in the field, the underlying cause, and a treatment recommendation with a specific product, active ingredient, and dosage.</w:t>
      </w:r>
    </w:p>
    <w:p>
      <w:pPr>
        <w:spacing w:after="160"/>
      </w:pPr>
      <w:r>
        <w:t xml:space="preserve">Dosages given here are general guidance drawn from commonly used agronomic practice. Always check the product label for the specific formulation you have purchased, since concentrations vary by manufacturer and region. When in doubt about a diagnosis, or if a recommended treatment does not improve the condition within 5-7 days, escalate to a qualified agronomist rather than repeating or increasing the dose — see Section 10 for red-flag symptoms that need expert confirmation before acting.</w:t>
      </w:r>
    </w:p>
    <w:p>
      <w:pPr>
        <w:spacing w:after="160"/>
      </w:pPr>
      <w:r>
        <w:t xml:space="preserve">Spray recommendations assume a standard knapsack sprayer calibrated to approximately 500-600 litres of spray solution per hectare, unless otherwise noted. Always wear protective equipment as described in Section 9 before mixing or applying any chemical.</w:t>
      </w:r>
    </w:p>
    <w:p>
      <w:pPr>
        <w:pBdr>
          <w:bottom w:val="single" w:color="AAAAAA" w:sz="6" w:space="1"/>
        </w:pBdr>
        <w:spacing w:after="240"/>
      </w:pPr>
    </w:p>
    <w:p>
      <w:pPr>
        <w:pStyle w:val="Heading1"/>
      </w:pPr>
      <w:r>
        <w:t xml:space="preserve">2. Tomato: Common Diseases</w:t>
      </w:r>
    </w:p>
    <w:p>
      <w:pPr>
        <w:pStyle w:val="Heading2"/>
      </w:pPr>
      <w:r>
        <w:t xml:space="preserve">2.1 Early Blight (Alternaria solani)</w:t>
      </w:r>
    </w:p>
    <w:p>
      <w:pPr>
        <w:spacing w:after="120"/>
      </w:pPr>
      <w:r>
        <w:rPr>
          <w:b/>
          <w:bCs/>
        </w:rPr>
        <w:t xml:space="preserve">Symptoms: </w:t>
      </w:r>
      <w:r>
        <w:t xml:space="preserve">Dark brown to black concentric ring spots ("target spots") on older, lower leaves first. Leaves yellow around the spots and drop early. Stem lesions are dark and sunken. Fruit can show dark leathery spots near the stem end.</w:t>
      </w:r>
    </w:p>
    <w:p>
      <w:pPr>
        <w:spacing w:after="120"/>
      </w:pPr>
      <w:r>
        <w:rPr>
          <w:b/>
          <w:bCs/>
        </w:rPr>
        <w:t xml:space="preserve">Cause: </w:t>
      </w:r>
      <w:r>
        <w:t xml:space="preserve">Fungal infection favoured by warm temperatures (24-29°C) combined with periods of leaf wetness from dew, rain, or overhead irrigation. Spreads faster where plants are nutrient-stressed, especially nitrogen-deficient.</w:t>
      </w:r>
    </w:p>
    <w:p>
      <w:pPr>
        <w:spacing w:after="120"/>
      </w:pPr>
      <w:r>
        <w:rPr>
          <w:b/>
          <w:bCs/>
        </w:rPr>
        <w:t xml:space="preserve">Treatment: </w:t>
      </w:r>
      <w:r>
        <w:t xml:space="preserve">Spray mancozeb 75% WP at 2-2.5 g/litre of water at the first sign of spotting, repeating every 7-10 days. For established infections, alternate with chlorothalonil 75% WP at 2 g/litre or azoxystrobin 23% SC at 1 ml/litre to reduce resistance build-up. Remove and destroy infected lower leaves before spraying. Avoid overhead irrigation in the evening; water at the base in the morning instead.</w:t>
      </w:r>
    </w:p>
    <w:p>
      <w:pPr>
        <w:pStyle w:val="Heading2"/>
      </w:pPr>
      <w:r>
        <w:t xml:space="preserve">2.2 Late Blight (Phytophthora infestans)</w:t>
      </w:r>
    </w:p>
    <w:p>
      <w:pPr>
        <w:spacing w:after="120"/>
      </w:pPr>
      <w:r>
        <w:rPr>
          <w:b/>
          <w:bCs/>
        </w:rPr>
        <w:t xml:space="preserve">Symptoms: </w:t>
      </w:r>
      <w:r>
        <w:t xml:space="preserve">Water-soaked, irregular pale green to brown patches on leaves that enlarge rapidly, often with a white fungal growth visible on the underside of the leaf in humid mornings. Whole plants can collapse within days under cool, wet conditions. Fruit develops firm, brown, greasy-looking blotches.</w:t>
      </w:r>
    </w:p>
    <w:p>
      <w:pPr>
        <w:spacing w:after="120"/>
      </w:pPr>
      <w:r>
        <w:rPr>
          <w:b/>
          <w:bCs/>
        </w:rPr>
        <w:t xml:space="preserve">Cause: </w:t>
      </w:r>
      <w:r>
        <w:t xml:space="preserve">Highly aggressive fungus-like pathogen, favoured by cool nights (10-20°C), high humidity, and extended leaf wetness. Spreads very fast — a field can go from a few spots to total collapse in under a week in favourable weather.</w:t>
      </w:r>
    </w:p>
    <w:p>
      <w:pPr>
        <w:spacing w:after="120"/>
      </w:pPr>
      <w:r>
        <w:rPr>
          <w:b/>
          <w:bCs/>
        </w:rPr>
        <w:t xml:space="preserve">Treatment: </w:t>
      </w:r>
      <w:r>
        <w:t xml:space="preserve">This is a fast-moving, high-risk disease — treat as CRITICAL. At first sign, spray a systemic fungicide such as metalaxyl + mancozeb (a combination product, e.g. 8% + 64% WP) at 2.5 g/litre, repeating every 7 days during favourable weather. In advanced outbreaks, cymoxanil + mancozeb at 3 g/litre gives faster knockdown. Remove and burn (do not compost) infected plants immediately to slow spread to neighbouring fields. If more than 30% of a field is affected, consult an agronomist before deciding whether to continue treatment or terminate the crop.</w:t>
      </w:r>
    </w:p>
    <w:p>
      <w:pPr>
        <w:pStyle w:val="Heading2"/>
      </w:pPr>
      <w:r>
        <w:t xml:space="preserve">2.3 Tomato Leaf Curl Virus (ToLCV)</w:t>
      </w:r>
    </w:p>
    <w:p>
      <w:pPr>
        <w:spacing w:after="120"/>
      </w:pPr>
      <w:r>
        <w:rPr>
          <w:b/>
          <w:bCs/>
        </w:rPr>
        <w:t xml:space="preserve">Symptoms: </w:t>
      </w:r>
      <w:r>
        <w:t xml:space="preserve">Upward curling and crinkling of young leaves, stunted and bushy plant growth, yellowing between leaf veins, and sharply reduced flowering and fruit set.</w:t>
      </w:r>
    </w:p>
    <w:p>
      <w:pPr>
        <w:spacing w:after="120"/>
      </w:pPr>
      <w:r>
        <w:rPr>
          <w:b/>
          <w:bCs/>
        </w:rPr>
        <w:t xml:space="preserve">Cause: </w:t>
      </w:r>
      <w:r>
        <w:t xml:space="preserve">A virus transmitted exclusively by the whitefly (Bemisia tabaci) — there is no direct chemical cure once a plant is infected. Management is entirely about controlling the whitefly vector and removing infected plants.</w:t>
      </w:r>
    </w:p>
    <w:p>
      <w:pPr>
        <w:spacing w:after="120"/>
      </w:pPr>
      <w:r>
        <w:rPr>
          <w:b/>
          <w:bCs/>
        </w:rPr>
        <w:t xml:space="preserve">Treatment: </w:t>
      </w:r>
      <w:r>
        <w:t xml:space="preserve">There is no spray that cures an already-infected plant — remove and destroy infected plants immediately to reduce the source of infection. Control the whitefly vector with imidacloprid 17.8% SL at 0.3-0.5 ml/litre or thiamethoxam 25% WG at 0.2 g/litre, applied every 10-15 days starting from the seedling stage. Use yellow sticky traps (15-20 per acre) to monitor and reduce whitefly populations. Use virus-tolerant tomato varieties where available for the next planting.</w:t>
      </w:r>
    </w:p>
    <w:p>
      <w:pPr>
        <w:pStyle w:val="Heading2"/>
      </w:pPr>
      <w:r>
        <w:t xml:space="preserve">2.4 Bacterial Wilt (Ralstonia solanacearum)</w:t>
      </w:r>
    </w:p>
    <w:p>
      <w:pPr>
        <w:spacing w:after="120"/>
      </w:pPr>
      <w:r>
        <w:rPr>
          <w:b/>
          <w:bCs/>
        </w:rPr>
        <w:t xml:space="preserve">Symptoms: </w:t>
      </w:r>
      <w:r>
        <w:t xml:space="preserve">Sudden wilting of the whole plant during the hottest part of the day, with apparent recovery at night in early stages, progressing to permanent collapse within a few days. A key field test: cut the stem near the base and place it in a glass of clear water — a milky white bacterial ooze streaming from the cut confirms bacterial wilt.</w:t>
      </w:r>
    </w:p>
    <w:p>
      <w:pPr>
        <w:spacing w:after="120"/>
      </w:pPr>
      <w:r>
        <w:rPr>
          <w:b/>
          <w:bCs/>
        </w:rPr>
        <w:t xml:space="preserve">Cause: </w:t>
      </w:r>
      <w:r>
        <w:t xml:space="preserve">Soil-borne bacteria that enter through root wounds, thriving in warm, waterlogged soil. There is no curative chemical treatment.</w:t>
      </w:r>
    </w:p>
    <w:p>
      <w:pPr>
        <w:spacing w:after="120"/>
      </w:pPr>
      <w:r>
        <w:rPr>
          <w:b/>
          <w:bCs/>
        </w:rPr>
        <w:t xml:space="preserve">Treatment: </w:t>
      </w:r>
      <w:r>
        <w:t xml:space="preserve">Remove and destroy wilted plants immediately, including the root system, to limit soil contamination. Improve field drainage — waterlogging strongly favours this disease. Avoid planting tomato, chili, or brinjal in the same soil for at least 2-3 seasons after an outbreak (crop rotation with rice or a cereal breaks the disease cycle). Soil drenching with a Pseudomonas fluorescens bio-formulation (2.5 kg/hectare mixed into well-rotted manure) before transplanting can suppress the pathogen in future plantings. This is a soil-management problem, not a spray problem — treat repeated outbreaks as a signal to consult an agronomist about field-level soil health.</w:t>
      </w:r>
    </w:p>
    <w:p>
      <w:pPr>
        <w:pBdr>
          <w:bottom w:val="single" w:color="AAAAAA" w:sz="6" w:space="1"/>
        </w:pBdr>
        <w:spacing w:after="240"/>
      </w:pPr>
    </w:p>
    <w:p>
      <w:pPr>
        <w:pStyle w:val="Heading1"/>
      </w:pPr>
      <w:r>
        <w:t xml:space="preserve">3. Rice: Common Diseases</w:t>
      </w:r>
    </w:p>
    <w:p>
      <w:pPr>
        <w:pStyle w:val="Heading2"/>
      </w:pPr>
      <w:r>
        <w:t xml:space="preserve">3.1 Rice Blast (Magnaporthe oryzae)</w:t>
      </w:r>
    </w:p>
    <w:p>
      <w:pPr>
        <w:spacing w:after="120"/>
      </w:pPr>
      <w:r>
        <w:rPr>
          <w:b/>
          <w:bCs/>
        </w:rPr>
        <w:t xml:space="preserve">Symptoms: </w:t>
      </w:r>
      <w:r>
        <w:t xml:space="preserve">Spindle-shaped grey-centred lesions with brown margins on leaves. On the neck of the panicle ("neck blast"), the lesion girdles the stem and causes the entire panicle to break over and turn white/empty ("blast neck rot").</w:t>
      </w:r>
    </w:p>
    <w:p>
      <w:pPr>
        <w:spacing w:after="120"/>
      </w:pPr>
      <w:r>
        <w:rPr>
          <w:b/>
          <w:bCs/>
        </w:rPr>
        <w:t xml:space="preserve">Cause: </w:t>
      </w:r>
      <w:r>
        <w:t xml:space="preserve">Fungal infection favoured by high nitrogen fertilisation, dense planting, prolonged leaf wetness, and cloudy, humid weather. Neck blast at heading stage is the most damaging form since it directly destroys grain yield.</w:t>
      </w:r>
    </w:p>
    <w:p>
      <w:pPr>
        <w:spacing w:after="120"/>
      </w:pPr>
      <w:r>
        <w:rPr>
          <w:b/>
          <w:bCs/>
        </w:rPr>
        <w:t xml:space="preserve">Treatment: </w:t>
      </w:r>
      <w:r>
        <w:t xml:space="preserve">Spray tricyclazole 75% WP at 0.6 g/litre at the first appearance of leaf lesions, and again at panicle initiation and early heading as a preventive measure in fields with a history of blast. Isoprothiolane 40% EC at 1.5 ml/litre is an effective alternative. Avoid excess nitrogen top-dressing — split nitrogen applications rather than heavy single doses. Neck blast at heading is CRITICAL — a single missed spray window at panicle emergence can cause severe yield loss with no way to recover it later in the season.</w:t>
      </w:r>
    </w:p>
    <w:p>
      <w:pPr>
        <w:pStyle w:val="Heading2"/>
      </w:pPr>
      <w:r>
        <w:t xml:space="preserve">3.2 Bacterial Leaf Blight (Xanthomonas oryzae)</w:t>
      </w:r>
    </w:p>
    <w:p>
      <w:pPr>
        <w:spacing w:after="120"/>
      </w:pPr>
      <w:r>
        <w:rPr>
          <w:b/>
          <w:bCs/>
        </w:rPr>
        <w:t xml:space="preserve">Symptoms: </w:t>
      </w:r>
      <w:r>
        <w:t xml:space="preserve">Water-soaked streaks starting at leaf tips or margins that turn yellow to white and enlarge along the leaf, often with a wavy margin. In severe cases, whole fields take on a scorched, straw-coloured appearance visible from a distance ("kresek" phase in young plants causes rapid wilting and death).</w:t>
      </w:r>
    </w:p>
    <w:p>
      <w:pPr>
        <w:spacing w:after="120"/>
      </w:pPr>
      <w:r>
        <w:rPr>
          <w:b/>
          <w:bCs/>
        </w:rPr>
        <w:t xml:space="preserve">Cause: </w:t>
      </w:r>
      <w:r>
        <w:t xml:space="preserve">Bacterial infection that enters through leaf wounds or hydathodes, spread by wind-driven rain, irrigation water, and contaminated tools. Favoured by high nitrogen, dense canopy, and standing water splashing between plants.</w:t>
      </w:r>
    </w:p>
    <w:p>
      <w:pPr>
        <w:spacing w:after="120"/>
      </w:pPr>
      <w:r>
        <w:rPr>
          <w:b/>
          <w:bCs/>
        </w:rPr>
        <w:t xml:space="preserve">Treatment: </w:t>
      </w:r>
      <w:r>
        <w:t xml:space="preserve">Chemical control is limited — copper oxychloride 50% WP at 2.5 g/litre combined with streptocycline (100 ppm, i.e. 1 g in 10 litres) gives partial suppression if applied early. Drain the field for a few days to reduce bacterial spread through standing water where feasible. Avoid working in the field when leaves are wet. Use resistant varieties where available for future plantings — chemical control alone is unreliable for this disease.</w:t>
      </w:r>
    </w:p>
    <w:p>
      <w:pPr>
        <w:pStyle w:val="Heading2"/>
      </w:pPr>
      <w:r>
        <w:t xml:space="preserve">3.3 Sheath Blight (Rhizoctonia solani)</w:t>
      </w:r>
    </w:p>
    <w:p>
      <w:pPr>
        <w:spacing w:after="120"/>
      </w:pPr>
      <w:r>
        <w:rPr>
          <w:b/>
          <w:bCs/>
        </w:rPr>
        <w:t xml:space="preserve">Symptoms: </w:t>
      </w:r>
      <w:r>
        <w:t xml:space="preserve">Oval, greyish-green water-soaked lesions with brown borders on the leaf sheath near the waterline, spreading upward and merging into large irregular blotches. Severe infection causes lodging (plants falling over) and unfilled grains.</w:t>
      </w:r>
    </w:p>
    <w:p>
      <w:pPr>
        <w:spacing w:after="120"/>
      </w:pPr>
      <w:r>
        <w:rPr>
          <w:b/>
          <w:bCs/>
        </w:rPr>
        <w:t xml:space="preserve">Cause: </w:t>
      </w:r>
      <w:r>
        <w:t xml:space="preserve">Fungal infection favoured by dense planting, heavy nitrogen use, and continuous flooding, especially from tillering through booting stage.</w:t>
      </w:r>
    </w:p>
    <w:p>
      <w:pPr>
        <w:spacing w:after="120"/>
      </w:pPr>
      <w:r>
        <w:rPr>
          <w:b/>
          <w:bCs/>
        </w:rPr>
        <w:t xml:space="preserve">Treatment: </w:t>
      </w:r>
      <w:r>
        <w:t xml:space="preserve">Spray hexaconazole 5% SC at 2 ml/litre or validamycin 3% L at 2.5 ml/litre, targeting the lower canopy and waterline where infection starts, at first sign of lesions on lower sheaths. Avoid excess nitrogen and maintain adequate but not continuous standing water. Wider spacing at transplanting improves airflow and reduces severity in fields with a history of this disease.</w:t>
      </w:r>
    </w:p>
    <w:p>
      <w:pPr>
        <w:pBdr>
          <w:bottom w:val="single" w:color="AAAAAA" w:sz="6" w:space="1"/>
        </w:pBdr>
        <w:spacing w:after="240"/>
      </w:pPr>
    </w:p>
    <w:p>
      <w:pPr>
        <w:pStyle w:val="Heading1"/>
      </w:pPr>
      <w:r>
        <w:t xml:space="preserve">4. Cotton: Bollworm and Whitefly Management</w:t>
      </w:r>
    </w:p>
    <w:p>
      <w:pPr>
        <w:pStyle w:val="Heading2"/>
      </w:pPr>
      <w:r>
        <w:t xml:space="preserve">4.1 Bollworm Complex (American, Pink, Spotted Bollworm)</w:t>
      </w:r>
    </w:p>
    <w:p>
      <w:pPr>
        <w:spacing w:after="120"/>
      </w:pPr>
      <w:r>
        <w:rPr>
          <w:b/>
          <w:bCs/>
        </w:rPr>
        <w:t xml:space="preserve">Symptoms: </w:t>
      </w:r>
      <w:r>
        <w:t xml:space="preserve">Small round entry holes in squares (flower buds), bolls, or shoots, often with visible frass (caterpillar droppings) near the hole. Damaged squares and young bolls drop from the plant. Pink bollworm damage shows as "rosetted" flowers with petals stuck together.</w:t>
      </w:r>
    </w:p>
    <w:p>
      <w:pPr>
        <w:spacing w:after="120"/>
      </w:pPr>
      <w:r>
        <w:rPr>
          <w:b/>
          <w:bCs/>
        </w:rPr>
        <w:t xml:space="preserve">Cause: </w:t>
      </w:r>
      <w:r>
        <w:t xml:space="preserve">Larvae of several moth species feeding inside the fruiting structures, where they are protected from most contact sprays once they have bored in — timing of application before larvae enter the boll is critical.</w:t>
      </w:r>
    </w:p>
    <w:p>
      <w:pPr>
        <w:spacing w:after="120"/>
      </w:pPr>
      <w:r>
        <w:rPr>
          <w:b/>
          <w:bCs/>
        </w:rPr>
        <w:t xml:space="preserve">Treatment: </w:t>
      </w:r>
      <w:r>
        <w:t xml:space="preserve">Monitor with pheromone traps (4-5 per acre) from 45 days after sowing to detect moth activity before damage appears. At economic threshold (roughly 1 larva per plant or 5% damaged squares), spray emamectin benzoate 5% SG at 0.4 g/litre or chlorantraniliprole 18.5% SC at 0.3 ml/litre, targeting application to coincide with egg hatch, before larvae bore into the boll. Rotate chemical classes between sprays to manage resistance, which is widespread in pink bollworm populations. Remove and destroy damaged squares and bolls found during scouting to reduce the next generation.</w:t>
      </w:r>
    </w:p>
    <w:p>
      <w:pPr>
        <w:pStyle w:val="Heading2"/>
      </w:pPr>
      <w:r>
        <w:t xml:space="preserve">4.2 Whitefly (Bemisia tabaci)</w:t>
      </w:r>
    </w:p>
    <w:p>
      <w:pPr>
        <w:spacing w:after="120"/>
      </w:pPr>
      <w:r>
        <w:rPr>
          <w:b/>
          <w:bCs/>
        </w:rPr>
        <w:t xml:space="preserve">Symptoms: </w:t>
      </w:r>
      <w:r>
        <w:t xml:space="preserve">Small white insects that fly up in clouds when the plant is disturbed. Sticky honeydew on leaves leading to black sooty mould growth. Heavy infestation causes yellowing, leaf curling, and reduced boll development; whitefly is also the vector for cotton leaf curl virus in some regions.</w:t>
      </w:r>
    </w:p>
    <w:p>
      <w:pPr>
        <w:spacing w:after="120"/>
      </w:pPr>
      <w:r>
        <w:rPr>
          <w:b/>
          <w:bCs/>
        </w:rPr>
        <w:t xml:space="preserve">Cause: </w:t>
      </w:r>
      <w:r>
        <w:t xml:space="preserve">Populations build rapidly in hot, dry weather and are worsened by indiscriminate use of broad-spectrum insecticides that kill natural predators.</w:t>
      </w:r>
    </w:p>
    <w:p>
      <w:pPr>
        <w:spacing w:after="120"/>
      </w:pPr>
      <w:r>
        <w:rPr>
          <w:b/>
          <w:bCs/>
        </w:rPr>
        <w:t xml:space="preserve">Treatment: </w:t>
      </w:r>
      <w:r>
        <w:t xml:space="preserve">Use yellow sticky traps (10-12 per acre) for monitoring and mass trapping. At threshold (around 5-6 adults per leaf), spray diafenthiuron 50% WP at 1 g/litre or flonicamid 50% WG at 0.3 g/litre — both are relatively soft on natural predators such as ladybird beetles that provide ongoing biological control. Avoid repeated use of synthetic pyrethroids, which flare whitefly populations by killing their natural enemies.</w:t>
      </w:r>
    </w:p>
    <w:p>
      <w:pPr>
        <w:pBdr>
          <w:bottom w:val="single" w:color="AAAAAA" w:sz="6" w:space="1"/>
        </w:pBdr>
        <w:spacing w:after="240"/>
      </w:pPr>
    </w:p>
    <w:p>
      <w:pPr>
        <w:pStyle w:val="Heading1"/>
      </w:pPr>
      <w:r>
        <w:t xml:space="preserve">5. Chili / Pepper: Common Issues</w:t>
      </w:r>
    </w:p>
    <w:p>
      <w:pPr>
        <w:pStyle w:val="Heading2"/>
      </w:pPr>
      <w:r>
        <w:t xml:space="preserve">5.1 Chili Leaf Curl Complex</w:t>
      </w:r>
    </w:p>
    <w:p>
      <w:pPr>
        <w:spacing w:after="120"/>
      </w:pPr>
      <w:r>
        <w:rPr>
          <w:b/>
          <w:bCs/>
        </w:rPr>
        <w:t xml:space="preserve">Symptoms: </w:t>
      </w:r>
      <w:r>
        <w:t xml:space="preserve">Upward or downward curling of leaves, puckering and thickening of leaf tissue, shortened internodes giving a bushy/stunted appearance, and reduced flowering.</w:t>
      </w:r>
    </w:p>
    <w:p>
      <w:pPr>
        <w:spacing w:after="120"/>
      </w:pPr>
      <w:r>
        <w:rPr>
          <w:b/>
          <w:bCs/>
        </w:rPr>
        <w:t xml:space="preserve">Cause: </w:t>
      </w:r>
      <w:r>
        <w:t xml:space="preserve">A mixed viral complex transmitted by whitefly and, in some cases, mites. As with tomato leaf curl, there is no cure for an infected plant.</w:t>
      </w:r>
    </w:p>
    <w:p>
      <w:pPr>
        <w:spacing w:after="120"/>
      </w:pPr>
      <w:r>
        <w:rPr>
          <w:b/>
          <w:bCs/>
        </w:rPr>
        <w:t xml:space="preserve">Treatment: </w:t>
      </w:r>
      <w:r>
        <w:t xml:space="preserve">Remove and destroy severely affected plants. Control whitefly with imidacloprid 17.8% SL at 0.3 ml/litre or spiromesifen 22.9% SC at 1 ml/litre (spiromesifen also covers mites, which are often present alongside whitefly in leaf curl outbreaks). Use reflective silver mulch at planting in fields with a history of this problem — it significantly reduces whitefly landing rates. Intercropping with maize or sorghum as a barrier crop can reduce whitefly movement into chili fields.</w:t>
      </w:r>
    </w:p>
    <w:p>
      <w:pPr>
        <w:pStyle w:val="Heading2"/>
      </w:pPr>
      <w:r>
        <w:t xml:space="preserve">5.2 Anthracnose / Die-back (Colletotrichum spp.)</w:t>
      </w:r>
    </w:p>
    <w:p>
      <w:pPr>
        <w:spacing w:after="120"/>
      </w:pPr>
      <w:r>
        <w:rPr>
          <w:b/>
          <w:bCs/>
        </w:rPr>
        <w:t xml:space="preserve">Symptoms: </w:t>
      </w:r>
      <w:r>
        <w:t xml:space="preserve">Sunken, circular dark lesions on ripening fruit, often with visible concentric rings of tiny black fungal fruiting bodies. Shoot tips and branches can die back from the tip downward in severe infections.</w:t>
      </w:r>
    </w:p>
    <w:p>
      <w:pPr>
        <w:spacing w:after="120"/>
      </w:pPr>
      <w:r>
        <w:rPr>
          <w:b/>
          <w:bCs/>
        </w:rPr>
        <w:t xml:space="preserve">Cause: </w:t>
      </w:r>
      <w:r>
        <w:t xml:space="preserve">Fungal disease favoured by warm, humid weather, especially during fruit ripening, and often carried over on infected seed or crop debris.</w:t>
      </w:r>
    </w:p>
    <w:p>
      <w:pPr>
        <w:spacing w:after="120"/>
      </w:pPr>
      <w:r>
        <w:rPr>
          <w:b/>
          <w:bCs/>
        </w:rPr>
        <w:t xml:space="preserve">Treatment: </w:t>
      </w:r>
      <w:r>
        <w:t xml:space="preserve">Spray carbendazim 50% WP at 1 g/litre or a combination product of carbendazim + mancozeb at 2 g/litre, starting at fruit set and repeating every 10-12 days through harvest, especially in wet weather. Harvest and remove infected fruit promptly — do not leave rotting fruit on the plant or ground, since it is a major source of re-infection. Use hot-water-treated or certified disease-free seed for future plantings.</w:t>
      </w:r>
    </w:p>
    <w:p>
      <w:pPr>
        <w:pStyle w:val="Heading2"/>
      </w:pPr>
      <w:r>
        <w:t xml:space="preserve">5.3 Thrips</w:t>
      </w:r>
    </w:p>
    <w:p>
      <w:pPr>
        <w:spacing w:after="120"/>
      </w:pPr>
      <w:r>
        <w:rPr>
          <w:b/>
          <w:bCs/>
        </w:rPr>
        <w:t xml:space="preserve">Symptoms: </w:t>
      </w:r>
      <w:r>
        <w:t xml:space="preserve">Upward curling and silvering/bronzing of leaves, distorted new growth, and streaked or scarred fruit surfaces.</w:t>
      </w:r>
    </w:p>
    <w:p>
      <w:pPr>
        <w:spacing w:after="120"/>
      </w:pPr>
      <w:r>
        <w:rPr>
          <w:b/>
          <w:bCs/>
        </w:rPr>
        <w:t xml:space="preserve">Cause: </w:t>
      </w:r>
      <w:r>
        <w:t xml:space="preserve">Tiny slender insects that rasp and feed on leaf and flower tissue; populations explode in hot, dry conditions.</w:t>
      </w:r>
    </w:p>
    <w:p>
      <w:pPr>
        <w:spacing w:after="120"/>
      </w:pPr>
      <w:r>
        <w:rPr>
          <w:b/>
          <w:bCs/>
        </w:rPr>
        <w:t xml:space="preserve">Treatment: </w:t>
      </w:r>
      <w:r>
        <w:t xml:space="preserve">Spray fipronil 5% SC at 1.5-2 ml/litre or spinosad 45% SC at 0.3 ml/litre, targeting the underside of leaves and growing tips where thrips concentrate. Blue sticky traps are more effective than yellow for monitoring thrips specifically. Avoid moisture stress, which increases thrips pressure — maintain consistent irrigation.</w:t>
      </w:r>
    </w:p>
    <w:p>
      <w:pPr>
        <w:pBdr>
          <w:bottom w:val="single" w:color="AAAAAA" w:sz="6" w:space="1"/>
        </w:pBdr>
        <w:spacing w:after="240"/>
      </w:pPr>
    </w:p>
    <w:p>
      <w:pPr>
        <w:pStyle w:val="Heading1"/>
      </w:pPr>
      <w:r>
        <w:t xml:space="preserve">6. General Soil Health &amp; Nutrient Deficiency</w:t>
      </w:r>
    </w:p>
    <w:p>
      <w:pPr>
        <w:spacing w:after="160"/>
      </w:pPr>
      <w:r>
        <w:t xml:space="preserve">Nutrient deficiencies are often mistaken for disease. Learning to distinguish deficiency patterns from disease symptoms avoids unnecessary spraying and directs the correction to where it is actually needed — the soil, not the leaf surface.</w:t>
      </w:r>
    </w:p>
    <w:p>
      <w:pPr>
        <w:pStyle w:val="Heading2"/>
      </w:pPr>
      <w:r>
        <w:t xml:space="preserve">6.1 Nitrogen (N) Deficiency</w:t>
      </w:r>
    </w:p>
    <w:p>
      <w:pPr>
        <w:spacing w:after="120"/>
      </w:pPr>
      <w:r>
        <w:rPr>
          <w:b/>
          <w:bCs/>
        </w:rPr>
        <w:t xml:space="preserve">Symptoms: </w:t>
      </w:r>
      <w:r>
        <w:t xml:space="preserve">Uniform yellowing (chlorosis) starting on older, lower leaves first and moving upward as the deficiency worsens. Plants appear stunted with thin stems and reduced tillering (in cereals) or branching.</w:t>
      </w:r>
    </w:p>
    <w:p>
      <w:pPr>
        <w:spacing w:after="120"/>
      </w:pPr>
      <w:r>
        <w:rPr>
          <w:b/>
          <w:bCs/>
        </w:rPr>
        <w:t xml:space="preserve">Correction: </w:t>
      </w:r>
      <w:r>
        <w:t xml:space="preserve">Top-dress with urea (46% N) at 40-50 kg/hectare split across 2-3 applications timed to key growth stages (tillering and panicle initiation for rice; vegetative and flowering for tomato/chili) rather than one heavy dose, which wastes nitrogen to leaching and can worsen disease pressure such as blast and leaf curl.</w:t>
      </w:r>
    </w:p>
    <w:p>
      <w:pPr>
        <w:pStyle w:val="Heading2"/>
      </w:pPr>
      <w:r>
        <w:t xml:space="preserve">6.2 Phosphorus (P) Deficiency</w:t>
      </w:r>
    </w:p>
    <w:p>
      <w:pPr>
        <w:spacing w:after="120"/>
      </w:pPr>
      <w:r>
        <w:rPr>
          <w:b/>
          <w:bCs/>
        </w:rPr>
        <w:t xml:space="preserve">Symptoms: </w:t>
      </w:r>
      <w:r>
        <w:t xml:space="preserve">Dark green or purplish discoloration on leaves and stems, especially visible on the underside of leaves and in young plants, along with stunted root development and delayed maturity.</w:t>
      </w:r>
    </w:p>
    <w:p>
      <w:pPr>
        <w:spacing w:after="120"/>
      </w:pPr>
      <w:r>
        <w:rPr>
          <w:b/>
          <w:bCs/>
        </w:rPr>
        <w:t xml:space="preserve">Correction: </w:t>
      </w:r>
      <w:r>
        <w:t xml:space="preserve">Apply single super phosphate (16% P2O5) at 100-125 kg/hectare as a basal dose at planting — phosphorus is far more effective applied to soil early than corrected later, since it moves very little once applied.</w:t>
      </w:r>
    </w:p>
    <w:p>
      <w:pPr>
        <w:pStyle w:val="Heading2"/>
      </w:pPr>
      <w:r>
        <w:t xml:space="preserve">6.3 Potassium (K) Deficiency</w:t>
      </w:r>
    </w:p>
    <w:p>
      <w:pPr>
        <w:spacing w:after="120"/>
      </w:pPr>
      <w:r>
        <w:rPr>
          <w:b/>
          <w:bCs/>
        </w:rPr>
        <w:t xml:space="preserve">Symptoms: </w:t>
      </w:r>
      <w:r>
        <w:t xml:space="preserve">Yellowing and browning (scorching) starting at leaf margins and tips of older leaves, with the leaf centre often staying green longer. Weak stems, poor fruit/grain filling, and increased susceptibility to lodging and disease.</w:t>
      </w:r>
    </w:p>
    <w:p>
      <w:pPr>
        <w:spacing w:after="120"/>
      </w:pPr>
      <w:r>
        <w:rPr>
          <w:b/>
          <w:bCs/>
        </w:rPr>
        <w:t xml:space="preserve">Correction: </w:t>
      </w:r>
      <w:r>
        <w:t xml:space="preserve">Apply muriate of potash (60% K2O) at 50-80 kg/hectare, split between basal and a top-dressing at flowering/fruit development, when potassium demand is highest.</w:t>
      </w:r>
    </w:p>
    <w:p>
      <w:pPr>
        <w:pStyle w:val="Heading2"/>
      </w:pPr>
      <w:r>
        <w:t xml:space="preserve">6.4 Micronutrient Deficiencies (Zinc, Boron, Iron)</w:t>
      </w:r>
    </w:p>
    <w:p>
      <w:pPr>
        <w:pStyle w:val="ListParagraph"/>
        <w:numPr>
          <w:ilvl w:val="0"/>
          <w:numId w:val="2"/>
        </w:numPr>
        <w:spacing w:after="60"/>
      </w:pPr>
      <w:r>
        <w:t xml:space="preserve">Zinc deficiency: interveinal yellowing and shortened internodes ("little leaf") in fruiting crops, and pale, rusty-brown patches on rice leaves (khaira disease). Correct with zinc sulphate at 25 kg/hectare soil application, or a 0.5% foliar spray for a faster response in an active deficiency.</w:t>
      </w:r>
    </w:p>
    <w:p>
      <w:pPr>
        <w:pStyle w:val="ListParagraph"/>
        <w:numPr>
          <w:ilvl w:val="0"/>
          <w:numId w:val="2"/>
        </w:numPr>
        <w:spacing w:after="60"/>
      </w:pPr>
      <w:r>
        <w:t xml:space="preserve">Boron deficiency: hollow or cracked stems, poor fruit set, and brittle, distorted new growth, especially in tomato and cotton. Correct with borax at 10 kg/hectare soil application, or a 0.1% foliar spray.</w:t>
      </w:r>
    </w:p>
    <w:p>
      <w:pPr>
        <w:pStyle w:val="ListParagraph"/>
        <w:numPr>
          <w:ilvl w:val="0"/>
          <w:numId w:val="2"/>
        </w:numPr>
        <w:spacing w:after="60"/>
      </w:pPr>
      <w:r>
        <w:t xml:space="preserve">Iron deficiency: yellowing between veins on the youngest leaves while veins stay green, common in high-pH or waterlogged soils. Correct with a 0.5% ferrous sulphate foliar spray, repeated after 10-15 days if symptoms persist — soil correction of iron is unreliable in alkaline soils.</w:t>
      </w:r>
    </w:p>
    <w:p>
      <w:pPr>
        <w:pBdr>
          <w:bottom w:val="single" w:color="AAAAAA" w:sz="6" w:space="1"/>
        </w:pBdr>
        <w:spacing w:after="240"/>
      </w:pPr>
    </w:p>
    <w:p>
      <w:pPr>
        <w:pStyle w:val="Heading1"/>
      </w:pPr>
      <w:r>
        <w:t xml:space="preserve">7. Irrigation Guidance: Critical Growth Stages</w:t>
      </w:r>
    </w:p>
    <w:p>
      <w:pPr>
        <w:spacing w:after="160"/>
      </w:pPr>
      <w:r>
        <w:t xml:space="preserve">Water stress does not affect a crop equally throughout its life — a shortage at the wrong stage can cut yield sharply even if total seasonal water is adequate. The stages below are the highest-priority windows to protect from water stress.</w:t>
      </w:r>
    </w:p>
    <w:p>
      <w:pPr>
        <w:pStyle w:val="Heading2"/>
      </w:pPr>
      <w:r>
        <w:t xml:space="preserve">7.1 Rice</w:t>
      </w:r>
    </w:p>
    <w:p>
      <w:pPr>
        <w:pStyle w:val="ListParagraph"/>
        <w:numPr>
          <w:ilvl w:val="0"/>
          <w:numId w:val="2"/>
        </w:numPr>
        <w:spacing w:after="60"/>
      </w:pPr>
      <w:r>
        <w:t xml:space="preserve">Transplanting to establishment: maintain shallow standing water (2-3 cm) for easy establishment.</w:t>
      </w:r>
    </w:p>
    <w:p>
      <w:pPr>
        <w:pStyle w:val="ListParagraph"/>
        <w:numPr>
          <w:ilvl w:val="0"/>
          <w:numId w:val="2"/>
        </w:numPr>
        <w:spacing w:after="60"/>
      </w:pPr>
      <w:r>
        <w:t xml:space="preserve">Active tillering: the crop can tolerate brief drying, but prolonged stress reduces tiller number, directly cutting the number of panicles.</w:t>
      </w:r>
    </w:p>
    <w:p>
      <w:pPr>
        <w:pStyle w:val="ListParagraph"/>
        <w:numPr>
          <w:ilvl w:val="0"/>
          <w:numId w:val="2"/>
        </w:numPr>
        <w:spacing w:after="60"/>
      </w:pPr>
      <w:r>
        <w:t xml:space="preserve">Panicle initiation to flowering (most critical): water stress during this window is the single most damaging irrigation failure in rice — it directly reduces grain number and can cause spikelet sterility. Maintain consistent 3-5 cm standing water through this period.</w:t>
      </w:r>
    </w:p>
    <w:p>
      <w:pPr>
        <w:pStyle w:val="ListParagraph"/>
        <w:numPr>
          <w:ilvl w:val="0"/>
          <w:numId w:val="2"/>
        </w:numPr>
        <w:spacing w:after="60"/>
      </w:pPr>
      <w:r>
        <w:t xml:space="preserve">Grain filling: moderate stress is tolerable, but the field should not be allowed to crack; a controlled draining 7-10 days before harvest aids maturity and harvesting.</w:t>
      </w:r>
    </w:p>
    <w:p>
      <w:pPr>
        <w:pStyle w:val="Heading2"/>
      </w:pPr>
      <w:r>
        <w:t xml:space="preserve">7.2 Cotton</w:t>
      </w:r>
    </w:p>
    <w:p>
      <w:pPr>
        <w:pStyle w:val="ListParagraph"/>
        <w:numPr>
          <w:ilvl w:val="0"/>
          <w:numId w:val="2"/>
        </w:numPr>
        <w:spacing w:after="60"/>
      </w:pPr>
      <w:r>
        <w:t xml:space="preserve">Squaring to flowering: moderate stress here can reduce square retention; avoid prolonged dry spells.</w:t>
      </w:r>
    </w:p>
    <w:p>
      <w:pPr>
        <w:pStyle w:val="ListParagraph"/>
        <w:numPr>
          <w:ilvl w:val="0"/>
          <w:numId w:val="2"/>
        </w:numPr>
        <w:spacing w:after="60"/>
      </w:pPr>
      <w:r>
        <w:t xml:space="preserve">Flowering to boll development (most critical): this is the highest water-demand period — stress here causes square and boll shedding and is the single largest cause of yield loss from irrigation failure in cotton. Prioritise irrigation here above all other stages if water is limited.</w:t>
      </w:r>
    </w:p>
    <w:p>
      <w:pPr>
        <w:pStyle w:val="ListParagraph"/>
        <w:numPr>
          <w:ilvl w:val="0"/>
          <w:numId w:val="2"/>
        </w:numPr>
        <w:spacing w:after="60"/>
      </w:pPr>
      <w:r>
        <w:t xml:space="preserve">Boll maturation to opening: reduce irrigation to encourage boll opening and reduce boll rot risk; excess late-season water increases vegetative growth at the expense of yield.</w:t>
      </w:r>
    </w:p>
    <w:p>
      <w:pPr>
        <w:pStyle w:val="Heading2"/>
      </w:pPr>
      <w:r>
        <w:t xml:space="preserve">7.3 Tomato</w:t>
      </w:r>
    </w:p>
    <w:p>
      <w:pPr>
        <w:pStyle w:val="ListParagraph"/>
        <w:numPr>
          <w:ilvl w:val="0"/>
          <w:numId w:val="2"/>
        </w:numPr>
        <w:spacing w:after="60"/>
      </w:pPr>
      <w:r>
        <w:t xml:space="preserve">Transplanting establishment: keep soil consistently moist (not waterlogged) for 10-15 days for root establishment.</w:t>
      </w:r>
    </w:p>
    <w:p>
      <w:pPr>
        <w:pStyle w:val="ListParagraph"/>
        <w:numPr>
          <w:ilvl w:val="0"/>
          <w:numId w:val="2"/>
        </w:numPr>
        <w:spacing w:after="60"/>
      </w:pPr>
      <w:r>
        <w:t xml:space="preserve">Flowering to fruit set (most critical): water stress during flowering is the leading cause of flower and small fruit drop — irregular watering at this stage is one of the most common preventable yield losses in tomato. Maintain even soil moisture; avoid both drought stress and waterlogging.</w:t>
      </w:r>
    </w:p>
    <w:p>
      <w:pPr>
        <w:pStyle w:val="ListParagraph"/>
        <w:numPr>
          <w:ilvl w:val="0"/>
          <w:numId w:val="2"/>
        </w:numPr>
        <w:spacing w:after="60"/>
      </w:pPr>
      <w:r>
        <w:t xml:space="preserve">Fruit development: consistent moisture prevents blossom end rot and fruit cracking, which are both linked to irregular water supply rather than disease.</w:t>
      </w:r>
    </w:p>
    <w:p>
      <w:pPr>
        <w:pBdr>
          <w:bottom w:val="single" w:color="AAAAAA" w:sz="6" w:space="1"/>
        </w:pBdr>
        <w:spacing w:after="240"/>
      </w:pPr>
    </w:p>
    <w:p>
      <w:pPr>
        <w:pStyle w:val="Heading1"/>
      </w:pPr>
      <w:r>
        <w:t xml:space="preserve">8. Sowing Calendar (South Indian / Tamil Nadu &amp; Kerala Conditions)</w:t>
      </w:r>
    </w:p>
    <w:p>
      <w:pPr>
        <w:spacing w:after="160"/>
      </w:pPr>
      <w:r>
        <w:t xml:space="preserve">Sowing windows below are general guidance for South Indian agro-climatic conditions and should be adjusted for local microclimate, monsoon onset in a given year, and irrigation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c>
          <w:tcPr>
            <w:tcW w:type="dxa" w:w="2500"/>
            <w:shd w:fill="D9E8D8" w:val="clear"/>
          </w:tcPr>
          <w:p>
            <w:r>
              <w:rPr>
                <w:b/>
                <w:bCs/>
              </w:rPr>
              <w:t xml:space="preserve">Crop</w:t>
            </w:r>
          </w:p>
        </w:tc>
        <w:tc>
          <w:tcPr>
            <w:tcW w:type="dxa" w:w="2500"/>
            <w:shd w:fill="D9E8D8" w:val="clear"/>
          </w:tcPr>
          <w:p>
            <w:r>
              <w:rPr>
                <w:b/>
                <w:bCs/>
              </w:rPr>
              <w:t xml:space="preserve">Kharif (South-West Monsoon)</w:t>
            </w:r>
          </w:p>
        </w:tc>
        <w:tc>
          <w:tcPr>
            <w:tcW w:type="dxa" w:w="2500"/>
            <w:shd w:fill="D9E8D8" w:val="clear"/>
          </w:tcPr>
          <w:p>
            <w:r>
              <w:rPr>
                <w:b/>
                <w:bCs/>
              </w:rPr>
              <w:t xml:space="preserve">Rabi (North-East Monsoon)</w:t>
            </w:r>
          </w:p>
        </w:tc>
        <w:tc>
          <w:tcPr>
            <w:tcW w:type="dxa" w:w="2500"/>
            <w:shd w:fill="D9E8D8" w:val="clear"/>
          </w:tcPr>
          <w:p>
            <w:r>
              <w:rPr>
                <w:b/>
                <w:bCs/>
              </w:rPr>
              <w:t xml:space="preserve">Summer</w:t>
            </w:r>
          </w:p>
        </w:tc>
      </w:tr>
      <w:tr>
        <w:tc>
          <w:tcPr>
            <w:tcW w:type="dxa" w:w="2500"/>
          </w:tcPr>
          <w:p>
            <w:r>
              <w:rPr>
                <w:b w:val="false"/>
                <w:bCs w:val="false"/>
              </w:rPr>
              <w:t xml:space="preserve">Rice</w:t>
            </w:r>
          </w:p>
        </w:tc>
        <w:tc>
          <w:tcPr>
            <w:tcW w:type="dxa" w:w="2500"/>
          </w:tcPr>
          <w:p>
            <w:r>
              <w:rPr>
                <w:b w:val="false"/>
                <w:bCs w:val="false"/>
              </w:rPr>
              <w:t xml:space="preserve">June - July (main season)</w:t>
            </w:r>
          </w:p>
        </w:tc>
        <w:tc>
          <w:tcPr>
            <w:tcW w:type="dxa" w:w="2500"/>
          </w:tcPr>
          <w:p>
            <w:r>
              <w:rPr>
                <w:b w:val="false"/>
                <w:bCs w:val="false"/>
              </w:rPr>
              <w:t xml:space="preserve">Sept - Oct (samba/thaladi)</w:t>
            </w:r>
          </w:p>
        </w:tc>
        <w:tc>
          <w:tcPr>
            <w:tcW w:type="dxa" w:w="2500"/>
          </w:tcPr>
          <w:p>
            <w:r>
              <w:rPr>
                <w:b w:val="false"/>
                <w:bCs w:val="false"/>
              </w:rPr>
              <w:t xml:space="preserve">Feb - Mar, if irrigation assured</w:t>
            </w:r>
          </w:p>
        </w:tc>
      </w:tr>
      <w:tr>
        <w:tc>
          <w:tcPr>
            <w:tcW w:type="dxa" w:w="2500"/>
          </w:tcPr>
          <w:p>
            <w:r>
              <w:rPr>
                <w:b w:val="false"/>
                <w:bCs w:val="false"/>
              </w:rPr>
              <w:t xml:space="preserve">Cotton</w:t>
            </w:r>
          </w:p>
        </w:tc>
        <w:tc>
          <w:tcPr>
            <w:tcW w:type="dxa" w:w="2500"/>
          </w:tcPr>
          <w:p>
            <w:r>
              <w:rPr>
                <w:b w:val="false"/>
                <w:bCs w:val="false"/>
              </w:rPr>
              <w:t xml:space="preserve">June - July</w:t>
            </w:r>
          </w:p>
        </w:tc>
        <w:tc>
          <w:tcPr>
            <w:tcW w:type="dxa" w:w="2500"/>
          </w:tcPr>
          <w:p>
            <w:r>
              <w:rPr>
                <w:b w:val="false"/>
                <w:bCs w:val="false"/>
              </w:rPr>
              <w:t xml:space="preserve">Not recommended in most areas</w:t>
            </w:r>
          </w:p>
        </w:tc>
        <w:tc>
          <w:tcPr>
            <w:tcW w:type="dxa" w:w="2500"/>
          </w:tcPr>
          <w:p>
            <w:r>
              <w:rPr>
                <w:b w:val="false"/>
                <w:bCs w:val="false"/>
              </w:rPr>
              <w:t xml:space="preserve">Not recommended</w:t>
            </w:r>
          </w:p>
        </w:tc>
      </w:tr>
      <w:tr>
        <w:tc>
          <w:tcPr>
            <w:tcW w:type="dxa" w:w="2500"/>
          </w:tcPr>
          <w:p>
            <w:r>
              <w:rPr>
                <w:b w:val="false"/>
                <w:bCs w:val="false"/>
              </w:rPr>
              <w:t xml:space="preserve">Tomato</w:t>
            </w:r>
          </w:p>
        </w:tc>
        <w:tc>
          <w:tcPr>
            <w:tcW w:type="dxa" w:w="2500"/>
          </w:tcPr>
          <w:p>
            <w:r>
              <w:rPr>
                <w:b w:val="false"/>
                <w:bCs w:val="false"/>
              </w:rPr>
              <w:t xml:space="preserve">June - July nursery, transplant July - Aug</w:t>
            </w:r>
          </w:p>
        </w:tc>
        <w:tc>
          <w:tcPr>
            <w:tcW w:type="dxa" w:w="2500"/>
          </w:tcPr>
          <w:p>
            <w:r>
              <w:rPr>
                <w:b w:val="false"/>
                <w:bCs w:val="false"/>
              </w:rPr>
              <w:t xml:space="preserve">Sept - Oct nursery, transplant Oct - Nov (preferred season, lower pest pressure)</w:t>
            </w:r>
          </w:p>
        </w:tc>
        <w:tc>
          <w:tcPr>
            <w:tcW w:type="dxa" w:w="2500"/>
          </w:tcPr>
          <w:p>
            <w:r>
              <w:rPr>
                <w:b w:val="false"/>
                <w:bCs w:val="false"/>
              </w:rPr>
              <w:t xml:space="preserve">Jan - Feb, with assured irrigation</w:t>
            </w:r>
          </w:p>
        </w:tc>
      </w:tr>
      <w:tr>
        <w:tc>
          <w:tcPr>
            <w:tcW w:type="dxa" w:w="2500"/>
          </w:tcPr>
          <w:p>
            <w:r>
              <w:rPr>
                <w:b w:val="false"/>
                <w:bCs w:val="false"/>
              </w:rPr>
              <w:t xml:space="preserve">Chili</w:t>
            </w:r>
          </w:p>
        </w:tc>
        <w:tc>
          <w:tcPr>
            <w:tcW w:type="dxa" w:w="2500"/>
          </w:tcPr>
          <w:p>
            <w:r>
              <w:rPr>
                <w:b w:val="false"/>
                <w:bCs w:val="false"/>
              </w:rPr>
              <w:t xml:space="preserve">June - July nursery, transplant Aug</w:t>
            </w:r>
          </w:p>
        </w:tc>
        <w:tc>
          <w:tcPr>
            <w:tcW w:type="dxa" w:w="2500"/>
          </w:tcPr>
          <w:p>
            <w:r>
              <w:rPr>
                <w:b w:val="false"/>
                <w:bCs w:val="false"/>
              </w:rPr>
              <w:t xml:space="preserve">Sept - Oct nursery, transplant Nov (preferred season)</w:t>
            </w:r>
          </w:p>
        </w:tc>
        <w:tc>
          <w:tcPr>
            <w:tcW w:type="dxa" w:w="2500"/>
          </w:tcPr>
          <w:p>
            <w:r>
              <w:rPr>
                <w:b w:val="false"/>
                <w:bCs w:val="false"/>
              </w:rPr>
              <w:t xml:space="preserve">Not recommended — high thrips/mite pressure</w:t>
            </w:r>
          </w:p>
        </w:tc>
      </w:tr>
    </w:tbl>
    <w:p>
      <w:pPr>
        <w:spacing w:after="240"/>
      </w:pPr>
    </w:p>
    <w:p>
      <w:pPr>
        <w:spacing w:after="160"/>
      </w:pPr>
      <w:r>
        <w:t xml:space="preserve">Note on preferred windows: for tomato and chili, the rabi/post-monsoon transplanting window (October-November) generally sees lower whitefly and leaf curl virus pressure than the kharif window, since whitefly populations peak in the hot, dry pre-monsoon and early monsoon months. Where feasible, favour rabi transplanting for these two crops.</w:t>
      </w:r>
    </w:p>
    <w:p>
      <w:pPr>
        <w:pBdr>
          <w:bottom w:val="single" w:color="AAAAAA" w:sz="6" w:space="1"/>
        </w:pBdr>
        <w:spacing w:after="240"/>
      </w:pPr>
    </w:p>
    <w:p>
      <w:pPr>
        <w:pStyle w:val="Heading1"/>
      </w:pPr>
      <w:r>
        <w:t xml:space="preserve">9. Pesticide Safety Basics</w:t>
      </w:r>
    </w:p>
    <w:p>
      <w:pPr>
        <w:pStyle w:val="Heading2"/>
      </w:pPr>
      <w:r>
        <w:t xml:space="preserve">9.1 Dosage Discipline</w:t>
      </w:r>
    </w:p>
    <w:p>
      <w:pPr>
        <w:spacing w:after="160"/>
      </w:pPr>
      <w:r>
        <w:t xml:space="preserve">Always measure with a proper measuring cap or cup — never estimate by eye. A higher-than-recommended dose does not give better control; it increases the risk of leaf burn, residue violations, and resistance development, and wastes money. If a recommended dose is not working, the correct response is to confirm the diagnosis (it may be a different disease/pest or a nutrient issue), not to increase the dose.</w:t>
      </w:r>
    </w:p>
    <w:p>
      <w:pPr>
        <w:pStyle w:val="Heading2"/>
      </w:pPr>
      <w:r>
        <w:t xml:space="preserve">9.2 Pre-Harvest Interval (PHI)</w:t>
      </w:r>
    </w:p>
    <w:p>
      <w:pPr>
        <w:spacing w:after="160"/>
      </w:pPr>
      <w:r>
        <w:t xml:space="preserve">Every pesticide has a minimum number of days that must pass between the last spray and harvest, to allow residues to fall to a safe level. As general guidance, most contact fungicides (e.g. mancozeb, chlorothalonil) require 5-7 days PHI; systemic insecticides such as imidacloprid or thiamethoxam typically require 10-15 days; always check the specific product label, since PHI varies by crop and formulation. Never harvest for sale or consumption before the labelled PHI has passed.</w:t>
      </w:r>
    </w:p>
    <w:p>
      <w:pPr>
        <w:pStyle w:val="Heading2"/>
      </w:pPr>
      <w:r>
        <w:t xml:space="preserve">9.3 Protective Equipment</w:t>
      </w:r>
    </w:p>
    <w:p>
      <w:pPr>
        <w:pStyle w:val="ListParagraph"/>
        <w:numPr>
          <w:ilvl w:val="0"/>
          <w:numId w:val="2"/>
        </w:numPr>
        <w:spacing w:after="60"/>
      </w:pPr>
      <w:r>
        <w:t xml:space="preserve">Wear a mask (preferably N95 or a chemical-rated respirator, not just cloth), long sleeves, long pants, closed shoes, and gloves during mixing and spraying.</w:t>
      </w:r>
    </w:p>
    <w:p>
      <w:pPr>
        <w:pStyle w:val="ListParagraph"/>
        <w:numPr>
          <w:ilvl w:val="0"/>
          <w:numId w:val="2"/>
        </w:numPr>
        <w:spacing w:after="60"/>
      </w:pPr>
      <w:r>
        <w:t xml:space="preserve">Mix chemicals outdoors or in a well-ventilated area, never indoors.</w:t>
      </w:r>
    </w:p>
    <w:p>
      <w:pPr>
        <w:pStyle w:val="ListParagraph"/>
        <w:numPr>
          <w:ilvl w:val="0"/>
          <w:numId w:val="2"/>
        </w:numPr>
        <w:spacing w:after="60"/>
      </w:pPr>
      <w:r>
        <w:t xml:space="preserve">Spray with the wind at your back, not into the wind, and avoid spraying during the hottest part of the day or in high wind.</w:t>
      </w:r>
    </w:p>
    <w:p>
      <w:pPr>
        <w:pStyle w:val="ListParagraph"/>
        <w:numPr>
          <w:ilvl w:val="0"/>
          <w:numId w:val="2"/>
        </w:numPr>
        <w:spacing w:after="60"/>
      </w:pPr>
      <w:r>
        <w:t xml:space="preserve">Wash hands, face, and exposed skin thoroughly with soap after spraying, and wash sprayed clothing separately from other laundry.</w:t>
      </w:r>
    </w:p>
    <w:p>
      <w:pPr>
        <w:pStyle w:val="ListParagraph"/>
        <w:numPr>
          <w:ilvl w:val="0"/>
          <w:numId w:val="2"/>
        </w:numPr>
        <w:spacing w:after="60"/>
      </w:pPr>
      <w:r>
        <w:t xml:space="preserve">Store all chemicals in original labelled containers, locked away from children and livestock, and never in food or drink containers.</w:t>
      </w:r>
    </w:p>
    <w:p>
      <w:pPr>
        <w:pBdr>
          <w:bottom w:val="single" w:color="AAAAAA" w:sz="6" w:space="1"/>
        </w:pBdr>
        <w:spacing w:after="240"/>
      </w:pPr>
    </w:p>
    <w:p>
      <w:pPr>
        <w:pStyle w:val="Heading1"/>
      </w:pPr>
      <w:r>
        <w:t xml:space="preserve">10. When to Escalate to an Agronomist</w:t>
      </w:r>
    </w:p>
    <w:p>
      <w:pPr>
        <w:spacing w:after="160"/>
      </w:pPr>
      <w:r>
        <w:t xml:space="preserve">Most routine issues can be managed with the guidance in this document. The following situations are red flags — self-treatment carries real risk of crop loss or harm, and confirmation from a qualified agronomist or the local agriculture extension office should be sought before acting, rather than repeating or escalating a home treatment.</w:t>
      </w:r>
    </w:p>
    <w:p>
      <w:pPr>
        <w:pStyle w:val="ListParagraph"/>
        <w:numPr>
          <w:ilvl w:val="0"/>
          <w:numId w:val="2"/>
        </w:numPr>
        <w:spacing w:after="60"/>
      </w:pPr>
      <w:r>
        <w:t xml:space="preserve">Rapid, whole-plant collapse or wilting spreading across a field within days (possible bacterial wilt, late blight, or an irrigation/waterlogging emergency).</w:t>
      </w:r>
    </w:p>
    <w:p>
      <w:pPr>
        <w:pStyle w:val="ListParagraph"/>
        <w:numPr>
          <w:ilvl w:val="0"/>
          <w:numId w:val="2"/>
        </w:numPr>
        <w:spacing w:after="60"/>
      </w:pPr>
      <w:r>
        <w:t xml:space="preserve">Symptoms appearing at a highly time-sensitive growth stage where a wrong call cannot be corrected later — e.g. suspected neck blast at rice heading, or a suspected viral infection at early flowering in tomato/chili.</w:t>
      </w:r>
    </w:p>
    <w:p>
      <w:pPr>
        <w:pStyle w:val="ListParagraph"/>
        <w:numPr>
          <w:ilvl w:val="0"/>
          <w:numId w:val="2"/>
        </w:numPr>
        <w:spacing w:after="60"/>
      </w:pPr>
      <w:r>
        <w:t xml:space="preserve">Any suspected pesticide misapplication, overdose, or spray drift onto people, livestock, or a neighbouring field.</w:t>
      </w:r>
    </w:p>
    <w:p>
      <w:pPr>
        <w:pStyle w:val="ListParagraph"/>
        <w:numPr>
          <w:ilvl w:val="0"/>
          <w:numId w:val="2"/>
        </w:numPr>
        <w:spacing w:after="60"/>
      </w:pPr>
      <w:r>
        <w:t xml:space="preserve">A treatment applied at the correct dose that shows no improvement after 5-7 days — this suggests a misdiagnosis, not a need for a stronger dose.</w:t>
      </w:r>
    </w:p>
    <w:p>
      <w:pPr>
        <w:pStyle w:val="ListParagraph"/>
        <w:numPr>
          <w:ilvl w:val="0"/>
          <w:numId w:val="2"/>
        </w:numPr>
        <w:spacing w:after="60"/>
      </w:pPr>
      <w:r>
        <w:t xml:space="preserve">Symptoms combined with illness in people or animals that have been in the field (possible chemical exposure — treat as a medical situation first, agronomic question second).</w:t>
      </w:r>
    </w:p>
    <w:p>
      <w:pPr>
        <w:pStyle w:val="ListParagraph"/>
        <w:numPr>
          <w:ilvl w:val="0"/>
          <w:numId w:val="2"/>
        </w:numPr>
        <w:spacing w:after="60"/>
      </w:pPr>
      <w:r>
        <w:t xml:space="preserve">Any large-scale outbreak affecting a significant share of a field or multiple neighbouring farms, since this may require coordinated regional action rather than an individual field response.</w:t>
      </w:r>
    </w:p>
    <w:p>
      <w:pPr>
        <w:spacing w:after="160"/>
      </w:pPr>
      <w:r>
        <w:t xml:space="preserve">When escalating, be ready to describe: the crop and variety, the growth stage, when symptoms were first noticed, what has already been applied (product, dose, and date), recent weather, and irrigation history. This speeds up an accurate remote diagnosis significantly.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2026-07-21T12:48:03.249Z</dcterms:created>
  <dcterms:modified xsi:type="dcterms:W3CDTF">2026-07-21T12:48:03.250Z</dcterms:modified>
</cp:coreProperties>
</file>

<file path=docProps/custom.xml><?xml version="1.0" encoding="utf-8"?>
<Properties xmlns="http://schemas.openxmlformats.org/officeDocument/2006/custom-properties" xmlns:vt="http://schemas.openxmlformats.org/officeDocument/2006/docPropsVTypes"/>
</file>