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b/>
          <w:bCs/>
          <w:sz w:val="56"/>
          <w:szCs w:val="56"/>
        </w:rPr>
        <w:t xml:space="preserve">Exotic Fruit Sapling Varieties: A Planting &amp; Nursery Reference</w:t>
      </w:r>
    </w:p>
    <w:p>
      <w:pPr>
        <w:spacing w:after="480"/>
      </w:pPr>
      <w:r>
        <w:rPr>
          <w:i/>
          <w:iCs/>
          <w:sz w:val="26"/>
          <w:szCs w:val="26"/>
        </w:rPr>
        <w:t xml:space="preserve">A field reference for growers establishing mangosteen, rambutan, dragon fruit, durian, lychee, and longan orchards under South Indian humid-tropical conditions</w:t>
      </w:r>
    </w:p>
    <w:p>
      <w:pPr>
        <w:pStyle w:val="Heading1"/>
      </w:pPr>
      <w:r>
        <w:t xml:space="preserve">1. Introduction &amp; How to Use This Guide</w:t>
      </w:r>
    </w:p>
    <w:p>
      <w:pPr>
        <w:spacing w:after="160"/>
      </w:pPr>
      <w:r>
        <w:t xml:space="preserve">This guide covers sapling selection, planting, and early establishment for six exotic fruit species increasingly grown in South India's humid-tropical belt (coastal Kerala, Tamil Nadu's Western Ghats foothills, and similar microclimates): mangosteen, rambutan, dragon fruit, durian, lychee, and longan. These are high-value, long-gestation crops — a wrong variety choice or a stressed sapling in year one can cost 3-8 years before the mistake becomes obvious, so getting the sapling stage right matters more here than in annual crops.</w:t>
      </w:r>
    </w:p>
    <w:p>
      <w:pPr>
        <w:spacing w:after="160"/>
      </w:pPr>
      <w:r>
        <w:t xml:space="preserve">Each species entry covers recommended varieties, ideal sapling age/height at transplanting, spacing, soil and shade requirements, and the most common problems seen at the nursery and early-establishment stage. Section 8 covers nursery practices common to all species, and Section 9 covers pests and diseases that affect saplings specifically (not mature trees). Section 10 lists red-flag signs that warrant expert consultation before continuing.</w:t>
      </w:r>
    </w:p>
    <w:p>
      <w:pPr>
        <w:pBdr>
          <w:bottom w:val="single" w:color="AAAAAA" w:sz="6" w:space="1"/>
        </w:pBdr>
        <w:spacing w:after="240"/>
      </w:pPr>
    </w:p>
    <w:p>
      <w:pPr>
        <w:pStyle w:val="Heading1"/>
      </w:pPr>
      <w:r>
        <w:t xml:space="preserve">2. Mangosteen (Garcinia mangostana)</w:t>
      </w:r>
    </w:p>
    <w:p>
      <w:pPr>
        <w:spacing w:after="120"/>
      </w:pPr>
      <w:r>
        <w:rPr>
          <w:b/>
          <w:bCs/>
        </w:rPr>
        <w:t xml:space="preserve">Recommended varieties: </w:t>
      </w:r>
      <w:r>
        <w:t xml:space="preserve">Common/local mangosteen (unnamed seedling-propagated selections are the norm, as mangosteen is largely apomictic — seedlings come true to type). MDUA 1 (from Tamil Nadu Agricultural University) is a released selection with more compact growth and earlier bearing than standard seedlings.</w:t>
      </w:r>
    </w:p>
    <w:p>
      <w:pPr>
        <w:spacing w:after="120"/>
      </w:pPr>
      <w:r>
        <w:rPr>
          <w:b/>
          <w:bCs/>
        </w:rPr>
        <w:t xml:space="preserve">Sapling age/height at transplanting: </w:t>
      </w:r>
      <w:r>
        <w:t xml:space="preserve">18-24 months old, 45-60 cm tall, with at least 8-10 mature leaf pairs. Mangosteen saplings grow very slowly and are notoriously sensitive to transplant shock — do not rush to field-plant an undersized sapling.</w:t>
      </w:r>
    </w:p>
    <w:p>
      <w:pPr>
        <w:spacing w:after="120"/>
      </w:pPr>
      <w:r>
        <w:rPr>
          <w:b/>
          <w:bCs/>
        </w:rPr>
        <w:t xml:space="preserve">Soil &amp; shade requirements: </w:t>
      </w:r>
      <w:r>
        <w:t xml:space="preserve">Deep, well-drained loamy soil rich in organic matter, pH 5.5-6.5. Young saplings require 50-60% shade for the first 3-4 years — full sun exposure at this stage is the single most common cause of sapling death. Use a temporary shade net or interplant under an existing coconut/arecanut canopy.</w:t>
      </w:r>
    </w:p>
    <w:p>
      <w:pPr>
        <w:spacing w:after="120"/>
      </w:pPr>
      <w:r>
        <w:rPr>
          <w:b/>
          <w:bCs/>
        </w:rPr>
        <w:t xml:space="preserve">Spacing: </w:t>
      </w:r>
      <w:r>
        <w:t xml:space="preserve">8 x 8 m to 10 x 10 m for mature orchard spacing; nursery bags should be shifted to progressively larger bags (from 15 cm to 30 cm diameter) every 6-8 months before field planting.</w:t>
      </w:r>
    </w:p>
    <w:p>
      <w:pPr>
        <w:spacing w:after="120"/>
      </w:pPr>
      <w:r>
        <w:rPr>
          <w:b/>
          <w:bCs/>
        </w:rPr>
        <w:t xml:space="preserve">Common early-stage issues: </w:t>
      </w:r>
      <w:r>
        <w:t xml:space="preserve">Leaf scorch from direct sun exposure, root rot in poorly drained nursery beds, and very slow visible growth in year 1-2 (normal for this species — do not mistake slow growth alone for a problem).</w:t>
      </w:r>
    </w:p>
    <w:p>
      <w:pPr>
        <w:pBdr>
          <w:bottom w:val="single" w:color="AAAAAA" w:sz="6" w:space="1"/>
        </w:pBdr>
        <w:spacing w:after="240"/>
      </w:pPr>
    </w:p>
    <w:p>
      <w:pPr>
        <w:pStyle w:val="Heading1"/>
      </w:pPr>
      <w:r>
        <w:t xml:space="preserve">3. Rambutan (Nephelium lappaceum)</w:t>
      </w:r>
    </w:p>
    <w:p>
      <w:pPr>
        <w:spacing w:after="120"/>
      </w:pPr>
      <w:r>
        <w:rPr>
          <w:b/>
          <w:bCs/>
        </w:rPr>
        <w:t xml:space="preserve">Recommended varieties: </w:t>
      </w:r>
      <w:r>
        <w:t xml:space="preserve">R156 and R162 (Malaysian clonal selections, grafted, reliable red-fruited types), and Rongrien (Thai variety, larger fruit, good market demand). Always source grafted saplings for named varieties — seedling-propagated rambutan does not come true to type and up to 50% of seedlings can turn out male (non-fruiting).</w:t>
      </w:r>
    </w:p>
    <w:p>
      <w:pPr>
        <w:spacing w:after="120"/>
      </w:pPr>
      <w:r>
        <w:rPr>
          <w:b/>
          <w:bCs/>
        </w:rPr>
        <w:t xml:space="preserve">Sapling age/height at transplanting: </w:t>
      </w:r>
      <w:r>
        <w:t xml:space="preserve">12-15 months from grafting, 60-75 cm tall, with a healed graft union clearly visible and calloused.</w:t>
      </w:r>
    </w:p>
    <w:p>
      <w:pPr>
        <w:spacing w:after="120"/>
      </w:pPr>
      <w:r>
        <w:rPr>
          <w:b/>
          <w:bCs/>
        </w:rPr>
        <w:t xml:space="preserve">Soil &amp; shade requirements: </w:t>
      </w:r>
      <w:r>
        <w:t xml:space="preserve">Deep, well-drained soil with good organic matter, pH 5.5-6.5. Needs full sun once established, but young saplings benefit from 30% shade for the first 6-12 months to reduce transplant stress.</w:t>
      </w:r>
    </w:p>
    <w:p>
      <w:pPr>
        <w:spacing w:after="120"/>
      </w:pPr>
      <w:r>
        <w:rPr>
          <w:b/>
          <w:bCs/>
        </w:rPr>
        <w:t xml:space="preserve">Spacing: </w:t>
      </w:r>
      <w:r>
        <w:t xml:space="preserve">8 x 8 m, occasionally 10 x 10 m for vigorous varieties like Rongrien.</w:t>
      </w:r>
    </w:p>
    <w:p>
      <w:pPr>
        <w:spacing w:after="120"/>
      </w:pPr>
      <w:r>
        <w:rPr>
          <w:b/>
          <w:bCs/>
        </w:rPr>
        <w:t xml:space="preserve">Common early-stage issues: </w:t>
      </w:r>
      <w:r>
        <w:t xml:space="preserve">Graft union failure/snapping in wind if not staked properly in the first year — always stake newly transplanted grafted saplings. Watch for scale insects on new flush growth, which are common in humid nursery conditions.</w:t>
      </w:r>
    </w:p>
    <w:p>
      <w:pPr>
        <w:pBdr>
          <w:bottom w:val="single" w:color="AAAAAA" w:sz="6" w:space="1"/>
        </w:pBdr>
        <w:spacing w:after="240"/>
      </w:pPr>
    </w:p>
    <w:p>
      <w:pPr>
        <w:pStyle w:val="Heading1"/>
      </w:pPr>
      <w:r>
        <w:t xml:space="preserve">4. Dragon Fruit (Hylocereus spp.)</w:t>
      </w:r>
    </w:p>
    <w:p>
      <w:pPr>
        <w:spacing w:after="120"/>
      </w:pPr>
      <w:r>
        <w:rPr>
          <w:b/>
          <w:bCs/>
        </w:rPr>
        <w:t xml:space="preserve">Recommended varieties: </w:t>
      </w:r>
      <w:r>
        <w:t xml:space="preserve">Hylocereus undatus (white flesh, red skin — most widely planted, hardiest), Hylocereus costaricensis (red flesh, red skin — higher market price, slightly more disease-prone), and Selenicereus megalanthus (yellow skin — niche premium variety, slower growing).</w:t>
      </w:r>
    </w:p>
    <w:p>
      <w:pPr>
        <w:spacing w:after="120"/>
      </w:pPr>
      <w:r>
        <w:rPr>
          <w:b/>
          <w:bCs/>
        </w:rPr>
        <w:t xml:space="preserve">Sapling/cutting establishment: </w:t>
      </w:r>
      <w:r>
        <w:t xml:space="preserve">Propagated from stem cuttings, not seed. Use cuttings 30-45 cm long from healthy, disease-free mother plants, cured (air-dried in shade) for 5-7 days before planting to callous the cut end and prevent rot.</w:t>
      </w:r>
    </w:p>
    <w:p>
      <w:pPr>
        <w:spacing w:after="120"/>
      </w:pPr>
      <w:r>
        <w:rPr>
          <w:b/>
          <w:bCs/>
        </w:rPr>
        <w:t xml:space="preserve">Soil &amp; shade requirements: </w:t>
      </w:r>
      <w:r>
        <w:t xml:space="preserve">Well-drained sandy loam, pH 6.0-7.0. This is a cactus — the single most common cause of young plant death is waterlogging, not drought. Full sun is preferred once established; light shade for the first 2-3 months after planting reduces sunburn/scarring on new cuttings.</w:t>
      </w:r>
    </w:p>
    <w:p>
      <w:pPr>
        <w:spacing w:after="120"/>
      </w:pPr>
      <w:r>
        <w:rPr>
          <w:b/>
          <w:bCs/>
        </w:rPr>
        <w:t xml:space="preserve">Spacing &amp; support: </w:t>
      </w:r>
      <w:r>
        <w:t xml:space="preserve">3 x 3 m with a sturdy concrete or wooden post (2-2.5 m tall) per plant, since dragon fruit is a climbing cactus requiring permanent support from planting onward — the support structure should be installed before or at planting, not added later.</w:t>
      </w:r>
    </w:p>
    <w:p>
      <w:pPr>
        <w:spacing w:after="120"/>
      </w:pPr>
      <w:r>
        <w:rPr>
          <w:b/>
          <w:bCs/>
        </w:rPr>
        <w:t xml:space="preserve">Common early-stage issues: </w:t>
      </w:r>
      <w:r>
        <w:t xml:space="preserve">Stem rot at the base from waterlogged soil or planting the cutting too deep (plant only 5-7 cm of the cut end into the soil). Sunburn/yellowing on cuttings moved from a shaded nursery directly into full sun without a hardening-off period.</w:t>
      </w:r>
    </w:p>
    <w:p>
      <w:pPr>
        <w:pBdr>
          <w:bottom w:val="single" w:color="AAAAAA" w:sz="6" w:space="1"/>
        </w:pBdr>
        <w:spacing w:after="240"/>
      </w:pPr>
    </w:p>
    <w:p>
      <w:pPr>
        <w:pStyle w:val="Heading1"/>
      </w:pPr>
      <w:r>
        <w:t xml:space="preserve">5. Durian (Durio zibethinus)</w:t>
      </w:r>
    </w:p>
    <w:p>
      <w:pPr>
        <w:spacing w:after="120"/>
      </w:pPr>
      <w:r>
        <w:rPr>
          <w:b/>
          <w:bCs/>
        </w:rPr>
        <w:t xml:space="preserve">Recommended varieties: </w:t>
      </w:r>
      <w:r>
        <w:t xml:space="preserve">Monthong (Thai variety, most widely planted commercially, consistent quality, thicker husk that ships well) and Musang King (premium Malaysian variety, higher price but more exacting climate requirements and less tolerant of marginal conditions — recommend only for growers with assured irrigation and wind protection).</w:t>
      </w:r>
    </w:p>
    <w:p>
      <w:pPr>
        <w:spacing w:after="120"/>
      </w:pPr>
      <w:r>
        <w:rPr>
          <w:b/>
          <w:bCs/>
        </w:rPr>
        <w:t xml:space="preserve">Sapling age/height at transplanting: </w:t>
      </w:r>
      <w:r>
        <w:t xml:space="preserve">Grafted saplings, 12-18 months old, 60-90 cm tall, with at least 2-3 flushes of mature leaves above the graft union.</w:t>
      </w:r>
    </w:p>
    <w:p>
      <w:pPr>
        <w:spacing w:after="120"/>
      </w:pPr>
      <w:r>
        <w:rPr>
          <w:b/>
          <w:bCs/>
        </w:rPr>
        <w:t xml:space="preserve">Soil &amp; shade requirements: </w:t>
      </w:r>
      <w:r>
        <w:t xml:space="preserve">Deep, well-drained, slightly acidic soil (pH 5.5-6.5), with a water table at least 1.5 m below the surface — durian roots are very sensitive to waterlogging. Young saplings need 40-50% shade for the first year; durian is also highly sensitive to strong wind, which can snap young stems, so windbreak planting is strongly advised in exposed sites.</w:t>
      </w:r>
    </w:p>
    <w:p>
      <w:pPr>
        <w:spacing w:after="120"/>
      </w:pPr>
      <w:r>
        <w:rPr>
          <w:b/>
          <w:bCs/>
        </w:rPr>
        <w:t xml:space="preserve">Spacing: </w:t>
      </w:r>
      <w:r>
        <w:t xml:space="preserve">10 x 10 m to 12 x 12 m given the eventual canopy size.</w:t>
      </w:r>
    </w:p>
    <w:p>
      <w:pPr>
        <w:spacing w:after="120"/>
      </w:pPr>
      <w:r>
        <w:rPr>
          <w:b/>
          <w:bCs/>
        </w:rPr>
        <w:t xml:space="preserve">Common early-stage issues: </w:t>
      </w:r>
      <w:r>
        <w:t xml:space="preserve">Root rot (Phytophthora) in poorly drained sites — this is the leading cause of durian sapling failure in the region. Wind damage to unstaked young trees. Leaf scorch if shade is removed too early.</w:t>
      </w:r>
    </w:p>
    <w:p>
      <w:pPr>
        <w:pBdr>
          <w:bottom w:val="single" w:color="AAAAAA" w:sz="6" w:space="1"/>
        </w:pBdr>
        <w:spacing w:after="240"/>
      </w:pPr>
    </w:p>
    <w:p>
      <w:pPr>
        <w:pStyle w:val="Heading1"/>
      </w:pPr>
      <w:r>
        <w:t xml:space="preserve">6. Lychee / Litchi (Litchi chinensis)</w:t>
      </w:r>
    </w:p>
    <w:p>
      <w:pPr>
        <w:spacing w:after="120"/>
      </w:pPr>
      <w:r>
        <w:rPr>
          <w:b/>
          <w:bCs/>
        </w:rPr>
        <w:t xml:space="preserve">Recommended varieties: </w:t>
      </w:r>
      <w:r>
        <w:t xml:space="preserve">Muzaffarpur/Shahi (early-season, reliable in warmer subtropical-leaning pockets), and China/Bombai types (adapted to slightly cooler night temperatures, useful at higher elevation sites). Note that lychee generally needs a mild winter chill period for good flowering, and is markedly more reliable in higher-elevation Western Ghats sites than in the hot coastal plains.</w:t>
      </w:r>
    </w:p>
    <w:p>
      <w:pPr>
        <w:spacing w:after="120"/>
      </w:pPr>
      <w:r>
        <w:rPr>
          <w:b/>
          <w:bCs/>
        </w:rPr>
        <w:t xml:space="preserve">Sapling age/height at transplanting: </w:t>
      </w:r>
      <w:r>
        <w:t xml:space="preserve">Air-layered (gootee) saplings, 10-12 months old, 60-90 cm tall, with a well-developed independent root ball — air-layering is strongly preferred over seedlings, since seedling lychee takes 8-10 years longer to bear and is unreliable for fruit quality.</w:t>
      </w:r>
    </w:p>
    <w:p>
      <w:pPr>
        <w:spacing w:after="120"/>
      </w:pPr>
      <w:r>
        <w:rPr>
          <w:b/>
          <w:bCs/>
        </w:rPr>
        <w:t xml:space="preserve">Soil &amp; shade requirements: </w:t>
      </w:r>
      <w:r>
        <w:t xml:space="preserve">Deep loamy soil with good moisture retention, pH 5.5-7.0. Young plants benefit from partial shade (30%) for the first year, particularly in hotter low-elevation sites.</w:t>
      </w:r>
    </w:p>
    <w:p>
      <w:pPr>
        <w:spacing w:after="120"/>
      </w:pPr>
      <w:r>
        <w:rPr>
          <w:b/>
          <w:bCs/>
        </w:rPr>
        <w:t xml:space="preserve">Spacing: </w:t>
      </w:r>
      <w:r>
        <w:t xml:space="preserve">8 x 8 m to 10 x 10 m.</w:t>
      </w:r>
    </w:p>
    <w:p>
      <w:pPr>
        <w:spacing w:after="120"/>
      </w:pPr>
      <w:r>
        <w:rPr>
          <w:b/>
          <w:bCs/>
        </w:rPr>
        <w:t xml:space="preserve">Common early-stage issues: </w:t>
      </w:r>
      <w:r>
        <w:t xml:space="preserve">Poor establishment and root strike failure in air-layered saplings that were separated from the mother plant too early (before the root ball is fully independent) — always confirm a well-developed root mass before potting on. Leaf browning from low humidity during the first dry season after planting.</w:t>
      </w:r>
    </w:p>
    <w:p>
      <w:pPr>
        <w:pBdr>
          <w:bottom w:val="single" w:color="AAAAAA" w:sz="6" w:space="1"/>
        </w:pBdr>
        <w:spacing w:after="240"/>
      </w:pPr>
    </w:p>
    <w:p>
      <w:pPr>
        <w:pStyle w:val="Heading1"/>
      </w:pPr>
      <w:r>
        <w:t xml:space="preserve">7. Longan (Dimocarpus longan)</w:t>
      </w:r>
    </w:p>
    <w:p>
      <w:pPr>
        <w:spacing w:after="120"/>
      </w:pPr>
      <w:r>
        <w:rPr>
          <w:b/>
          <w:bCs/>
        </w:rPr>
        <w:t xml:space="preserve">Recommended varieties: </w:t>
      </w:r>
      <w:r>
        <w:t xml:space="preserve">Chompoo (Thai, pink-fleshed, premium) and Diamond River / E-Daw (widely planted, reliable bearer, good general-purpose choice for a first orchard).</w:t>
      </w:r>
    </w:p>
    <w:p>
      <w:pPr>
        <w:spacing w:after="120"/>
      </w:pPr>
      <w:r>
        <w:rPr>
          <w:b/>
          <w:bCs/>
        </w:rPr>
        <w:t xml:space="preserve">Sapling age/height at transplanting: </w:t>
      </w:r>
      <w:r>
        <w:t xml:space="preserve">Grafted or air-layered saplings, 10-15 months old, 50-75 cm tall.</w:t>
      </w:r>
    </w:p>
    <w:p>
      <w:pPr>
        <w:spacing w:after="120"/>
      </w:pPr>
      <w:r>
        <w:rPr>
          <w:b/>
          <w:bCs/>
        </w:rPr>
        <w:t xml:space="preserve">Soil &amp; shade requirements: </w:t>
      </w:r>
      <w:r>
        <w:t xml:space="preserve">Well-drained loamy soil, pH 5.5-7.0; more tolerant of both drought and marginal soils than lychee or mangosteen, making it a reasonable starter crop for a grower testing exotic fruit cultivation for the first time. Light shade (20-30%) for the first 6 months is sufficient.</w:t>
      </w:r>
    </w:p>
    <w:p>
      <w:pPr>
        <w:spacing w:after="120"/>
      </w:pPr>
      <w:r>
        <w:rPr>
          <w:b/>
          <w:bCs/>
        </w:rPr>
        <w:t xml:space="preserve">Spacing: </w:t>
      </w:r>
      <w:r>
        <w:t xml:space="preserve">8 x 8 m.</w:t>
      </w:r>
    </w:p>
    <w:p>
      <w:pPr>
        <w:spacing w:after="120"/>
      </w:pPr>
      <w:r>
        <w:rPr>
          <w:b/>
          <w:bCs/>
        </w:rPr>
        <w:t xml:space="preserve">Common early-stage issues: </w:t>
      </w:r>
      <w:r>
        <w:t xml:space="preserve">Generally hardier than the other species in this guide at the sapling stage; the main risks are the same generic nursery issues covered in Section 8 rather than species-specific problems.</w:t>
      </w:r>
    </w:p>
    <w:p>
      <w:pPr>
        <w:pBdr>
          <w:bottom w:val="single" w:color="AAAAAA" w:sz="6" w:space="1"/>
        </w:pBdr>
        <w:spacing w:after="240"/>
      </w:pPr>
    </w:p>
    <w:p>
      <w:pPr>
        <w:pStyle w:val="Heading1"/>
      </w:pPr>
      <w:r>
        <w:t xml:space="preserve">8. General Nursery &amp; Sapling Care Practices</w:t>
      </w:r>
    </w:p>
    <w:p>
      <w:pPr>
        <w:pStyle w:val="Heading2"/>
      </w:pPr>
      <w:r>
        <w:t xml:space="preserve">8.1 Potting Mix</w:t>
      </w:r>
    </w:p>
    <w:p>
      <w:pPr>
        <w:spacing w:after="160"/>
      </w:pPr>
      <w:r>
        <w:t xml:space="preserve">A standard mix for all species in this guide: 2 parts well-decomposed cow dung or compost, 1 part coarse river sand, 1 part red soil or loamy topsoil, with a handful of neem cake mixed in per bag to deter early root pests. Avoid mixes that stay waterlogged — all six species here are more sensitive to excess moisture at the root than to underwatering.</w:t>
      </w:r>
    </w:p>
    <w:p>
      <w:pPr>
        <w:pStyle w:val="Heading2"/>
      </w:pPr>
      <w:r>
        <w:t xml:space="preserve">8.2 Hardening Off</w:t>
      </w:r>
    </w:p>
    <w:p>
      <w:pPr>
        <w:spacing w:after="160"/>
      </w:pPr>
      <w:r>
        <w:t xml:space="preserve">Saplings raised under nursery shade must be gradually acclimatised to field sun conditions over 2-3 weeks before transplanting — reduce shade cloth density in stages rather than moving a fully shaded sapling directly into open field sun. Skipping this step is one of the most common causes of leaf scorch and transplant failure across all species covered here.</w:t>
      </w:r>
    </w:p>
    <w:p>
      <w:pPr>
        <w:pStyle w:val="Heading2"/>
      </w:pPr>
      <w:r>
        <w:t xml:space="preserve">8.3 Transplant Shock Prevention</w:t>
      </w:r>
    </w:p>
    <w:p>
      <w:pPr>
        <w:pStyle w:val="ListParagraph"/>
        <w:numPr>
          <w:ilvl w:val="0"/>
          <w:numId w:val="2"/>
        </w:numPr>
        <w:spacing w:after="60"/>
      </w:pPr>
      <w:r>
        <w:t xml:space="preserve">Transplant in the early morning or late evening, never in the heat of the day.</w:t>
      </w:r>
    </w:p>
    <w:p>
      <w:pPr>
        <w:pStyle w:val="ListParagraph"/>
        <w:numPr>
          <w:ilvl w:val="0"/>
          <w:numId w:val="2"/>
        </w:numPr>
        <w:spacing w:after="60"/>
      </w:pPr>
      <w:r>
        <w:t xml:space="preserve">Water thoroughly immediately after transplanting and maintain consistent soil moisture (not waterlogged) for the first 4-6 weeks.</w:t>
      </w:r>
    </w:p>
    <w:p>
      <w:pPr>
        <w:pStyle w:val="ListParagraph"/>
        <w:numPr>
          <w:ilvl w:val="0"/>
          <w:numId w:val="2"/>
        </w:numPr>
        <w:spacing w:after="60"/>
      </w:pPr>
      <w:r>
        <w:t xml:space="preserve">Stake all grafted and top-heavy saplings (rambutan, durian, dragon fruit) at planting time — do not wait until wind damage occurs.</w:t>
      </w:r>
    </w:p>
    <w:p>
      <w:pPr>
        <w:pStyle w:val="ListParagraph"/>
        <w:numPr>
          <w:ilvl w:val="0"/>
          <w:numId w:val="2"/>
        </w:numPr>
        <w:spacing w:after="60"/>
      </w:pPr>
      <w:r>
        <w:t xml:space="preserve">Avoid fertilising heavily in the first 2-3 weeks after transplanting; a light diluted feed is safer than a full dose on a stressed root system.</w:t>
      </w:r>
    </w:p>
    <w:p>
      <w:pPr>
        <w:pStyle w:val="Heading2"/>
      </w:pPr>
      <w:r>
        <w:t xml:space="preserve">8.4 Fertilisation Schedule for Young Plants (Year 1-2)</w:t>
      </w:r>
    </w:p>
    <w:p>
      <w:pPr>
        <w:spacing w:after="160"/>
      </w:pPr>
      <w:r>
        <w:t xml:space="preserve">Apply a balanced NPK (e.g. 10:10:10 or similar) at 50-100 g per plant every 2-3 months during the first two years, increasing gradually as the plant grows. Supplement with well-rotted farmyard manure or compost (5-10 kg per plant) once or twice a year. Avoid urea-heavy feeding on young saplings of mangosteen and durian in particular, since both are sensitive to root-zone salt buildup at this stage.</w:t>
      </w:r>
    </w:p>
    <w:p>
      <w:pPr>
        <w:pBdr>
          <w:bottom w:val="single" w:color="AAAAAA" w:sz="6" w:space="1"/>
        </w:pBdr>
        <w:spacing w:after="240"/>
      </w:pPr>
    </w:p>
    <w:p>
      <w:pPr>
        <w:pStyle w:val="Heading1"/>
      </w:pPr>
      <w:r>
        <w:t xml:space="preserve">9. Common Sapling-Stage Pests &amp; Diseases</w:t>
      </w:r>
    </w:p>
    <w:p>
      <w:pPr>
        <w:pStyle w:val="Heading2"/>
      </w:pPr>
      <w:r>
        <w:t xml:space="preserve">9.1 Root Rot (Phytophthora spp.)</w:t>
      </w:r>
    </w:p>
    <w:p>
      <w:pPr>
        <w:spacing w:after="120"/>
      </w:pPr>
      <w:r>
        <w:rPr>
          <w:b/>
          <w:bCs/>
        </w:rPr>
        <w:t xml:space="preserve">Symptoms: </w:t>
      </w:r>
      <w:r>
        <w:t xml:space="preserve">Wilting despite moist soil, yellowing lower leaves, and a soft, discoloured root mass when the plant is lifted for inspection. Most damaging in durian, mangosteen, and lychee saplings in poorly drained nursery beds or field sites.</w:t>
      </w:r>
    </w:p>
    <w:p>
      <w:pPr>
        <w:spacing w:after="120"/>
      </w:pPr>
      <w:r>
        <w:rPr>
          <w:b/>
          <w:bCs/>
        </w:rPr>
        <w:t xml:space="preserve">Management: </w:t>
      </w:r>
      <w:r>
        <w:t xml:space="preserve">Improve drainage first — this is a site/media problem more than a spray problem. Drench affected plants with a copper oxychloride solution (3 g/litre) or a metalaxyl-based fungicide (2 g/litre) as a soil drench. Avoid reusing potting mix from a bed that has had a root rot outbreak.</w:t>
      </w:r>
    </w:p>
    <w:p>
      <w:pPr>
        <w:pStyle w:val="Heading2"/>
      </w:pPr>
      <w:r>
        <w:t xml:space="preserve">9.2 Scale Insects &amp; Mealybugs</w:t>
      </w:r>
    </w:p>
    <w:p>
      <w:pPr>
        <w:spacing w:after="120"/>
      </w:pPr>
      <w:r>
        <w:rPr>
          <w:b/>
          <w:bCs/>
        </w:rPr>
        <w:t xml:space="preserve">Symptoms: </w:t>
      </w:r>
      <w:r>
        <w:t xml:space="preserve">Small, immobile brown or white waxy insects clustered on stems and leaf undersides, sticky honeydew, sooty mould growth. Common on rambutan and longan nursery stock, especially in crowded, poorly ventilated nursery beds.</w:t>
      </w:r>
    </w:p>
    <w:p>
      <w:pPr>
        <w:spacing w:after="120"/>
      </w:pPr>
      <w:r>
        <w:rPr>
          <w:b/>
          <w:bCs/>
        </w:rPr>
        <w:t xml:space="preserve">Management: </w:t>
      </w:r>
      <w:r>
        <w:t xml:space="preserve">Spray horticultural mineral oil (10-15 ml/litre) or neem oil (5 ml/litre) thoroughly covering the undersides of leaves and stem crevices, repeating every 10-14 days. Improve spacing between nursery bags to reduce humidity and pest spread.</w:t>
      </w:r>
    </w:p>
    <w:p>
      <w:pPr>
        <w:pStyle w:val="Heading2"/>
      </w:pPr>
      <w:r>
        <w:t xml:space="preserve">9.3 Anthracnose</w:t>
      </w:r>
    </w:p>
    <w:p>
      <w:pPr>
        <w:spacing w:after="120"/>
      </w:pPr>
      <w:r>
        <w:rPr>
          <w:b/>
          <w:bCs/>
        </w:rPr>
        <w:t xml:space="preserve">Symptoms: </w:t>
      </w:r>
      <w:r>
        <w:t xml:space="preserve">Dark, sunken leaf spots that expand and merge, sometimes with a yellow halo; new flush growth can blacken and die back. Common across all six species in humid, poorly ventilated nursery conditions.</w:t>
      </w:r>
    </w:p>
    <w:p>
      <w:pPr>
        <w:spacing w:after="120"/>
      </w:pPr>
      <w:r>
        <w:rPr>
          <w:b/>
          <w:bCs/>
        </w:rPr>
        <w:t xml:space="preserve">Management: </w:t>
      </w:r>
      <w:r>
        <w:t xml:space="preserve">Spray carbendazim (1 g/litre) or a copper-based fungicide (2.5 g/litre) at the first sign of spotting, repeating every 10 days during humid weather. Thin out overcrowded nursery beds to improve airflow, which reduces recurrence more reliably than repeated spraying alone.</w:t>
      </w:r>
    </w:p>
    <w:p>
      <w:pPr>
        <w:pBdr>
          <w:bottom w:val="single" w:color="AAAAAA" w:sz="6" w:space="1"/>
        </w:pBdr>
        <w:spacing w:after="240"/>
      </w:pPr>
    </w:p>
    <w:p>
      <w:pPr>
        <w:pStyle w:val="Heading1"/>
      </w:pPr>
      <w:r>
        <w:t xml:space="preserve">10. When to Escalate: Red Flags at the Sapling Stage</w:t>
      </w:r>
    </w:p>
    <w:p>
      <w:pPr>
        <w:spacing w:after="160"/>
      </w:pPr>
      <w:r>
        <w:t xml:space="preserve">These are high-value, slow-growing crops where a wrong call at the sapling stage can mean losing years of growth, not just a season. The following situations warrant a call to a nursery specialist or horticulture extension officer before continuing on your own:</w:t>
      </w:r>
    </w:p>
    <w:p>
      <w:pPr>
        <w:pStyle w:val="ListParagraph"/>
        <w:numPr>
          <w:ilvl w:val="0"/>
          <w:numId w:val="2"/>
        </w:numPr>
        <w:spacing w:after="60"/>
      </w:pPr>
      <w:r>
        <w:t xml:space="preserve">Sudden wilting of an otherwise healthy-looking sapling — often root rot already advanced below ground; digging up one plant to check roots is worth the disturbance to save the rest of the batch.</w:t>
      </w:r>
    </w:p>
    <w:p>
      <w:pPr>
        <w:pStyle w:val="ListParagraph"/>
        <w:numPr>
          <w:ilvl w:val="0"/>
          <w:numId w:val="2"/>
        </w:numPr>
        <w:spacing w:after="60"/>
      </w:pPr>
      <w:r>
        <w:t xml:space="preserve">Any graft union that looks split, blackened, or is oozing — a failing graft cannot usually be saved by spraying and may need re-grafting or replacement.</w:t>
      </w:r>
    </w:p>
    <w:p>
      <w:pPr>
        <w:pStyle w:val="ListParagraph"/>
        <w:numPr>
          <w:ilvl w:val="0"/>
          <w:numId w:val="2"/>
        </w:numPr>
        <w:spacing w:after="60"/>
      </w:pPr>
      <w:r>
        <w:t xml:space="preserve">A batch of saplings from the same nursery source showing identical symptoms — this points to a nursery-level problem (contaminated media, disease in stock plants) rather than a field management issue, and affects your ability to trust that source for future purchases.</w:t>
      </w:r>
    </w:p>
    <w:p>
      <w:pPr>
        <w:pStyle w:val="ListParagraph"/>
        <w:numPr>
          <w:ilvl w:val="0"/>
          <w:numId w:val="2"/>
        </w:numPr>
        <w:spacing w:after="60"/>
      </w:pPr>
      <w:r>
        <w:t xml:space="preserve">Uncertainty about whether a mangosteen or rambutan sapling is a true-to-type selection versus an unreliable seedling — this is very hard to verify visually before fruiting and is worth confirming with the source nursery in writing before large-scale planting.</w:t>
      </w:r>
    </w:p>
    <w:p>
      <w:pPr>
        <w:pStyle w:val="ListParagraph"/>
        <w:numPr>
          <w:ilvl w:val="0"/>
          <w:numId w:val="2"/>
        </w:numPr>
        <w:spacing w:after="60"/>
      </w:pPr>
      <w:r>
        <w:t xml:space="preserve">Any unexpected large-scale dieback across a newly planted block, especially after a heavy rain event (likely waterlogging/root rot) or a heatwave (likely transplant shock/sunburn) — a fast diagnosis affects whether replanting the same season is still possible.</w:t>
      </w:r>
    </w:p>
    <w:p>
      <w:pPr>
        <w:spacing w:after="160"/>
      </w:pPr>
      <w:r>
        <w:t xml:space="preserve">When escalating, be ready to describe: species and variety, sapling source and age, planting date, soil drainage conditions, recent weather, and what shade/irrigation regime has been followed since planting.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2026-07-22T06:11:00.604Z</dcterms:created>
  <dcterms:modified xsi:type="dcterms:W3CDTF">2026-07-22T06:11:00.605Z</dcterms:modified>
</cp:coreProperties>
</file>

<file path=docProps/custom.xml><?xml version="1.0" encoding="utf-8"?>
<Properties xmlns="http://schemas.openxmlformats.org/officeDocument/2006/custom-properties" xmlns:vt="http://schemas.openxmlformats.org/officeDocument/2006/docPropsVTypes"/>
</file>