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RESCUEPATH AI: INTELLIGENT DISASTER RESPONSE &amp; EVACUATION PLATFORM</w:t>
      </w:r>
    </w:p>
    <w:p>
      <w:pPr>
        <w:spacing w:after="320"/>
        <w:jc w:val="center"/>
      </w:pPr>
      <w:r>
        <w:rPr>
          <w:b/>
          <w:color w:val="0E7490"/>
          <w:sz w:val="22"/>
        </w:rPr>
        <w:t>A Unified Sequential and Spatial Data Mining Framework for Predictive Flood Hazard Mapping and Risk-Penalized Evacuation Pathfinding</w:t>
        <w:br/>
      </w:r>
      <w:r>
        <w:rPr>
          <w:color w:val="64748B"/>
          <w:sz w:val="19"/>
        </w:rPr>
        <w:t>Author: Karthikeyan A (Registration No: 23MIA1123)</w:t>
        <w:br/>
        <w:t>Course: CSE3068 Sequential and Spatial Data Mining (SSDM) — Winter Semester</w:t>
        <w:br/>
        <w:t>Academic Project Comprehensive Technical Report &amp; Review Deliverable</w:t>
      </w:r>
    </w:p>
    <w:p>
      <w:pPr>
        <w:spacing w:after="80"/>
      </w:pPr>
    </w:p>
    <w:tbl>
      <w:tblPr>
        <w:tblW w:type="auto" w:w="0"/>
        <w:jc w:val="center"/>
        <w:tblLayout w:type="fixed"/>
        <w:tblLook w:firstColumn="1" w:firstRow="1" w:lastColumn="0" w:lastRow="0" w:noHBand="0" w:noVBand="1" w:val="04A0"/>
      </w:tblPr>
      <w:tblGrid>
        <w:gridCol w:w="9792"/>
      </w:tblGrid>
      <w:tr>
        <w:tc>
          <w:tcPr>
            <w:tcW w:type="dxa" w:w="9360"/>
            <w:shd w:fill="F0F9FF"/>
            <w:tcMar>
              <w:top w:w="140" w:type="dxa"/>
              <w:bottom w:w="140" w:type="dxa"/>
              <w:left w:w="200" w:type="dxa"/>
              <w:right w:w="200" w:type="dxa"/>
            </w:tcMar>
          </w:tcPr>
          <w:p>
            <w:pPr>
              <w:spacing w:after="40"/>
            </w:pPr>
            <w:r>
              <w:rPr>
                <w:b/>
                <w:color w:val="075985"/>
                <w:sz w:val="19"/>
              </w:rPr>
              <w:t xml:space="preserve">[EXECUTIVE ABSTRACT] </w:t>
            </w:r>
            <w:r>
              <w:rPr>
                <w:color w:val="1E293B"/>
                <w:sz w:val="18"/>
              </w:rPr>
              <w:t>ABSTRACT: Monsoonal flash floods and dam crest releases in India (e.g., Kerala Periyar Basin and Assam Brahmaputra Basin) affect over 7.5 million hectares annually, costing hundreds of lives due to systemic disconnects between hydrologic time-series forecasts and static GPS navigation algorithms. Conventional GPS routers (Dijkstra/Euclidean shortest path) guide fleeing convoys directly through submerged valleys and breached bridges. RescuePath AI bridges this crisis through a novel three-tier data mining methodology: (1) Sequential Data Mining via sliding-window temporal feature extraction, runoff saturation coupling, and multi-step (+24h, +48h, +72h) river crest horizon prediction; (2) Spatial Data Mining via Spatio-Temporal DBSCAN (ST-DBSCAN with Haversine distance), SciPy Convex Hull polygon bounding, and Global Moran's I spatial autocorrelation hypothesis testing; and (3) Spatial Graph Mining on road network graphs G=(V,E) featuring dynamic risk-penalized edge impedance, automatic severance of submerged links (Cost=∞), and Pareto-optimal shelter allocation using admissible A* pathfinding. Empirical testing confirms an 84.7% reduction in cumulative hazard exposure, 0 submerged corridor crossings, and sub-15ms route computation latency across multi-basin disaster scenarios.</w:t>
            </w:r>
          </w:p>
        </w:tc>
      </w:tr>
    </w:tbl>
    <w:p>
      <w:pPr>
        <w:spacing w:after="80"/>
      </w:pPr>
    </w:p>
    <w:p>
      <w:pPr>
        <w:spacing w:after="200"/>
      </w:pPr>
      <w:r>
        <w:t>Keywords: Sequential Data Mining, Spatial Data Mining, ST-DBSCAN Clustering, Global Moran's I, Kernel Density Estimation, Risk-Penalized A* Pathfinding, Flood Disaster Response, Graph Mining.</w:t>
      </w:r>
    </w:p>
    <w:p>
      <w:pPr>
        <w:pStyle w:val="Heading1"/>
        <w:spacing w:before="280" w:after="100"/>
      </w:pPr>
      <w:r>
        <w:rPr>
          <w:b/>
          <w:color w:val="1E3A8A"/>
          <w:sz w:val="32"/>
        </w:rPr>
        <w:t>1. Introduction &amp; Problem Motivation</w:t>
      </w:r>
    </w:p>
    <w:p>
      <w:r>
        <w:t>According to the National Disaster Management Authority (NDMA) and the Central Water Commission (CWC) of India, recurring monsoon inundations affect approximately 7.5 million hectares of agricultural and urban land each year, causing economic damages exceeding INR 40,000 crores. Recent high-severity flood emergencies—such as the devastating 2018 and 2024 inundations across Kerala's Periyar River Basin (Aluva, Eloor, Kalamassery) and recurrent catastrophic spates along the Brahmaputra River in Assam (Guwahati, Kamrup)—reveal three fatal operational silos in modern emergency disaster response:</w:t>
      </w:r>
    </w:p>
    <w:p>
      <w:r>
        <w:t>1. Disconnected Temporal Forecasting: Meteorological rainfall forecasts (IMD) and dam reservoir discharge telemetry (CWC) operate in temporal isolation from municipal transportation networks. Emergency dispatchers receive gauge height predictions without knowing which specific downstream arterial corridors will be severed.</w:t>
        <w:br/>
        <w:t>2. Hazard-Blind Shortest Path Navigation: Mainstream routing engines (e.g., Google Maps, OpenStreetMap Dijkstra) calculate routes solely based on distance or free-flow travel speed. In an active flood, the shortest Euclidean corridor typically traverses the lowest valley elevation, directly funneling fleeing evacuees into submerged underpasses and washed-out bridges.</w:t>
        <w:br/>
        <w:t>3. Unstructured Multi-Source Incident Telemetry: Distress calls (citizen SOS pings), telemetry water level alerts, and police reports arrive as high-entropy point clouds. Disaster relief command centers lack automated spatial clustering mechanisms to distinguish authentic disaster epicenters from isolated drainage overflows.</w:t>
      </w:r>
    </w:p>
    <w:p>
      <w:r>
        <w:t>RescuePath AI resolves these critical deficiencies by unifying Sequential Data Mining (time-series sequence modeling) and Spatial Data Mining (geographic clustering, spatial autocorrelation, and network graph pathfinding) into an end-to-end command and control ecosystem.</w:t>
      </w:r>
    </w:p>
    <w:p>
      <w:pPr>
        <w:pStyle w:val="Heading1"/>
        <w:spacing w:before="280" w:after="100"/>
      </w:pPr>
      <w:r>
        <w:rPr>
          <w:b/>
          <w:color w:val="1E3A8A"/>
          <w:sz w:val="32"/>
        </w:rPr>
        <w:t>2. End-to-End System Architecture</w:t>
      </w:r>
    </w:p>
    <w:p>
      <w:r>
        <w:t>RescuePath AI is structured as a four-tier distributed software architecture engineered for sub-second query latency and robust fault tolerance. The architecture decouples the front-end presentation engine from the mathematical mining and geospatial routing tiers.</w:t>
      </w:r>
    </w:p>
    <w:p>
      <w:pPr>
        <w:spacing w:after="40"/>
      </w:pPr>
    </w:p>
    <w:p>
      <w:r>
        <w:drawing>
          <wp:inline xmlns:a="http://schemas.openxmlformats.org/drawingml/2006/main" xmlns:pic="http://schemas.openxmlformats.org/drawingml/2006/picture">
            <wp:extent cx="5852160" cy="399010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852160" cy="3990109"/>
                    </a:xfrm>
                    <a:prstGeom prst="rect"/>
                  </pic:spPr>
                </pic:pic>
              </a:graphicData>
            </a:graphic>
          </wp:inline>
        </w:drawing>
      </w:r>
    </w:p>
    <w:p>
      <w:pPr>
        <w:spacing w:after="200"/>
        <w:jc w:val="center"/>
      </w:pPr>
      <w:r>
        <w:rPr>
          <w:i/>
          <w:color w:val="64748B"/>
          <w:sz w:val="17"/>
        </w:rPr>
        <w:t>Figure 1: RescuePath AI Four-Tier End-to-End System Architecture</w:t>
      </w:r>
    </w:p>
    <w:p>
      <w:pPr>
        <w:pStyle w:val="Heading2"/>
        <w:spacing w:before="280" w:after="100"/>
      </w:pPr>
      <w:r>
        <w:rPr>
          <w:b/>
          <w:color w:val="0E7490"/>
          <w:sz w:val="26"/>
        </w:rPr>
        <w:t>2.1 Architectural Tier Breakdown</w:t>
      </w:r>
    </w:p>
    <w:p>
      <w:r>
        <w:t>• Tier 1: Presentation Tier (React 18, Leaflet, CartoDB Dark Matter Basemap, Vite):</w:t>
        <w:br/>
        <w:t xml:space="preserve">  Provides a GIS command console featuring real-time GeoJSON vector overlays, CartoDB authenticated dark-mode raster basemaps, interactive evacuee origin selection, convex hull hazard polygons, and dual-route visual contrast.</w:t>
        <w:br/>
        <w:t>• Tier 2: API Gateway Tier (FastAPI, Uvicorn, Asynchronous REST):</w:t>
        <w:br/>
        <w:t xml:space="preserve">  Exposes high-speed asynchronous REST endpoints (/api/sequential, /api/spatial, /api/routing, /api/shelters, /api/simulation) with automatic OpenAPI/Swagger schema validation.</w:t>
        <w:br/>
        <w:t>• Tier 3: Core SSDM Algorithmic Engines (Python 3.14, NetworkX, SciPy, Scikit-learn, NumPy):</w:t>
        <w:br/>
        <w:t xml:space="preserve">  Contains the pure mathematical engines: SequentialFloodMiner for sliding-window sequence forecasting; SpatialHazardMiner for ST-DBSCAN, Moran's I, and KDE; and GraphEvacuationRouter for A* pathfinding and Pareto shelter allocation.</w:t>
        <w:br/>
        <w:t>• Tier 4: Topological &amp; Hydrological Data Layer:</w:t>
        <w:br/>
        <w:t xml:space="preserve">  Stores pre-calibrated flood basin topologies (Kerala Ernakulam/Periyar &amp; Assam Guwahati/Brahmaputra), NetworkX road graph structures G=(V,E), relief shelter specifications, and historical multi-variate telemetry sequences.</w:t>
      </w:r>
    </w:p>
    <w:p>
      <w:pPr>
        <w:pStyle w:val="Heading1"/>
        <w:spacing w:before="280" w:after="100"/>
      </w:pPr>
      <w:r>
        <w:rPr>
          <w:b/>
          <w:color w:val="1E3A8A"/>
          <w:sz w:val="32"/>
        </w:rPr>
        <w:t>3. Algorithmic Formulations &amp; Mathematical Pillars</w:t>
      </w:r>
    </w:p>
    <w:p>
      <w:pPr>
        <w:pStyle w:val="Heading2"/>
        <w:spacing w:before="280" w:after="100"/>
      </w:pPr>
      <w:r>
        <w:rPr>
          <w:b/>
          <w:color w:val="0E7490"/>
          <w:sz w:val="26"/>
        </w:rPr>
        <w:t>3.1 Pillar I: Sequential Data Mining (Multi-Horizon Time-Series Forecaster)</w:t>
      </w:r>
    </w:p>
    <w:p>
      <w:r>
        <w:t>Implemented in backend/app/core/sequential_miner.py. The sequential engine ingests multivariate hydro-meteorological sequences sampled at discrete intervals Delta t = 6 hours: X_t = [Rainfall R_t (mm), Upstream Dam Discharge Q_t (cumecs), Gauge Water Height H_t (meters), Soil Saturation Fraction S_t in [0.0, 1.0]].</w:t>
      </w:r>
    </w:p>
    <w:p>
      <w:r>
        <w:t>1. Sliding-Window Precipitation Windows:</w:t>
        <w:br/>
        <w:t xml:space="preserve">   R_{12h} = sum_{k=0}^{1} R_{t-k},   R_{24h} = sum_{k=0}^{3} R_{t-k},   R_{72h} = sum_{k=0}^{11} R_{t-k}</w:t>
        <w:br/>
        <w:t>2. Temporal Rate of Water Rise (First Derivative):</w:t>
        <w:br/>
        <w:t xml:space="preserve">   dH/dt = (H_t - H_{t-2}) / 12.0  (meters / hour)</w:t>
        <w:br/>
        <w:t>3. Non-Linear Soil Runoff Saturation Coupling:</w:t>
        <w:br/>
        <w:t xml:space="preserve">   Phi_{coupling} = R_{24h} * (S_t)^{1.8}</w:t>
        <w:br/>
        <w:t xml:space="preserve">   The exponent 1.8 mathematically captures soil hysteresis: when soil saturation approaches 1.0, absorption capacity ceases and precipitation translates instantaneously into overland torrents.</w:t>
        <w:br/>
        <w:t>4. Multi-Horizon Sequential Propagation:</w:t>
        <w:br/>
        <w:t xml:space="preserve">   • +24h Level: Delta H_{24h} = (dH/dt * 24 * 0.65) + (Dam_Excess * 0.45) + ((R_{24h} / 120.0) * S_t)</w:t>
        <w:br/>
        <w:t xml:space="preserve">   • +48h Level: Delta H_{48h} = Delta H_{24h} + (Dam_Excess * 0.30) + (((0.8 * R_{24h}) / 100.0) * (S_t)^2)</w:t>
        <w:br/>
        <w:t xml:space="preserve">   • +72h Level: Delta H_{72h} = Delta H_{48h} * 0.78  (or Delta H_{48h} + 0.35 under extreme sustained cloudbursts)</w:t>
        <w:br/>
        <w:t>5. Logistic Flood Probability Formulation:</w:t>
        <w:br/>
        <w:t xml:space="preserve">   P(Flood) = 1 / (1 + exp(-1.8 * (H_{predicted} - H_{danger_threshold})))</w:t>
        <w:br/>
        <w:t>6. Trajectory Trend Classifier:</w:t>
        <w:br/>
        <w:t xml:space="preserve">   Categorizes sequence state into 'ESCALATING CREST', 'PROLONGED INUNDATION', or 'DE-ESCALATING RECESSION'.</w:t>
      </w:r>
    </w:p>
    <w:p>
      <w:pPr>
        <w:pStyle w:val="Heading2"/>
        <w:spacing w:before="280" w:after="100"/>
      </w:pPr>
      <w:r>
        <w:rPr>
          <w:b/>
          <w:color w:val="0E7490"/>
          <w:sz w:val="26"/>
        </w:rPr>
        <w:t>3.2 Pillar II: Spatial Data Mining (Hazard Clustering &amp; Spatial Autocorrelation)</w:t>
      </w:r>
    </w:p>
    <w:p>
      <w:r>
        <w:t>Implemented in backend/app/core/spatial_miner.py. Converts raw citizen calls and telemetry alerts into verified spatial danger geometries.</w:t>
      </w:r>
    </w:p>
    <w:p>
      <w:r>
        <w:t>1. Spatio-Temporal DBSCAN with Haversine Geographic Distance Metric:</w:t>
        <w:br/>
        <w:t xml:space="preserve">   Because Euclidean distance incurs severe spherical distortion over geographical latitude/longitude coordinates, RescuePath AI computes distances using the Haversine formula:</w:t>
        <w:br/>
        <w:t xml:space="preserve">   d(p_i, p_j) = 2 * R * arcsin(sqrt(sin^2(Delta phi / 2) + cos(phi_i) * cos(phi_j) * sin^2(Delta lambda / 2)))</w:t>
        <w:br/>
        <w:t xml:space="preserve">   Parameters: eps = 1.8 km, MinPts = 3. Clusters C_k identify contiguous flooded corridors, while isolated minor puddles are filtered out as noise (label = -1).</w:t>
        <w:br/>
        <w:t>2. SciPy Convex Hull Danger Geometries:</w:t>
        <w:br/>
        <w:t xml:space="preserve">   For every identified cluster C_k with &gt;= 3 vertices, the minimal bounding polygon is generated via Quickhull (SciPy ConvexHull), serialized to GeoJSON for real-time GIS map rendering.</w:t>
        <w:br/>
        <w:t>3. Global Moran's I Spatial Autocorrelation:</w:t>
        <w:br/>
        <w:t xml:space="preserve">   I = (N / sum_{ij} w_{ij}) * (sum_{ij} w_{ij} (z_i - z_mean)(z_j - z_mean) / sum_i (z_i - z_mean)^2)</w:t>
        <w:br/>
        <w:t xml:space="preserve">   Spatial Weight Matrix W: Inverse Haversine distance w_{ij} = 1 / max(0.25, d_{ij}) with row standardization.</w:t>
        <w:br/>
        <w:t xml:space="preserve">   Hypothesis Testing: The expected value E[I] = -1 / (N - 1) and variance Var[I] are computed under the null hypothesis of spatial randomness. A standard z-score = (I - E[I]) / sqrt(Var[I]) and two-tailed p-value validate whether flood severities are statistically clustered (p &lt; 0.05).</w:t>
        <w:br/>
        <w:t>4. 2D Gaussian Kernel Density Estimation (KDE):</w:t>
        <w:br/>
        <w:t xml:space="preserve">   Produces a continuous normalized risk intensity raster across a 25x25 grid using kernel bandwidth h = 0.015 degrees (~1.6 km).</w:t>
      </w:r>
    </w:p>
    <w:p>
      <w:pPr>
        <w:pStyle w:val="Heading2"/>
        <w:spacing w:before="280" w:after="100"/>
      </w:pPr>
      <w:r>
        <w:rPr>
          <w:b/>
          <w:color w:val="0E7490"/>
          <w:sz w:val="26"/>
        </w:rPr>
        <w:t>3.3 Pillar III: Spatial Graph Mining &amp; Dynamic Risk-Penalized A* Router</w:t>
      </w:r>
    </w:p>
    <w:p>
      <w:r>
        <w:t>Implemented in backend/app/core/graph_router.py. Solves the life-threatening flaws of standard routing engines during flood crises.</w:t>
      </w:r>
    </w:p>
    <w:p>
      <w:pPr>
        <w:spacing w:after="40"/>
      </w:pPr>
    </w:p>
    <w:p>
      <w:r>
        <w:drawing>
          <wp:inline xmlns:a="http://schemas.openxmlformats.org/drawingml/2006/main" xmlns:pic="http://schemas.openxmlformats.org/drawingml/2006/picture">
            <wp:extent cx="5852160" cy="3218688"/>
            <wp:docPr id="2" name="Picture 2"/>
            <wp:cNvGraphicFramePr>
              <a:graphicFrameLocks noChangeAspect="1"/>
            </wp:cNvGraphicFramePr>
            <a:graphic>
              <a:graphicData uri="http://schemas.openxmlformats.org/drawingml/2006/picture">
                <pic:pic>
                  <pic:nvPicPr>
                    <pic:cNvPr id="0" name="routing_flow_diagram.png"/>
                    <pic:cNvPicPr/>
                  </pic:nvPicPr>
                  <pic:blipFill>
                    <a:blip r:embed="rId10"/>
                    <a:stretch>
                      <a:fillRect/>
                    </a:stretch>
                  </pic:blipFill>
                  <pic:spPr>
                    <a:xfrm>
                      <a:off x="0" y="0"/>
                      <a:ext cx="5852160" cy="3218688"/>
                    </a:xfrm>
                    <a:prstGeom prst="rect"/>
                  </pic:spPr>
                </pic:pic>
              </a:graphicData>
            </a:graphic>
          </wp:inline>
        </w:drawing>
      </w:r>
    </w:p>
    <w:p>
      <w:pPr>
        <w:spacing w:after="200"/>
        <w:jc w:val="center"/>
      </w:pPr>
      <w:r>
        <w:rPr>
          <w:i/>
          <w:color w:val="64748B"/>
          <w:sz w:val="17"/>
        </w:rPr>
        <w:t>Figure 2: Evacuation Routing Workflow and Dual Pathfinding Comparison</w:t>
      </w:r>
    </w:p>
    <w:p>
      <w:r>
        <w:t>1. Dynamic Multi-Weighted Road Network Graph G = (V, E):</w:t>
        <w:br/>
        <w:t xml:space="preserve">   Calibrated with elevation, flood hazard factor, road type, free-flow travel speed, and capacity.</w:t>
        <w:br/>
        <w:t>2. Dynamic Risk-Penalized Edge Impedance Function:</w:t>
        <w:br/>
        <w:t xml:space="preserve">   • Standard Dijkstra Cost: Cost_{std}(e) = TravelTime(e) = length(e) / speed(e)</w:t>
        <w:br/>
        <w:t xml:space="preserve">   • Safe A* Cost: Cost_{safe}(e) = TravelTime(e) * (1 + lambda_{risk} * Hazard(e)^2),  where lambda_{risk} = 12.0</w:t>
        <w:br/>
        <w:t xml:space="preserve">   • Automatic Severance: If Hazard(e) &gt;= 0.75, Cost_{safe}(e) = infinity (submerged impassable road).</w:t>
        <w:br/>
        <w:t>3. Admissible Spatial Heuristic for A* Search:</w:t>
        <w:br/>
        <w:t xml:space="preserve">   h(u, target) = (d_{haversine}(u, target) / 80.0 km/h) * 60 minutes</w:t>
        <w:br/>
        <w:t xml:space="preserve">   Because max legal road speed is 80 km/h, h(u) never overestimates actual travel time (h(u) &lt;= h*(u)), strictly guaranteeing mathematical admissibility and optimality.</w:t>
        <w:br/>
        <w:t>4. Multi-Criteria Pareto Relief Shelter Allocation:</w:t>
        <w:br/>
        <w:t xml:space="preserve">   Score(S) = 15.0 * ln(AvailableBeds(S)) + 2.0 * Elevation(S) - 3.5 * SafeDistance(G, origin, S)</w:t>
        <w:br/>
        <w:t xml:space="preserve">   Selects the shelter maximizing high-ground safety and bed availability while minimizing road travel impedance.</w:t>
      </w:r>
    </w:p>
    <w:p>
      <w:pPr>
        <w:pStyle w:val="Heading1"/>
        <w:spacing w:before="280" w:after="100"/>
      </w:pPr>
      <w:r>
        <w:rPr>
          <w:b/>
          <w:color w:val="1E3A8A"/>
          <w:sz w:val="32"/>
        </w:rPr>
        <w:t>4. Platform Implementation &amp; Live Demo Walkthrough</w:t>
      </w:r>
    </w:p>
    <w:p>
      <w:r>
        <w:t>The complete RescuePath AI platform was deployed and validated through live simulation runs across multiple Indian river basins. The following high-resolution captures illustrate the operational capabilities of the system in action.</w:t>
      </w:r>
    </w:p>
    <w:p>
      <w:pPr>
        <w:pStyle w:val="Heading2"/>
        <w:spacing w:before="280" w:after="100"/>
      </w:pPr>
      <w:r>
        <w:rPr>
          <w:b/>
          <w:color w:val="0E7490"/>
          <w:sz w:val="26"/>
        </w:rPr>
        <w:t>4.1 Dynamic Evacuation Routing &amp; Dual-Corridor Comparison</w:t>
      </w:r>
    </w:p>
    <w:p>
      <w:r>
        <w:t>Figure 3 demonstrates the core spatial graph routing engine in the Kerala Ernakulam (Aluva) basin. The evacuee origin is positioned at Aluva Manappuram (low-lying riverbank basin). The map visually contrasts two paths calculated concurrently:</w:t>
      </w:r>
    </w:p>
    <w:p>
      <w:r>
        <w:t>• Red Path (Standard Shortest Dijkstra): Takes the direct 3.85 km route through the Periyar Riverbank Submerged Causeway (Hazard: 0.95), directing evacuees straight into floodwaters.</w:t>
        <w:br/>
        <w:t>• Green Path (RescuePath AI Safe Corridor A*): Dynamically diverts through the elevated Manappuram Ramp, Kuttamassery Road, and Choornikkara Safe Ridge, achieving an 84.7% reduction in cumulative risk exposure with zero submerged road crossings.</w:t>
      </w:r>
    </w:p>
    <w:p>
      <w:pPr>
        <w:spacing w:after="40"/>
      </w:pP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demo_01_evacuation_routing.png"/>
                    <pic:cNvPicPr/>
                  </pic:nvPicPr>
                  <pic:blipFill>
                    <a:blip r:embed="rId11"/>
                    <a:stretch>
                      <a:fillRect/>
                    </a:stretch>
                  </pic:blipFill>
                  <pic:spPr>
                    <a:xfrm>
                      <a:off x="0" y="0"/>
                      <a:ext cx="5852160" cy="3291840"/>
                    </a:xfrm>
                    <a:prstGeom prst="rect"/>
                  </pic:spPr>
                </pic:pic>
              </a:graphicData>
            </a:graphic>
          </wp:inline>
        </w:drawing>
      </w:r>
    </w:p>
    <w:p>
      <w:pPr>
        <w:spacing w:after="200"/>
        <w:jc w:val="center"/>
      </w:pPr>
      <w:r>
        <w:rPr>
          <w:i/>
          <w:color w:val="64748B"/>
          <w:sz w:val="17"/>
        </w:rPr>
        <w:t>Figure 3: Live Command Dashboard — Dual Evacuation Routing Comparison (Kerala Basin)</w:t>
      </w:r>
    </w:p>
    <w:p>
      <w:pPr>
        <w:pStyle w:val="Heading2"/>
        <w:spacing w:before="280" w:after="100"/>
      </w:pPr>
      <w:r>
        <w:rPr>
          <w:b/>
          <w:color w:val="0E7490"/>
          <w:sz w:val="26"/>
        </w:rPr>
        <w:t>4.2 Sequential Multi-Step Horizon Flood Forecasting</w:t>
      </w:r>
    </w:p>
    <w:p>
      <w:r>
        <w:t>Figure 4 showcases the Sequential Timeline operations panel. The sliding-window feature extractor reports 12h, 24h, and 72h cumulative precipitation, the temporal rate of rise (+0.18 m/hr), and the non-linear soil runoff coupling index (212.4). The multi-step horizon forecaster displays predictive flood probability curves for +24 Hours (42% / 4.85m), +48 Hours (78% / 5.90m), and +72 Hours (91% / 6.45m), triggering an active 'ESCALATING FLOOD CREST WARNING' banner.</w:t>
      </w:r>
    </w:p>
    <w:p>
      <w:pPr>
        <w:spacing w:after="40"/>
      </w:pP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demo_02_sequential_timeline.png"/>
                    <pic:cNvPicPr/>
                  </pic:nvPicPr>
                  <pic:blipFill>
                    <a:blip r:embed="rId12"/>
                    <a:stretch>
                      <a:fillRect/>
                    </a:stretch>
                  </pic:blipFill>
                  <pic:spPr>
                    <a:xfrm>
                      <a:off x="0" y="0"/>
                      <a:ext cx="5852160" cy="3291840"/>
                    </a:xfrm>
                    <a:prstGeom prst="rect"/>
                  </pic:spPr>
                </pic:pic>
              </a:graphicData>
            </a:graphic>
          </wp:inline>
        </w:drawing>
      </w:r>
    </w:p>
    <w:p>
      <w:pPr>
        <w:spacing w:after="200"/>
        <w:jc w:val="center"/>
      </w:pPr>
      <w:r>
        <w:rPr>
          <w:i/>
          <w:color w:val="64748B"/>
          <w:sz w:val="17"/>
        </w:rPr>
        <w:t>Figure 4: Sequential Timeline Panel — Multi-Step Predictive Horizon Curves and Hydrologic Features</w:t>
      </w:r>
    </w:p>
    <w:p>
      <w:pPr>
        <w:pStyle w:val="Heading2"/>
        <w:spacing w:before="280" w:after="100"/>
      </w:pPr>
      <w:r>
        <w:rPr>
          <w:b/>
          <w:color w:val="0E7490"/>
          <w:sz w:val="26"/>
        </w:rPr>
        <w:t>4.3 Spatio-Temporal DBSCAN Clustering &amp; Global Moran's I Validation</w:t>
      </w:r>
    </w:p>
    <w:p>
      <w:r>
        <w:t>Figure 5 displays the Spatial Clusters and Autocorrelation panel. Emergency dispatchers can interactively adjust the ST-DBSCAN neighborhood radius epsilon (from 1.0 to 3.0 km) and MinPts (from 2 to 6). The engine recalculates cluster centroids and SciPy Convex Hull danger polygons in real time. The Global Moran's I statistical card displays an autocorrelation coefficient of I = +0.642, with a z-score of +4.18 and p-value = 0.00003, mathematically confirming non-random, statistically significant spatial clustering of flood severity.</w:t>
      </w:r>
    </w:p>
    <w:p>
      <w:pPr>
        <w:spacing w:after="40"/>
      </w:pPr>
    </w:p>
    <w:p>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demo_03_spatial_clusters.png"/>
                    <pic:cNvPicPr/>
                  </pic:nvPicPr>
                  <pic:blipFill>
                    <a:blip r:embed="rId13"/>
                    <a:stretch>
                      <a:fillRect/>
                    </a:stretch>
                  </pic:blipFill>
                  <pic:spPr>
                    <a:xfrm>
                      <a:off x="0" y="0"/>
                      <a:ext cx="5852160" cy="3291840"/>
                    </a:xfrm>
                    <a:prstGeom prst="rect"/>
                  </pic:spPr>
                </pic:pic>
              </a:graphicData>
            </a:graphic>
          </wp:inline>
        </w:drawing>
      </w:r>
    </w:p>
    <w:p>
      <w:pPr>
        <w:spacing w:after="200"/>
        <w:jc w:val="center"/>
      </w:pPr>
      <w:r>
        <w:rPr>
          <w:i/>
          <w:color w:val="64748B"/>
          <w:sz w:val="17"/>
        </w:rPr>
        <w:t>Figure 5: Spatial Clustering Panel — Interactive ST-DBSCAN Tuning and Global Moran's I Hypothesis Test</w:t>
      </w:r>
    </w:p>
    <w:p>
      <w:pPr>
        <w:pStyle w:val="Heading2"/>
        <w:spacing w:before="280" w:after="100"/>
      </w:pPr>
      <w:r>
        <w:rPr>
          <w:b/>
          <w:color w:val="0E7490"/>
          <w:sz w:val="26"/>
        </w:rPr>
        <w:t>4.4 Pareto-Optimal Relief Shelter Directory &amp; Logistics Management</w:t>
      </w:r>
    </w:p>
    <w:p>
      <w:r>
        <w:t>Figure 6 shows the High-Ground Shelter Directory. Relief camps (e.g., UC College High Ground, Kalamassery Community Operations, Rajagiri Disaster Response Camp, and Angamaly Evacuation Hub) are continuously monitored for total capacity, real-time occupancy, available beds, on-site medical staff presence, emergency generators, and contact hotlines. The Pareto allocation engine automatically prioritizes camps situated well above historical flood lines (elevation &gt; 25m).</w:t>
      </w:r>
    </w:p>
    <w:p>
      <w:pPr>
        <w:spacing w:after="40"/>
      </w:pPr>
    </w:p>
    <w:p>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demo_04_shelter_directory.png"/>
                    <pic:cNvPicPr/>
                  </pic:nvPicPr>
                  <pic:blipFill>
                    <a:blip r:embed="rId14"/>
                    <a:stretch>
                      <a:fillRect/>
                    </a:stretch>
                  </pic:blipFill>
                  <pic:spPr>
                    <a:xfrm>
                      <a:off x="0" y="0"/>
                      <a:ext cx="5852160" cy="3291840"/>
                    </a:xfrm>
                    <a:prstGeom prst="rect"/>
                  </pic:spPr>
                </pic:pic>
              </a:graphicData>
            </a:graphic>
          </wp:inline>
        </w:drawing>
      </w:r>
    </w:p>
    <w:p>
      <w:pPr>
        <w:spacing w:after="200"/>
        <w:jc w:val="center"/>
      </w:pPr>
      <w:r>
        <w:rPr>
          <w:i/>
          <w:color w:val="64748B"/>
          <w:sz w:val="17"/>
        </w:rPr>
        <w:t>Figure 6: High-Ground Shelter Directory — Real-Time Capacity, Occupancy, Elevation, and Medical Staffing</w:t>
      </w:r>
    </w:p>
    <w:p>
      <w:pPr>
        <w:pStyle w:val="Heading2"/>
        <w:spacing w:before="280" w:after="100"/>
      </w:pPr>
      <w:r>
        <w:rPr>
          <w:b/>
          <w:color w:val="0E7490"/>
          <w:sz w:val="26"/>
        </w:rPr>
        <w:t>4.5 Real-Time Disaster Surge Simulator &amp; Road Severance</w:t>
      </w:r>
    </w:p>
    <w:p>
      <w:r>
        <w:t>Figure 7 demonstrates the Crisis Simulation module. By escalating the crisis multiplier from 1.0x to 2.2x, the simulator models an emergency dam spillway release. River levels breach danger marks, edge hazard factors spike past the 0.75 threshold, and the A* routing engine dynamically recomputes safe detours in real time. An Emergency Reset button allows immediate restoration to nominal conditions.</w:t>
      </w:r>
    </w:p>
    <w:p>
      <w:pPr>
        <w:spacing w:after="40"/>
      </w:pPr>
    </w:p>
    <w:p>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demo_05_surge_simulation.png"/>
                    <pic:cNvPicPr/>
                  </pic:nvPicPr>
                  <pic:blipFill>
                    <a:blip r:embed="rId15"/>
                    <a:stretch>
                      <a:fillRect/>
                    </a:stretch>
                  </pic:blipFill>
                  <pic:spPr>
                    <a:xfrm>
                      <a:off x="0" y="0"/>
                      <a:ext cx="5852160" cy="3291840"/>
                    </a:xfrm>
                    <a:prstGeom prst="rect"/>
                  </pic:spPr>
                </pic:pic>
              </a:graphicData>
            </a:graphic>
          </wp:inline>
        </w:drawing>
      </w:r>
    </w:p>
    <w:p>
      <w:pPr>
        <w:spacing w:after="200"/>
        <w:jc w:val="center"/>
      </w:pPr>
      <w:r>
        <w:rPr>
          <w:i/>
          <w:color w:val="64748B"/>
          <w:sz w:val="17"/>
        </w:rPr>
        <w:t>Figure 7: Crisis Simulation Module — Dynamic River Gauge Surge and Automatic Road Severance</w:t>
      </w:r>
    </w:p>
    <w:p>
      <w:pPr>
        <w:pStyle w:val="Heading2"/>
        <w:spacing w:before="280" w:after="100"/>
      </w:pPr>
      <w:r>
        <w:rPr>
          <w:b/>
          <w:color w:val="0E7490"/>
          <w:sz w:val="26"/>
        </w:rPr>
        <w:t>4.6 Cross-Basin Model Generalization: Assam Brahmaputra Basin</w:t>
      </w:r>
    </w:p>
    <w:p>
      <w:r>
        <w:t>Figure 8 proves the geographic transferability of RescuePath AI. Switching the basin selector to 'Assam - Guwahati (Brahmaputra River Basin)' reconfigures the topological graph to Guwahati's road network (MG Road riverbank, GS Road high corridor, Dispur capital ridge, and Jalukbari viaduct). The A* engine identifies low-lying riverside inundation along MG Road and successfully routes evacuees via the elevated Panbazar Overbridge and GS Road expressway, achieving a 46.4% hazard reduction.</w:t>
      </w:r>
    </w:p>
    <w:p>
      <w:pPr>
        <w:spacing w:after="40"/>
      </w:pPr>
    </w:p>
    <w:p>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demo_06_assam_guwahati.png"/>
                    <pic:cNvPicPr/>
                  </pic:nvPicPr>
                  <pic:blipFill>
                    <a:blip r:embed="rId16"/>
                    <a:stretch>
                      <a:fillRect/>
                    </a:stretch>
                  </pic:blipFill>
                  <pic:spPr>
                    <a:xfrm>
                      <a:off x="0" y="0"/>
                      <a:ext cx="5852160" cy="3291840"/>
                    </a:xfrm>
                    <a:prstGeom prst="rect"/>
                  </pic:spPr>
                </pic:pic>
              </a:graphicData>
            </a:graphic>
          </wp:inline>
        </w:drawing>
      </w:r>
    </w:p>
    <w:p>
      <w:pPr>
        <w:spacing w:after="200"/>
        <w:jc w:val="center"/>
      </w:pPr>
      <w:r>
        <w:rPr>
          <w:i/>
          <w:color w:val="64748B"/>
          <w:sz w:val="17"/>
        </w:rPr>
        <w:t>Figure 8: Cross-Basin Generalization — Dynamic Evacuation Routing along the Brahmaputra Basin, Guwahati, Assam</w:t>
      </w:r>
    </w:p>
    <w:p>
      <w:pPr>
        <w:pStyle w:val="Heading1"/>
        <w:spacing w:before="280" w:after="100"/>
      </w:pPr>
      <w:r>
        <w:rPr>
          <w:b/>
          <w:color w:val="1E3A8A"/>
          <w:sz w:val="32"/>
        </w:rPr>
        <w:t>5. Experimental Evaluation &amp; Quantitative Benchmarks</w:t>
      </w:r>
    </w:p>
    <w:p>
      <w:r>
        <w:t>To rigorously quantify performance, the platform was subjected to extensive empirical benchmarks. Table 1 summarizes the core comparative evaluation metrics.</w:t>
      </w:r>
    </w:p>
    <w:tbl>
      <w:tblPr>
        <w:tblW w:type="auto" w:w="0"/>
        <w:jc w:val="center"/>
        <w:tblLook w:firstColumn="1" w:firstRow="1" w:lastColumn="0" w:lastRow="0" w:noHBand="0" w:noVBand="1" w:val="04A0"/>
      </w:tblPr>
      <w:tblGrid>
        <w:gridCol w:w="2448"/>
        <w:gridCol w:w="2448"/>
        <w:gridCol w:w="2448"/>
        <w:gridCol w:w="2448"/>
      </w:tblGrid>
      <w:tr>
        <w:tc>
          <w:tcPr>
            <w:tcW w:type="dxa" w:w="2448"/>
            <w:vAlign w:val="center"/>
            <w:tcMar>
              <w:top w:w="100" w:type="dxa"/>
              <w:bottom w:w="100" w:type="dxa"/>
              <w:left w:w="120" w:type="dxa"/>
              <w:right w:w="120" w:type="dxa"/>
            </w:tcMar>
            <w:shd w:fill="1E3A8A"/>
          </w:tcPr>
          <w:p>
            <w:pPr>
              <w:jc w:val="center"/>
            </w:pPr>
            <w:r>
              <w:rPr>
                <w:b/>
                <w:color w:val="FFFFFF"/>
                <w:sz w:val="18"/>
              </w:rPr>
              <w:t>Performance Metric</w:t>
            </w:r>
          </w:p>
        </w:tc>
        <w:tc>
          <w:tcPr>
            <w:tcW w:type="dxa" w:w="2448"/>
            <w:vAlign w:val="center"/>
            <w:tcMar>
              <w:top w:w="100" w:type="dxa"/>
              <w:bottom w:w="100" w:type="dxa"/>
              <w:left w:w="120" w:type="dxa"/>
              <w:right w:w="120" w:type="dxa"/>
            </w:tcMar>
            <w:shd w:fill="1E3A8A"/>
          </w:tcPr>
          <w:p>
            <w:pPr>
              <w:jc w:val="center"/>
            </w:pPr>
            <w:r>
              <w:rPr>
                <w:b/>
                <w:color w:val="FFFFFF"/>
                <w:sz w:val="18"/>
              </w:rPr>
              <w:t>Standard Shortest Dijkstra</w:t>
            </w:r>
          </w:p>
        </w:tc>
        <w:tc>
          <w:tcPr>
            <w:tcW w:type="dxa" w:w="2448"/>
            <w:vAlign w:val="center"/>
            <w:tcMar>
              <w:top w:w="100" w:type="dxa"/>
              <w:bottom w:w="100" w:type="dxa"/>
              <w:left w:w="120" w:type="dxa"/>
              <w:right w:w="120" w:type="dxa"/>
            </w:tcMar>
            <w:shd w:fill="1E3A8A"/>
          </w:tcPr>
          <w:p>
            <w:pPr>
              <w:jc w:val="center"/>
            </w:pPr>
            <w:r>
              <w:rPr>
                <w:b/>
                <w:color w:val="FFFFFF"/>
                <w:sz w:val="18"/>
              </w:rPr>
              <w:t>RescuePath AI Safe A*</w:t>
            </w:r>
          </w:p>
        </w:tc>
        <w:tc>
          <w:tcPr>
            <w:tcW w:type="dxa" w:w="2448"/>
            <w:vAlign w:val="center"/>
            <w:tcMar>
              <w:top w:w="100" w:type="dxa"/>
              <w:bottom w:w="100" w:type="dxa"/>
              <w:left w:w="120" w:type="dxa"/>
              <w:right w:w="120" w:type="dxa"/>
            </w:tcMar>
            <w:shd w:fill="1E3A8A"/>
          </w:tcPr>
          <w:p>
            <w:pPr>
              <w:jc w:val="center"/>
            </w:pPr>
            <w:r>
              <w:rPr>
                <w:b/>
                <w:color w:val="FFFFFF"/>
                <w:sz w:val="18"/>
              </w:rPr>
              <w:t>Impact / Safety Delta</w:t>
            </w:r>
          </w:p>
        </w:tc>
      </w:tr>
      <w:tr>
        <w:tc>
          <w:tcPr>
            <w:tcW w:type="dxa" w:w="2448"/>
            <w:vAlign w:val="center"/>
            <w:tcMar>
              <w:top w:w="100" w:type="dxa"/>
              <w:bottom w:w="100" w:type="dxa"/>
              <w:left w:w="120" w:type="dxa"/>
              <w:right w:w="120" w:type="dxa"/>
            </w:tcMar>
            <w:shd w:fill="FFFFFF"/>
          </w:tcPr>
          <w:p>
            <w:r>
              <w:rPr>
                <w:color w:val="1E293B"/>
                <w:sz w:val="17"/>
              </w:rPr>
              <w:t>Cumulative Hazard Exposure</w:t>
            </w:r>
          </w:p>
        </w:tc>
        <w:tc>
          <w:tcPr>
            <w:tcW w:type="dxa" w:w="2448"/>
            <w:vAlign w:val="center"/>
            <w:tcMar>
              <w:top w:w="100" w:type="dxa"/>
              <w:bottom w:w="100" w:type="dxa"/>
              <w:left w:w="120" w:type="dxa"/>
              <w:right w:w="120" w:type="dxa"/>
            </w:tcMar>
            <w:shd w:fill="FFFFFF"/>
          </w:tcPr>
          <w:p>
            <w:r>
              <w:rPr>
                <w:color w:val="1E293B"/>
                <w:sz w:val="17"/>
              </w:rPr>
              <w:t>0.724 (Critical Risk)</w:t>
            </w:r>
          </w:p>
        </w:tc>
        <w:tc>
          <w:tcPr>
            <w:tcW w:type="dxa" w:w="2448"/>
            <w:vAlign w:val="center"/>
            <w:tcMar>
              <w:top w:w="100" w:type="dxa"/>
              <w:bottom w:w="100" w:type="dxa"/>
              <w:left w:w="120" w:type="dxa"/>
              <w:right w:w="120" w:type="dxa"/>
            </w:tcMar>
            <w:shd w:fill="FFFFFF"/>
          </w:tcPr>
          <w:p>
            <w:r>
              <w:rPr>
                <w:color w:val="1E293B"/>
                <w:sz w:val="17"/>
              </w:rPr>
              <w:t>0.111 (Nominal Risk)</w:t>
            </w:r>
          </w:p>
        </w:tc>
        <w:tc>
          <w:tcPr>
            <w:tcW w:type="dxa" w:w="2448"/>
            <w:vAlign w:val="center"/>
            <w:tcMar>
              <w:top w:w="100" w:type="dxa"/>
              <w:bottom w:w="100" w:type="dxa"/>
              <w:left w:w="120" w:type="dxa"/>
              <w:right w:w="120" w:type="dxa"/>
            </w:tcMar>
            <w:shd w:fill="FFFFFF"/>
          </w:tcPr>
          <w:p>
            <w:r>
              <w:rPr>
                <w:color w:val="1E293B"/>
                <w:sz w:val="17"/>
              </w:rPr>
              <w:t>84.7% Reduction in Flood Risk</w:t>
            </w:r>
          </w:p>
        </w:tc>
      </w:tr>
      <w:tr>
        <w:tc>
          <w:tcPr>
            <w:tcW w:type="dxa" w:w="2448"/>
            <w:vAlign w:val="center"/>
            <w:tcMar>
              <w:top w:w="100" w:type="dxa"/>
              <w:bottom w:w="100" w:type="dxa"/>
              <w:left w:w="120" w:type="dxa"/>
              <w:right w:w="120" w:type="dxa"/>
            </w:tcMar>
            <w:shd w:fill="F8FAFC"/>
          </w:tcPr>
          <w:p>
            <w:r>
              <w:rPr>
                <w:color w:val="1E293B"/>
                <w:sz w:val="17"/>
              </w:rPr>
              <w:t>Submerged Corridors Crossed</w:t>
            </w:r>
          </w:p>
        </w:tc>
        <w:tc>
          <w:tcPr>
            <w:tcW w:type="dxa" w:w="2448"/>
            <w:vAlign w:val="center"/>
            <w:tcMar>
              <w:top w:w="100" w:type="dxa"/>
              <w:bottom w:w="100" w:type="dxa"/>
              <w:left w:w="120" w:type="dxa"/>
              <w:right w:w="120" w:type="dxa"/>
            </w:tcMar>
            <w:shd w:fill="F8FAFC"/>
          </w:tcPr>
          <w:p>
            <w:r>
              <w:rPr>
                <w:color w:val="1E293B"/>
                <w:sz w:val="17"/>
              </w:rPr>
              <w:t>2 to 3 Severed Links</w:t>
            </w:r>
          </w:p>
        </w:tc>
        <w:tc>
          <w:tcPr>
            <w:tcW w:type="dxa" w:w="2448"/>
            <w:vAlign w:val="center"/>
            <w:tcMar>
              <w:top w:w="100" w:type="dxa"/>
              <w:bottom w:w="100" w:type="dxa"/>
              <w:left w:w="120" w:type="dxa"/>
              <w:right w:w="120" w:type="dxa"/>
            </w:tcMar>
            <w:shd w:fill="F8FAFC"/>
          </w:tcPr>
          <w:p>
            <w:r>
              <w:rPr>
                <w:color w:val="1E293B"/>
                <w:sz w:val="17"/>
              </w:rPr>
              <w:t>0 (Zero Submerged Roads)</w:t>
            </w:r>
          </w:p>
        </w:tc>
        <w:tc>
          <w:tcPr>
            <w:tcW w:type="dxa" w:w="2448"/>
            <w:vAlign w:val="center"/>
            <w:tcMar>
              <w:top w:w="100" w:type="dxa"/>
              <w:bottom w:w="100" w:type="dxa"/>
              <w:left w:w="120" w:type="dxa"/>
              <w:right w:w="120" w:type="dxa"/>
            </w:tcMar>
            <w:shd w:fill="F8FAFC"/>
          </w:tcPr>
          <w:p>
            <w:r>
              <w:rPr>
                <w:color w:val="1E293B"/>
                <w:sz w:val="17"/>
              </w:rPr>
              <w:t>100% Inundation Avoidance</w:t>
            </w:r>
          </w:p>
        </w:tc>
      </w:tr>
      <w:tr>
        <w:tc>
          <w:tcPr>
            <w:tcW w:type="dxa" w:w="2448"/>
            <w:vAlign w:val="center"/>
            <w:tcMar>
              <w:top w:w="100" w:type="dxa"/>
              <w:bottom w:w="100" w:type="dxa"/>
              <w:left w:w="120" w:type="dxa"/>
              <w:right w:w="120" w:type="dxa"/>
            </w:tcMar>
            <w:shd w:fill="FFFFFF"/>
          </w:tcPr>
          <w:p>
            <w:r>
              <w:rPr>
                <w:color w:val="1E293B"/>
                <w:sz w:val="17"/>
              </w:rPr>
              <w:t>Average Path Length</w:t>
            </w:r>
          </w:p>
        </w:tc>
        <w:tc>
          <w:tcPr>
            <w:tcW w:type="dxa" w:w="2448"/>
            <w:vAlign w:val="center"/>
            <w:tcMar>
              <w:top w:w="100" w:type="dxa"/>
              <w:bottom w:w="100" w:type="dxa"/>
              <w:left w:w="120" w:type="dxa"/>
              <w:right w:w="120" w:type="dxa"/>
            </w:tcMar>
            <w:shd w:fill="FFFFFF"/>
          </w:tcPr>
          <w:p>
            <w:r>
              <w:rPr>
                <w:color w:val="1E293B"/>
                <w:sz w:val="17"/>
              </w:rPr>
              <w:t>6.95 km</w:t>
            </w:r>
          </w:p>
        </w:tc>
        <w:tc>
          <w:tcPr>
            <w:tcW w:type="dxa" w:w="2448"/>
            <w:vAlign w:val="center"/>
            <w:tcMar>
              <w:top w:w="100" w:type="dxa"/>
              <w:bottom w:w="100" w:type="dxa"/>
              <w:left w:w="120" w:type="dxa"/>
              <w:right w:w="120" w:type="dxa"/>
            </w:tcMar>
            <w:shd w:fill="FFFFFF"/>
          </w:tcPr>
          <w:p>
            <w:r>
              <w:rPr>
                <w:color w:val="1E293B"/>
                <w:sz w:val="17"/>
              </w:rPr>
              <w:t>9.95 km</w:t>
            </w:r>
          </w:p>
        </w:tc>
        <w:tc>
          <w:tcPr>
            <w:tcW w:type="dxa" w:w="2448"/>
            <w:vAlign w:val="center"/>
            <w:tcMar>
              <w:top w:w="100" w:type="dxa"/>
              <w:bottom w:w="100" w:type="dxa"/>
              <w:left w:w="120" w:type="dxa"/>
              <w:right w:w="120" w:type="dxa"/>
            </w:tcMar>
            <w:shd w:fill="FFFFFF"/>
          </w:tcPr>
          <w:p>
            <w:r>
              <w:rPr>
                <w:color w:val="1E293B"/>
                <w:sz w:val="17"/>
              </w:rPr>
              <w:t>+3.00 km safe elevation detour</w:t>
            </w:r>
          </w:p>
        </w:tc>
      </w:tr>
      <w:tr>
        <w:tc>
          <w:tcPr>
            <w:tcW w:type="dxa" w:w="2448"/>
            <w:vAlign w:val="center"/>
            <w:tcMar>
              <w:top w:w="100" w:type="dxa"/>
              <w:bottom w:w="100" w:type="dxa"/>
              <w:left w:w="120" w:type="dxa"/>
              <w:right w:w="120" w:type="dxa"/>
            </w:tcMar>
            <w:shd w:fill="F8FAFC"/>
          </w:tcPr>
          <w:p>
            <w:r>
              <w:rPr>
                <w:color w:val="1E293B"/>
                <w:sz w:val="17"/>
              </w:rPr>
              <w:t>Estimated Travel Duration</w:t>
            </w:r>
          </w:p>
        </w:tc>
        <w:tc>
          <w:tcPr>
            <w:tcW w:type="dxa" w:w="2448"/>
            <w:vAlign w:val="center"/>
            <w:tcMar>
              <w:top w:w="100" w:type="dxa"/>
              <w:bottom w:w="100" w:type="dxa"/>
              <w:left w:w="120" w:type="dxa"/>
              <w:right w:w="120" w:type="dxa"/>
            </w:tcMar>
            <w:shd w:fill="F8FAFC"/>
          </w:tcPr>
          <w:p>
            <w:r>
              <w:rPr>
                <w:color w:val="1E293B"/>
                <w:sz w:val="17"/>
              </w:rPr>
              <w:t>8.3 minutes</w:t>
            </w:r>
          </w:p>
        </w:tc>
        <w:tc>
          <w:tcPr>
            <w:tcW w:type="dxa" w:w="2448"/>
            <w:vAlign w:val="center"/>
            <w:tcMar>
              <w:top w:w="100" w:type="dxa"/>
              <w:bottom w:w="100" w:type="dxa"/>
              <w:left w:w="120" w:type="dxa"/>
              <w:right w:w="120" w:type="dxa"/>
            </w:tcMar>
            <w:shd w:fill="F8FAFC"/>
          </w:tcPr>
          <w:p>
            <w:r>
              <w:rPr>
                <w:color w:val="1E293B"/>
                <w:sz w:val="17"/>
              </w:rPr>
              <w:t>13.6 minutes</w:t>
            </w:r>
          </w:p>
        </w:tc>
        <w:tc>
          <w:tcPr>
            <w:tcW w:type="dxa" w:w="2448"/>
            <w:vAlign w:val="center"/>
            <w:tcMar>
              <w:top w:w="100" w:type="dxa"/>
              <w:bottom w:w="100" w:type="dxa"/>
              <w:left w:w="120" w:type="dxa"/>
              <w:right w:w="120" w:type="dxa"/>
            </w:tcMar>
            <w:shd w:fill="F8FAFC"/>
          </w:tcPr>
          <w:p>
            <w:r>
              <w:rPr>
                <w:color w:val="1E293B"/>
                <w:sz w:val="17"/>
              </w:rPr>
              <w:t>+5.3 min trade-off for life safety</w:t>
            </w:r>
          </w:p>
        </w:tc>
      </w:tr>
      <w:tr>
        <w:tc>
          <w:tcPr>
            <w:tcW w:type="dxa" w:w="2448"/>
            <w:vAlign w:val="center"/>
            <w:tcMar>
              <w:top w:w="100" w:type="dxa"/>
              <w:bottom w:w="100" w:type="dxa"/>
              <w:left w:w="120" w:type="dxa"/>
              <w:right w:w="120" w:type="dxa"/>
            </w:tcMar>
            <w:shd w:fill="FFFFFF"/>
          </w:tcPr>
          <w:p>
            <w:r>
              <w:rPr>
                <w:color w:val="1E293B"/>
                <w:sz w:val="17"/>
              </w:rPr>
              <w:t>Spatial Noise Rejection</w:t>
            </w:r>
          </w:p>
        </w:tc>
        <w:tc>
          <w:tcPr>
            <w:tcW w:type="dxa" w:w="2448"/>
            <w:vAlign w:val="center"/>
            <w:tcMar>
              <w:top w:w="100" w:type="dxa"/>
              <w:bottom w:w="100" w:type="dxa"/>
              <w:left w:w="120" w:type="dxa"/>
              <w:right w:w="120" w:type="dxa"/>
            </w:tcMar>
            <w:shd w:fill="FFFFFF"/>
          </w:tcPr>
          <w:p>
            <w:r>
              <w:rPr>
                <w:color w:val="1E293B"/>
                <w:sz w:val="17"/>
              </w:rPr>
              <w:t>None (Puddle = Flood)</w:t>
            </w:r>
          </w:p>
        </w:tc>
        <w:tc>
          <w:tcPr>
            <w:tcW w:type="dxa" w:w="2448"/>
            <w:vAlign w:val="center"/>
            <w:tcMar>
              <w:top w:w="100" w:type="dxa"/>
              <w:bottom w:w="100" w:type="dxa"/>
              <w:left w:w="120" w:type="dxa"/>
              <w:right w:w="120" w:type="dxa"/>
            </w:tcMar>
            <w:shd w:fill="FFFFFF"/>
          </w:tcPr>
          <w:p>
            <w:r>
              <w:rPr>
                <w:color w:val="1E293B"/>
                <w:sz w:val="17"/>
              </w:rPr>
              <w:t>ST-DBSCAN Noise Filter</w:t>
            </w:r>
          </w:p>
        </w:tc>
        <w:tc>
          <w:tcPr>
            <w:tcW w:type="dxa" w:w="2448"/>
            <w:vAlign w:val="center"/>
            <w:tcMar>
              <w:top w:w="100" w:type="dxa"/>
              <w:bottom w:w="100" w:type="dxa"/>
              <w:left w:w="120" w:type="dxa"/>
              <w:right w:w="120" w:type="dxa"/>
            </w:tcMar>
            <w:shd w:fill="FFFFFF"/>
          </w:tcPr>
          <w:p>
            <w:r>
              <w:rPr>
                <w:color w:val="1E293B"/>
                <w:sz w:val="17"/>
              </w:rPr>
              <w:t>Isolates false alarm calls</w:t>
            </w:r>
          </w:p>
        </w:tc>
      </w:tr>
      <w:tr>
        <w:tc>
          <w:tcPr>
            <w:tcW w:type="dxa" w:w="2448"/>
            <w:vAlign w:val="center"/>
            <w:tcMar>
              <w:top w:w="100" w:type="dxa"/>
              <w:bottom w:w="100" w:type="dxa"/>
              <w:left w:w="120" w:type="dxa"/>
              <w:right w:w="120" w:type="dxa"/>
            </w:tcMar>
            <w:shd w:fill="F8FAFC"/>
          </w:tcPr>
          <w:p>
            <w:r>
              <w:rPr>
                <w:color w:val="1E293B"/>
                <w:sz w:val="17"/>
              </w:rPr>
              <w:t>Spatial Autocorrelation</w:t>
            </w:r>
          </w:p>
        </w:tc>
        <w:tc>
          <w:tcPr>
            <w:tcW w:type="dxa" w:w="2448"/>
            <w:vAlign w:val="center"/>
            <w:tcMar>
              <w:top w:w="100" w:type="dxa"/>
              <w:bottom w:w="100" w:type="dxa"/>
              <w:left w:w="120" w:type="dxa"/>
              <w:right w:w="120" w:type="dxa"/>
            </w:tcMar>
            <w:shd w:fill="F8FAFC"/>
          </w:tcPr>
          <w:p>
            <w:r>
              <w:rPr>
                <w:color w:val="1E293B"/>
                <w:sz w:val="17"/>
              </w:rPr>
              <w:t>Unvalidated</w:t>
            </w:r>
          </w:p>
        </w:tc>
        <w:tc>
          <w:tcPr>
            <w:tcW w:type="dxa" w:w="2448"/>
            <w:vAlign w:val="center"/>
            <w:tcMar>
              <w:top w:w="100" w:type="dxa"/>
              <w:bottom w:w="100" w:type="dxa"/>
              <w:left w:w="120" w:type="dxa"/>
              <w:right w:w="120" w:type="dxa"/>
            </w:tcMar>
            <w:shd w:fill="F8FAFC"/>
          </w:tcPr>
          <w:p>
            <w:r>
              <w:rPr>
                <w:color w:val="1E293B"/>
                <w:sz w:val="17"/>
              </w:rPr>
              <w:t>Moran's I = +0.642 (p &lt; 0.001)</w:t>
            </w:r>
          </w:p>
        </w:tc>
        <w:tc>
          <w:tcPr>
            <w:tcW w:type="dxa" w:w="2448"/>
            <w:vAlign w:val="center"/>
            <w:tcMar>
              <w:top w:w="100" w:type="dxa"/>
              <w:bottom w:w="100" w:type="dxa"/>
              <w:left w:w="120" w:type="dxa"/>
              <w:right w:w="120" w:type="dxa"/>
            </w:tcMar>
            <w:shd w:fill="F8FAFC"/>
          </w:tcPr>
          <w:p>
            <w:r>
              <w:rPr>
                <w:color w:val="1E293B"/>
                <w:sz w:val="17"/>
              </w:rPr>
              <w:t>Mathematically verified clustering</w:t>
            </w:r>
          </w:p>
        </w:tc>
      </w:tr>
    </w:tbl>
    <w:p>
      <w:pPr>
        <w:spacing w:after="160"/>
      </w:pPr>
    </w:p>
    <w:p>
      <w:pPr>
        <w:pStyle w:val="Heading2"/>
        <w:spacing w:before="280" w:after="100"/>
      </w:pPr>
      <w:r>
        <w:rPr>
          <w:b/>
          <w:color w:val="0E7490"/>
          <w:sz w:val="26"/>
        </w:rPr>
        <w:t>5.1 Sensitivity Analysis of Risk Penalty Parameter lambda</w:t>
      </w:r>
    </w:p>
    <w:p>
      <w:r>
        <w:t>The sensitivity of evacuation corridor selection was evaluated across varying penalty multipliers lambda_{risk} in the cost function Cost_{safe}(e) = Cost_{std}(e) * (1 + lambda_{risk} * Hazard(e)^2). As shown in Table 2, lambda_{risk} = 12.0 provides the optimal balance between maximum risk avoidance and reasonable travel detour.</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Mar>
              <w:top w:w="100" w:type="dxa"/>
              <w:bottom w:w="100" w:type="dxa"/>
              <w:left w:w="120" w:type="dxa"/>
              <w:right w:w="120" w:type="dxa"/>
            </w:tcMar>
            <w:shd w:fill="1E3A8A"/>
          </w:tcPr>
          <w:p>
            <w:pPr>
              <w:jc w:val="center"/>
            </w:pPr>
            <w:r>
              <w:rPr>
                <w:b/>
                <w:color w:val="FFFFFF"/>
                <w:sz w:val="18"/>
              </w:rPr>
              <w:t>lambda_risk</w:t>
            </w:r>
          </w:p>
        </w:tc>
        <w:tc>
          <w:tcPr>
            <w:tcW w:type="dxa" w:w="1958"/>
            <w:vAlign w:val="center"/>
            <w:tcMar>
              <w:top w:w="100" w:type="dxa"/>
              <w:bottom w:w="100" w:type="dxa"/>
              <w:left w:w="120" w:type="dxa"/>
              <w:right w:w="120" w:type="dxa"/>
            </w:tcMar>
            <w:shd w:fill="1E3A8A"/>
          </w:tcPr>
          <w:p>
            <w:pPr>
              <w:jc w:val="center"/>
            </w:pPr>
            <w:r>
              <w:rPr>
                <w:b/>
                <w:color w:val="FFFFFF"/>
                <w:sz w:val="18"/>
              </w:rPr>
              <w:t>Route Distance (km)</w:t>
            </w:r>
          </w:p>
        </w:tc>
        <w:tc>
          <w:tcPr>
            <w:tcW w:type="dxa" w:w="1958"/>
            <w:vAlign w:val="center"/>
            <w:tcMar>
              <w:top w:w="100" w:type="dxa"/>
              <w:bottom w:w="100" w:type="dxa"/>
              <w:left w:w="120" w:type="dxa"/>
              <w:right w:w="120" w:type="dxa"/>
            </w:tcMar>
            <w:shd w:fill="1E3A8A"/>
          </w:tcPr>
          <w:p>
            <w:pPr>
              <w:jc w:val="center"/>
            </w:pPr>
            <w:r>
              <w:rPr>
                <w:b/>
                <w:color w:val="FFFFFF"/>
                <w:sz w:val="18"/>
              </w:rPr>
              <w:t>Travel Time (min)</w:t>
            </w:r>
          </w:p>
        </w:tc>
        <w:tc>
          <w:tcPr>
            <w:tcW w:type="dxa" w:w="1958"/>
            <w:vAlign w:val="center"/>
            <w:tcMar>
              <w:top w:w="100" w:type="dxa"/>
              <w:bottom w:w="100" w:type="dxa"/>
              <w:left w:w="120" w:type="dxa"/>
              <w:right w:w="120" w:type="dxa"/>
            </w:tcMar>
            <w:shd w:fill="1E3A8A"/>
          </w:tcPr>
          <w:p>
            <w:pPr>
              <w:jc w:val="center"/>
            </w:pPr>
            <w:r>
              <w:rPr>
                <w:b/>
                <w:color w:val="FFFFFF"/>
                <w:sz w:val="18"/>
              </w:rPr>
              <w:t>Hazard Score</w:t>
            </w:r>
          </w:p>
        </w:tc>
        <w:tc>
          <w:tcPr>
            <w:tcW w:type="dxa" w:w="1958"/>
            <w:vAlign w:val="center"/>
            <w:tcMar>
              <w:top w:w="100" w:type="dxa"/>
              <w:bottom w:w="100" w:type="dxa"/>
              <w:left w:w="120" w:type="dxa"/>
              <w:right w:w="120" w:type="dxa"/>
            </w:tcMar>
            <w:shd w:fill="1E3A8A"/>
          </w:tcPr>
          <w:p>
            <w:pPr>
              <w:jc w:val="center"/>
            </w:pPr>
            <w:r>
              <w:rPr>
                <w:b/>
                <w:color w:val="FFFFFF"/>
                <w:sz w:val="18"/>
              </w:rPr>
              <w:t>Risk Reduction (%)</w:t>
            </w:r>
          </w:p>
        </w:tc>
      </w:tr>
      <w:tr>
        <w:tc>
          <w:tcPr>
            <w:tcW w:type="dxa" w:w="1958"/>
            <w:vAlign w:val="center"/>
            <w:tcMar>
              <w:top w:w="100" w:type="dxa"/>
              <w:bottom w:w="100" w:type="dxa"/>
              <w:left w:w="120" w:type="dxa"/>
              <w:right w:w="120" w:type="dxa"/>
            </w:tcMar>
            <w:shd w:fill="FFFFFF"/>
          </w:tcPr>
          <w:p>
            <w:r>
              <w:rPr>
                <w:color w:val="1E293B"/>
                <w:sz w:val="17"/>
              </w:rPr>
              <w:t>0.0 (Dijkstra)</w:t>
            </w:r>
          </w:p>
        </w:tc>
        <w:tc>
          <w:tcPr>
            <w:tcW w:type="dxa" w:w="1958"/>
            <w:vAlign w:val="center"/>
            <w:tcMar>
              <w:top w:w="100" w:type="dxa"/>
              <w:bottom w:w="100" w:type="dxa"/>
              <w:left w:w="120" w:type="dxa"/>
              <w:right w:w="120" w:type="dxa"/>
            </w:tcMar>
            <w:shd w:fill="FFFFFF"/>
          </w:tcPr>
          <w:p>
            <w:r>
              <w:rPr>
                <w:color w:val="1E293B"/>
                <w:sz w:val="17"/>
              </w:rPr>
              <w:t>6.95 km</w:t>
            </w:r>
          </w:p>
        </w:tc>
        <w:tc>
          <w:tcPr>
            <w:tcW w:type="dxa" w:w="1958"/>
            <w:vAlign w:val="center"/>
            <w:tcMar>
              <w:top w:w="100" w:type="dxa"/>
              <w:bottom w:w="100" w:type="dxa"/>
              <w:left w:w="120" w:type="dxa"/>
              <w:right w:w="120" w:type="dxa"/>
            </w:tcMar>
            <w:shd w:fill="FFFFFF"/>
          </w:tcPr>
          <w:p>
            <w:r>
              <w:rPr>
                <w:color w:val="1E293B"/>
                <w:sz w:val="17"/>
              </w:rPr>
              <w:t>8.3 min</w:t>
            </w:r>
          </w:p>
        </w:tc>
        <w:tc>
          <w:tcPr>
            <w:tcW w:type="dxa" w:w="1958"/>
            <w:vAlign w:val="center"/>
            <w:tcMar>
              <w:top w:w="100" w:type="dxa"/>
              <w:bottom w:w="100" w:type="dxa"/>
              <w:left w:w="120" w:type="dxa"/>
              <w:right w:w="120" w:type="dxa"/>
            </w:tcMar>
            <w:shd w:fill="FFFFFF"/>
          </w:tcPr>
          <w:p>
            <w:r>
              <w:rPr>
                <w:color w:val="1E293B"/>
                <w:sz w:val="17"/>
              </w:rPr>
              <w:t>0.724</w:t>
            </w:r>
          </w:p>
        </w:tc>
        <w:tc>
          <w:tcPr>
            <w:tcW w:type="dxa" w:w="1958"/>
            <w:vAlign w:val="center"/>
            <w:tcMar>
              <w:top w:w="100" w:type="dxa"/>
              <w:bottom w:w="100" w:type="dxa"/>
              <w:left w:w="120" w:type="dxa"/>
              <w:right w:w="120" w:type="dxa"/>
            </w:tcMar>
            <w:shd w:fill="FFFFFF"/>
          </w:tcPr>
          <w:p>
            <w:r>
              <w:rPr>
                <w:color w:val="1E293B"/>
                <w:sz w:val="17"/>
              </w:rPr>
              <w:t>0.0% (Baseline)</w:t>
            </w:r>
          </w:p>
        </w:tc>
      </w:tr>
      <w:tr>
        <w:tc>
          <w:tcPr>
            <w:tcW w:type="dxa" w:w="1958"/>
            <w:vAlign w:val="center"/>
            <w:tcMar>
              <w:top w:w="100" w:type="dxa"/>
              <w:bottom w:w="100" w:type="dxa"/>
              <w:left w:w="120" w:type="dxa"/>
              <w:right w:w="120" w:type="dxa"/>
            </w:tcMar>
            <w:shd w:fill="F8FAFC"/>
          </w:tcPr>
          <w:p>
            <w:r>
              <w:rPr>
                <w:color w:val="1E293B"/>
                <w:sz w:val="17"/>
              </w:rPr>
              <w:t>3.0</w:t>
            </w:r>
          </w:p>
        </w:tc>
        <w:tc>
          <w:tcPr>
            <w:tcW w:type="dxa" w:w="1958"/>
            <w:vAlign w:val="center"/>
            <w:tcMar>
              <w:top w:w="100" w:type="dxa"/>
              <w:bottom w:w="100" w:type="dxa"/>
              <w:left w:w="120" w:type="dxa"/>
              <w:right w:w="120" w:type="dxa"/>
            </w:tcMar>
            <w:shd w:fill="F8FAFC"/>
          </w:tcPr>
          <w:p>
            <w:r>
              <w:rPr>
                <w:color w:val="1E293B"/>
                <w:sz w:val="17"/>
              </w:rPr>
              <w:t>7.80 km</w:t>
            </w:r>
          </w:p>
        </w:tc>
        <w:tc>
          <w:tcPr>
            <w:tcW w:type="dxa" w:w="1958"/>
            <w:vAlign w:val="center"/>
            <w:tcMar>
              <w:top w:w="100" w:type="dxa"/>
              <w:bottom w:w="100" w:type="dxa"/>
              <w:left w:w="120" w:type="dxa"/>
              <w:right w:w="120" w:type="dxa"/>
            </w:tcMar>
            <w:shd w:fill="F8FAFC"/>
          </w:tcPr>
          <w:p>
            <w:r>
              <w:rPr>
                <w:color w:val="1E293B"/>
                <w:sz w:val="17"/>
              </w:rPr>
              <w:t>9.8 min</w:t>
            </w:r>
          </w:p>
        </w:tc>
        <w:tc>
          <w:tcPr>
            <w:tcW w:type="dxa" w:w="1958"/>
            <w:vAlign w:val="center"/>
            <w:tcMar>
              <w:top w:w="100" w:type="dxa"/>
              <w:bottom w:w="100" w:type="dxa"/>
              <w:left w:w="120" w:type="dxa"/>
              <w:right w:w="120" w:type="dxa"/>
            </w:tcMar>
            <w:shd w:fill="F8FAFC"/>
          </w:tcPr>
          <w:p>
            <w:r>
              <w:rPr>
                <w:color w:val="1E293B"/>
                <w:sz w:val="17"/>
              </w:rPr>
              <w:t>0.450</w:t>
            </w:r>
          </w:p>
        </w:tc>
        <w:tc>
          <w:tcPr>
            <w:tcW w:type="dxa" w:w="1958"/>
            <w:vAlign w:val="center"/>
            <w:tcMar>
              <w:top w:w="100" w:type="dxa"/>
              <w:bottom w:w="100" w:type="dxa"/>
              <w:left w:w="120" w:type="dxa"/>
              <w:right w:w="120" w:type="dxa"/>
            </w:tcMar>
            <w:shd w:fill="F8FAFC"/>
          </w:tcPr>
          <w:p>
            <w:r>
              <w:rPr>
                <w:color w:val="1E293B"/>
                <w:sz w:val="17"/>
              </w:rPr>
              <w:t>37.8%</w:t>
            </w:r>
          </w:p>
        </w:tc>
      </w:tr>
      <w:tr>
        <w:tc>
          <w:tcPr>
            <w:tcW w:type="dxa" w:w="1958"/>
            <w:vAlign w:val="center"/>
            <w:tcMar>
              <w:top w:w="100" w:type="dxa"/>
              <w:bottom w:w="100" w:type="dxa"/>
              <w:left w:w="120" w:type="dxa"/>
              <w:right w:w="120" w:type="dxa"/>
            </w:tcMar>
            <w:shd w:fill="FFFFFF"/>
          </w:tcPr>
          <w:p>
            <w:r>
              <w:rPr>
                <w:color w:val="1E293B"/>
                <w:sz w:val="17"/>
              </w:rPr>
              <w:t>6.0</w:t>
            </w:r>
          </w:p>
        </w:tc>
        <w:tc>
          <w:tcPr>
            <w:tcW w:type="dxa" w:w="1958"/>
            <w:vAlign w:val="center"/>
            <w:tcMar>
              <w:top w:w="100" w:type="dxa"/>
              <w:bottom w:w="100" w:type="dxa"/>
              <w:left w:w="120" w:type="dxa"/>
              <w:right w:w="120" w:type="dxa"/>
            </w:tcMar>
            <w:shd w:fill="FFFFFF"/>
          </w:tcPr>
          <w:p>
            <w:r>
              <w:rPr>
                <w:color w:val="1E293B"/>
                <w:sz w:val="17"/>
              </w:rPr>
              <w:t>8.90 km</w:t>
            </w:r>
          </w:p>
        </w:tc>
        <w:tc>
          <w:tcPr>
            <w:tcW w:type="dxa" w:w="1958"/>
            <w:vAlign w:val="center"/>
            <w:tcMar>
              <w:top w:w="100" w:type="dxa"/>
              <w:bottom w:w="100" w:type="dxa"/>
              <w:left w:w="120" w:type="dxa"/>
              <w:right w:w="120" w:type="dxa"/>
            </w:tcMar>
            <w:shd w:fill="FFFFFF"/>
          </w:tcPr>
          <w:p>
            <w:r>
              <w:rPr>
                <w:color w:val="1E293B"/>
                <w:sz w:val="17"/>
              </w:rPr>
              <w:t>11.5 min</w:t>
            </w:r>
          </w:p>
        </w:tc>
        <w:tc>
          <w:tcPr>
            <w:tcW w:type="dxa" w:w="1958"/>
            <w:vAlign w:val="center"/>
            <w:tcMar>
              <w:top w:w="100" w:type="dxa"/>
              <w:bottom w:w="100" w:type="dxa"/>
              <w:left w:w="120" w:type="dxa"/>
              <w:right w:w="120" w:type="dxa"/>
            </w:tcMar>
            <w:shd w:fill="FFFFFF"/>
          </w:tcPr>
          <w:p>
            <w:r>
              <w:rPr>
                <w:color w:val="1E293B"/>
                <w:sz w:val="17"/>
              </w:rPr>
              <w:t>0.280</w:t>
            </w:r>
          </w:p>
        </w:tc>
        <w:tc>
          <w:tcPr>
            <w:tcW w:type="dxa" w:w="1958"/>
            <w:vAlign w:val="center"/>
            <w:tcMar>
              <w:top w:w="100" w:type="dxa"/>
              <w:bottom w:w="100" w:type="dxa"/>
              <w:left w:w="120" w:type="dxa"/>
              <w:right w:w="120" w:type="dxa"/>
            </w:tcMar>
            <w:shd w:fill="FFFFFF"/>
          </w:tcPr>
          <w:p>
            <w:r>
              <w:rPr>
                <w:color w:val="1E293B"/>
                <w:sz w:val="17"/>
              </w:rPr>
              <w:t>61.3%</w:t>
            </w:r>
          </w:p>
        </w:tc>
      </w:tr>
      <w:tr>
        <w:tc>
          <w:tcPr>
            <w:tcW w:type="dxa" w:w="1958"/>
            <w:vAlign w:val="center"/>
            <w:tcMar>
              <w:top w:w="100" w:type="dxa"/>
              <w:bottom w:w="100" w:type="dxa"/>
              <w:left w:w="120" w:type="dxa"/>
              <w:right w:w="120" w:type="dxa"/>
            </w:tcMar>
            <w:shd w:fill="F8FAFC"/>
          </w:tcPr>
          <w:p>
            <w:r>
              <w:rPr>
                <w:color w:val="1E293B"/>
                <w:sz w:val="17"/>
              </w:rPr>
              <w:t>12.0 (Selected)</w:t>
            </w:r>
          </w:p>
        </w:tc>
        <w:tc>
          <w:tcPr>
            <w:tcW w:type="dxa" w:w="1958"/>
            <w:vAlign w:val="center"/>
            <w:tcMar>
              <w:top w:w="100" w:type="dxa"/>
              <w:bottom w:w="100" w:type="dxa"/>
              <w:left w:w="120" w:type="dxa"/>
              <w:right w:w="120" w:type="dxa"/>
            </w:tcMar>
            <w:shd w:fill="F8FAFC"/>
          </w:tcPr>
          <w:p>
            <w:r>
              <w:rPr>
                <w:color w:val="1E293B"/>
                <w:sz w:val="17"/>
              </w:rPr>
              <w:t>9.95 km</w:t>
            </w:r>
          </w:p>
        </w:tc>
        <w:tc>
          <w:tcPr>
            <w:tcW w:type="dxa" w:w="1958"/>
            <w:vAlign w:val="center"/>
            <w:tcMar>
              <w:top w:w="100" w:type="dxa"/>
              <w:bottom w:w="100" w:type="dxa"/>
              <w:left w:w="120" w:type="dxa"/>
              <w:right w:w="120" w:type="dxa"/>
            </w:tcMar>
            <w:shd w:fill="F8FAFC"/>
          </w:tcPr>
          <w:p>
            <w:r>
              <w:rPr>
                <w:color w:val="1E293B"/>
                <w:sz w:val="17"/>
              </w:rPr>
              <w:t>13.6 min</w:t>
            </w:r>
          </w:p>
        </w:tc>
        <w:tc>
          <w:tcPr>
            <w:tcW w:type="dxa" w:w="1958"/>
            <w:vAlign w:val="center"/>
            <w:tcMar>
              <w:top w:w="100" w:type="dxa"/>
              <w:bottom w:w="100" w:type="dxa"/>
              <w:left w:w="120" w:type="dxa"/>
              <w:right w:w="120" w:type="dxa"/>
            </w:tcMar>
            <w:shd w:fill="F8FAFC"/>
          </w:tcPr>
          <w:p>
            <w:r>
              <w:rPr>
                <w:color w:val="1E293B"/>
                <w:sz w:val="17"/>
              </w:rPr>
              <w:t>0.111</w:t>
            </w:r>
          </w:p>
        </w:tc>
        <w:tc>
          <w:tcPr>
            <w:tcW w:type="dxa" w:w="1958"/>
            <w:vAlign w:val="center"/>
            <w:tcMar>
              <w:top w:w="100" w:type="dxa"/>
              <w:bottom w:w="100" w:type="dxa"/>
              <w:left w:w="120" w:type="dxa"/>
              <w:right w:w="120" w:type="dxa"/>
            </w:tcMar>
            <w:shd w:fill="F8FAFC"/>
          </w:tcPr>
          <w:p>
            <w:r>
              <w:rPr>
                <w:color w:val="1E293B"/>
                <w:sz w:val="17"/>
              </w:rPr>
              <w:t>84.7%</w:t>
            </w:r>
          </w:p>
        </w:tc>
      </w:tr>
      <w:tr>
        <w:tc>
          <w:tcPr>
            <w:tcW w:type="dxa" w:w="1958"/>
            <w:vAlign w:val="center"/>
            <w:tcMar>
              <w:top w:w="100" w:type="dxa"/>
              <w:bottom w:w="100" w:type="dxa"/>
              <w:left w:w="120" w:type="dxa"/>
              <w:right w:w="120" w:type="dxa"/>
            </w:tcMar>
            <w:shd w:fill="FFFFFF"/>
          </w:tcPr>
          <w:p>
            <w:r>
              <w:rPr>
                <w:color w:val="1E293B"/>
                <w:sz w:val="17"/>
              </w:rPr>
              <w:t>20.0</w:t>
            </w:r>
          </w:p>
        </w:tc>
        <w:tc>
          <w:tcPr>
            <w:tcW w:type="dxa" w:w="1958"/>
            <w:vAlign w:val="center"/>
            <w:tcMar>
              <w:top w:w="100" w:type="dxa"/>
              <w:bottom w:w="100" w:type="dxa"/>
              <w:left w:w="120" w:type="dxa"/>
              <w:right w:w="120" w:type="dxa"/>
            </w:tcMar>
            <w:shd w:fill="FFFFFF"/>
          </w:tcPr>
          <w:p>
            <w:r>
              <w:rPr>
                <w:color w:val="1E293B"/>
                <w:sz w:val="17"/>
              </w:rPr>
              <w:t>11.40 km</w:t>
            </w:r>
          </w:p>
        </w:tc>
        <w:tc>
          <w:tcPr>
            <w:tcW w:type="dxa" w:w="1958"/>
            <w:vAlign w:val="center"/>
            <w:tcMar>
              <w:top w:w="100" w:type="dxa"/>
              <w:bottom w:w="100" w:type="dxa"/>
              <w:left w:w="120" w:type="dxa"/>
              <w:right w:w="120" w:type="dxa"/>
            </w:tcMar>
            <w:shd w:fill="FFFFFF"/>
          </w:tcPr>
          <w:p>
            <w:r>
              <w:rPr>
                <w:color w:val="1E293B"/>
                <w:sz w:val="17"/>
              </w:rPr>
              <w:t>16.2 min</w:t>
            </w:r>
          </w:p>
        </w:tc>
        <w:tc>
          <w:tcPr>
            <w:tcW w:type="dxa" w:w="1958"/>
            <w:vAlign w:val="center"/>
            <w:tcMar>
              <w:top w:w="100" w:type="dxa"/>
              <w:bottom w:w="100" w:type="dxa"/>
              <w:left w:w="120" w:type="dxa"/>
              <w:right w:w="120" w:type="dxa"/>
            </w:tcMar>
            <w:shd w:fill="FFFFFF"/>
          </w:tcPr>
          <w:p>
            <w:r>
              <w:rPr>
                <w:color w:val="1E293B"/>
                <w:sz w:val="17"/>
              </w:rPr>
              <w:t>0.095</w:t>
            </w:r>
          </w:p>
        </w:tc>
        <w:tc>
          <w:tcPr>
            <w:tcW w:type="dxa" w:w="1958"/>
            <w:vAlign w:val="center"/>
            <w:tcMar>
              <w:top w:w="100" w:type="dxa"/>
              <w:bottom w:w="100" w:type="dxa"/>
              <w:left w:w="120" w:type="dxa"/>
              <w:right w:w="120" w:type="dxa"/>
            </w:tcMar>
            <w:shd w:fill="FFFFFF"/>
          </w:tcPr>
          <w:p>
            <w:r>
              <w:rPr>
                <w:color w:val="1E293B"/>
                <w:sz w:val="17"/>
              </w:rPr>
              <w:t>86.9%</w:t>
            </w:r>
          </w:p>
        </w:tc>
      </w:tr>
    </w:tbl>
    <w:p>
      <w:pPr>
        <w:spacing w:after="160"/>
      </w:pPr>
    </w:p>
    <w:p>
      <w:pPr>
        <w:pStyle w:val="Heading2"/>
        <w:spacing w:before="280" w:after="100"/>
      </w:pPr>
      <w:r>
        <w:rPr>
          <w:b/>
          <w:color w:val="0E7490"/>
          <w:sz w:val="26"/>
        </w:rPr>
        <w:t>5.2 Automated Unit Test Verification Suite</w:t>
      </w:r>
    </w:p>
    <w:p>
      <w:r>
        <w:t>All algorithms were validated through automated PyTest suites (backend/tests). Table 3 details the test cases, assertions, and verification outcomes.</w:t>
      </w:r>
    </w:p>
    <w:tbl>
      <w:tblPr>
        <w:tblW w:type="auto" w:w="0"/>
        <w:jc w:val="center"/>
        <w:tblLook w:firstColumn="1" w:firstRow="1" w:lastColumn="0" w:lastRow="0" w:noHBand="0" w:noVBand="1" w:val="04A0"/>
      </w:tblPr>
      <w:tblGrid>
        <w:gridCol w:w="2448"/>
        <w:gridCol w:w="2448"/>
        <w:gridCol w:w="2448"/>
        <w:gridCol w:w="2448"/>
      </w:tblGrid>
      <w:tr>
        <w:tc>
          <w:tcPr>
            <w:tcW w:type="dxa" w:w="2448"/>
            <w:vAlign w:val="center"/>
            <w:tcMar>
              <w:top w:w="100" w:type="dxa"/>
              <w:bottom w:w="100" w:type="dxa"/>
              <w:left w:w="120" w:type="dxa"/>
              <w:right w:w="120" w:type="dxa"/>
            </w:tcMar>
            <w:shd w:fill="1E3A8A"/>
          </w:tcPr>
          <w:p>
            <w:pPr>
              <w:jc w:val="center"/>
            </w:pPr>
            <w:r>
              <w:rPr>
                <w:b/>
                <w:color w:val="FFFFFF"/>
                <w:sz w:val="18"/>
              </w:rPr>
              <w:t>Test Identifier</w:t>
            </w:r>
          </w:p>
        </w:tc>
        <w:tc>
          <w:tcPr>
            <w:tcW w:type="dxa" w:w="2448"/>
            <w:vAlign w:val="center"/>
            <w:tcMar>
              <w:top w:w="100" w:type="dxa"/>
              <w:bottom w:w="100" w:type="dxa"/>
              <w:left w:w="120" w:type="dxa"/>
              <w:right w:w="120" w:type="dxa"/>
            </w:tcMar>
            <w:shd w:fill="1E3A8A"/>
          </w:tcPr>
          <w:p>
            <w:pPr>
              <w:jc w:val="center"/>
            </w:pPr>
            <w:r>
              <w:rPr>
                <w:b/>
                <w:color w:val="FFFFFF"/>
                <w:sz w:val="18"/>
              </w:rPr>
              <w:t>SSDM Module</w:t>
            </w:r>
          </w:p>
        </w:tc>
        <w:tc>
          <w:tcPr>
            <w:tcW w:type="dxa" w:w="2448"/>
            <w:vAlign w:val="center"/>
            <w:tcMar>
              <w:top w:w="100" w:type="dxa"/>
              <w:bottom w:w="100" w:type="dxa"/>
              <w:left w:w="120" w:type="dxa"/>
              <w:right w:w="120" w:type="dxa"/>
            </w:tcMar>
            <w:shd w:fill="1E3A8A"/>
          </w:tcPr>
          <w:p>
            <w:pPr>
              <w:jc w:val="center"/>
            </w:pPr>
            <w:r>
              <w:rPr>
                <w:b/>
                <w:color w:val="FFFFFF"/>
                <w:sz w:val="18"/>
              </w:rPr>
              <w:t>Target Invariant / Assertion</w:t>
            </w:r>
          </w:p>
        </w:tc>
        <w:tc>
          <w:tcPr>
            <w:tcW w:type="dxa" w:w="2448"/>
            <w:vAlign w:val="center"/>
            <w:tcMar>
              <w:top w:w="100" w:type="dxa"/>
              <w:bottom w:w="100" w:type="dxa"/>
              <w:left w:w="120" w:type="dxa"/>
              <w:right w:w="120" w:type="dxa"/>
            </w:tcMar>
            <w:shd w:fill="1E3A8A"/>
          </w:tcPr>
          <w:p>
            <w:pPr>
              <w:jc w:val="center"/>
            </w:pPr>
            <w:r>
              <w:rPr>
                <w:b/>
                <w:color w:val="FFFFFF"/>
                <w:sz w:val="18"/>
              </w:rPr>
              <w:t>Verification Status</w:t>
            </w:r>
          </w:p>
        </w:tc>
      </w:tr>
      <w:tr>
        <w:tc>
          <w:tcPr>
            <w:tcW w:type="dxa" w:w="2448"/>
            <w:vAlign w:val="center"/>
            <w:tcMar>
              <w:top w:w="100" w:type="dxa"/>
              <w:bottom w:w="100" w:type="dxa"/>
              <w:left w:w="120" w:type="dxa"/>
              <w:right w:w="120" w:type="dxa"/>
            </w:tcMar>
            <w:shd w:fill="FFFFFF"/>
          </w:tcPr>
          <w:p>
            <w:r>
              <w:rPr>
                <w:color w:val="1E293B"/>
                <w:sz w:val="17"/>
              </w:rPr>
              <w:t>test_build_network_graph</w:t>
            </w:r>
          </w:p>
        </w:tc>
        <w:tc>
          <w:tcPr>
            <w:tcW w:type="dxa" w:w="2448"/>
            <w:vAlign w:val="center"/>
            <w:tcMar>
              <w:top w:w="100" w:type="dxa"/>
              <w:bottom w:w="100" w:type="dxa"/>
              <w:left w:w="120" w:type="dxa"/>
              <w:right w:w="120" w:type="dxa"/>
            </w:tcMar>
            <w:shd w:fill="FFFFFF"/>
          </w:tcPr>
          <w:p>
            <w:r>
              <w:rPr>
                <w:color w:val="1E293B"/>
                <w:sz w:val="17"/>
              </w:rPr>
              <w:t>Graph Mining</w:t>
            </w:r>
          </w:p>
        </w:tc>
        <w:tc>
          <w:tcPr>
            <w:tcW w:type="dxa" w:w="2448"/>
            <w:vAlign w:val="center"/>
            <w:tcMar>
              <w:top w:w="100" w:type="dxa"/>
              <w:bottom w:w="100" w:type="dxa"/>
              <w:left w:w="120" w:type="dxa"/>
              <w:right w:w="120" w:type="dxa"/>
            </w:tcMar>
            <w:shd w:fill="FFFFFF"/>
          </w:tcPr>
          <w:p>
            <w:r>
              <w:rPr>
                <w:color w:val="1E293B"/>
                <w:sz w:val="17"/>
              </w:rPr>
              <w:t>Nodes &gt; 10, Edges &gt; 10, positive edge weights</w:t>
            </w:r>
          </w:p>
        </w:tc>
        <w:tc>
          <w:tcPr>
            <w:tcW w:type="dxa" w:w="2448"/>
            <w:vAlign w:val="center"/>
            <w:tcMar>
              <w:top w:w="100" w:type="dxa"/>
              <w:bottom w:w="100" w:type="dxa"/>
              <w:left w:w="120" w:type="dxa"/>
              <w:right w:w="120" w:type="dxa"/>
            </w:tcMar>
            <w:shd w:fill="FFFFFF"/>
          </w:tcPr>
          <w:p>
            <w:r>
              <w:rPr>
                <w:color w:val="1E293B"/>
                <w:sz w:val="17"/>
              </w:rPr>
              <w:t>PASSED (100%)</w:t>
            </w:r>
          </w:p>
        </w:tc>
      </w:tr>
      <w:tr>
        <w:tc>
          <w:tcPr>
            <w:tcW w:type="dxa" w:w="2448"/>
            <w:vAlign w:val="center"/>
            <w:tcMar>
              <w:top w:w="100" w:type="dxa"/>
              <w:bottom w:w="100" w:type="dxa"/>
              <w:left w:w="120" w:type="dxa"/>
              <w:right w:w="120" w:type="dxa"/>
            </w:tcMar>
            <w:shd w:fill="F8FAFC"/>
          </w:tcPr>
          <w:p>
            <w:r>
              <w:rPr>
                <w:color w:val="1E293B"/>
                <w:sz w:val="17"/>
              </w:rPr>
              <w:t>test_find_nearest_node</w:t>
            </w:r>
          </w:p>
        </w:tc>
        <w:tc>
          <w:tcPr>
            <w:tcW w:type="dxa" w:w="2448"/>
            <w:vAlign w:val="center"/>
            <w:tcMar>
              <w:top w:w="100" w:type="dxa"/>
              <w:bottom w:w="100" w:type="dxa"/>
              <w:left w:w="120" w:type="dxa"/>
              <w:right w:w="120" w:type="dxa"/>
            </w:tcMar>
            <w:shd w:fill="F8FAFC"/>
          </w:tcPr>
          <w:p>
            <w:r>
              <w:rPr>
                <w:color w:val="1E293B"/>
                <w:sz w:val="17"/>
              </w:rPr>
              <w:t>Spatial Snapping</w:t>
            </w:r>
          </w:p>
        </w:tc>
        <w:tc>
          <w:tcPr>
            <w:tcW w:type="dxa" w:w="2448"/>
            <w:vAlign w:val="center"/>
            <w:tcMar>
              <w:top w:w="100" w:type="dxa"/>
              <w:bottom w:w="100" w:type="dxa"/>
              <w:left w:w="120" w:type="dxa"/>
              <w:right w:w="120" w:type="dxa"/>
            </w:tcMar>
            <w:shd w:fill="F8FAFC"/>
          </w:tcPr>
          <w:p>
            <w:r>
              <w:rPr>
                <w:color w:val="1E293B"/>
                <w:sz w:val="17"/>
              </w:rPr>
              <w:t>Aluva Manappuram GPS correctly snaps to N1</w:t>
            </w:r>
          </w:p>
        </w:tc>
        <w:tc>
          <w:tcPr>
            <w:tcW w:type="dxa" w:w="2448"/>
            <w:vAlign w:val="center"/>
            <w:tcMar>
              <w:top w:w="100" w:type="dxa"/>
              <w:bottom w:w="100" w:type="dxa"/>
              <w:left w:w="120" w:type="dxa"/>
              <w:right w:w="120" w:type="dxa"/>
            </w:tcMar>
            <w:shd w:fill="F8FAFC"/>
          </w:tcPr>
          <w:p>
            <w:r>
              <w:rPr>
                <w:color w:val="1E293B"/>
                <w:sz w:val="17"/>
              </w:rPr>
              <w:t>PASSED (100%)</w:t>
            </w:r>
          </w:p>
        </w:tc>
      </w:tr>
      <w:tr>
        <w:tc>
          <w:tcPr>
            <w:tcW w:type="dxa" w:w="2448"/>
            <w:vAlign w:val="center"/>
            <w:tcMar>
              <w:top w:w="100" w:type="dxa"/>
              <w:bottom w:w="100" w:type="dxa"/>
              <w:left w:w="120" w:type="dxa"/>
              <w:right w:w="120" w:type="dxa"/>
            </w:tcMar>
            <w:shd w:fill="FFFFFF"/>
          </w:tcPr>
          <w:p>
            <w:r>
              <w:rPr>
                <w:color w:val="1E293B"/>
                <w:sz w:val="17"/>
              </w:rPr>
              <w:t>test_evacuation_routing_safety</w:t>
            </w:r>
          </w:p>
        </w:tc>
        <w:tc>
          <w:tcPr>
            <w:tcW w:type="dxa" w:w="2448"/>
            <w:vAlign w:val="center"/>
            <w:tcMar>
              <w:top w:w="100" w:type="dxa"/>
              <w:bottom w:w="100" w:type="dxa"/>
              <w:left w:w="120" w:type="dxa"/>
              <w:right w:w="120" w:type="dxa"/>
            </w:tcMar>
            <w:shd w:fill="FFFFFF"/>
          </w:tcPr>
          <w:p>
            <w:r>
              <w:rPr>
                <w:color w:val="1E293B"/>
                <w:sz w:val="17"/>
              </w:rPr>
              <w:t>A* Router</w:t>
            </w:r>
          </w:p>
        </w:tc>
        <w:tc>
          <w:tcPr>
            <w:tcW w:type="dxa" w:w="2448"/>
            <w:vAlign w:val="center"/>
            <w:tcMar>
              <w:top w:w="100" w:type="dxa"/>
              <w:bottom w:w="100" w:type="dxa"/>
              <w:left w:w="120" w:type="dxa"/>
              <w:right w:w="120" w:type="dxa"/>
            </w:tcMar>
            <w:shd w:fill="FFFFFF"/>
          </w:tcPr>
          <w:p>
            <w:r>
              <w:rPr>
                <w:color w:val="1E293B"/>
                <w:sz w:val="17"/>
              </w:rPr>
              <w:t>Safe Route Risk &lt;= Standard Route Risk</w:t>
            </w:r>
          </w:p>
        </w:tc>
        <w:tc>
          <w:tcPr>
            <w:tcW w:type="dxa" w:w="2448"/>
            <w:vAlign w:val="center"/>
            <w:tcMar>
              <w:top w:w="100" w:type="dxa"/>
              <w:bottom w:w="100" w:type="dxa"/>
              <w:left w:w="120" w:type="dxa"/>
              <w:right w:w="120" w:type="dxa"/>
            </w:tcMar>
            <w:shd w:fill="FFFFFF"/>
          </w:tcPr>
          <w:p>
            <w:r>
              <w:rPr>
                <w:color w:val="1E293B"/>
                <w:sz w:val="17"/>
              </w:rPr>
              <w:t>PASSED (100%)</w:t>
            </w:r>
          </w:p>
        </w:tc>
      </w:tr>
      <w:tr>
        <w:tc>
          <w:tcPr>
            <w:tcW w:type="dxa" w:w="2448"/>
            <w:vAlign w:val="center"/>
            <w:tcMar>
              <w:top w:w="100" w:type="dxa"/>
              <w:bottom w:w="100" w:type="dxa"/>
              <w:left w:w="120" w:type="dxa"/>
              <w:right w:w="120" w:type="dxa"/>
            </w:tcMar>
            <w:shd w:fill="F8FAFC"/>
          </w:tcPr>
          <w:p>
            <w:r>
              <w:rPr>
                <w:color w:val="1E293B"/>
                <w:sz w:val="17"/>
              </w:rPr>
              <w:t>test_sequential_features</w:t>
            </w:r>
          </w:p>
        </w:tc>
        <w:tc>
          <w:tcPr>
            <w:tcW w:type="dxa" w:w="2448"/>
            <w:vAlign w:val="center"/>
            <w:tcMar>
              <w:top w:w="100" w:type="dxa"/>
              <w:bottom w:w="100" w:type="dxa"/>
              <w:left w:w="120" w:type="dxa"/>
              <w:right w:w="120" w:type="dxa"/>
            </w:tcMar>
            <w:shd w:fill="F8FAFC"/>
          </w:tcPr>
          <w:p>
            <w:r>
              <w:rPr>
                <w:color w:val="1E293B"/>
                <w:sz w:val="17"/>
              </w:rPr>
              <w:t>Sequential Mining</w:t>
            </w:r>
          </w:p>
        </w:tc>
        <w:tc>
          <w:tcPr>
            <w:tcW w:type="dxa" w:w="2448"/>
            <w:vAlign w:val="center"/>
            <w:tcMar>
              <w:top w:w="100" w:type="dxa"/>
              <w:bottom w:w="100" w:type="dxa"/>
              <w:left w:w="120" w:type="dxa"/>
              <w:right w:w="120" w:type="dxa"/>
            </w:tcMar>
            <w:shd w:fill="F8FAFC"/>
          </w:tcPr>
          <w:p>
            <w:r>
              <w:rPr>
                <w:color w:val="1E293B"/>
                <w:sz w:val="17"/>
              </w:rPr>
              <w:t>Sliding window cumulative rain &amp; dH/dt extraction</w:t>
            </w:r>
          </w:p>
        </w:tc>
        <w:tc>
          <w:tcPr>
            <w:tcW w:type="dxa" w:w="2448"/>
            <w:vAlign w:val="center"/>
            <w:tcMar>
              <w:top w:w="100" w:type="dxa"/>
              <w:bottom w:w="100" w:type="dxa"/>
              <w:left w:w="120" w:type="dxa"/>
              <w:right w:w="120" w:type="dxa"/>
            </w:tcMar>
            <w:shd w:fill="F8FAFC"/>
          </w:tcPr>
          <w:p>
            <w:r>
              <w:rPr>
                <w:color w:val="1E293B"/>
                <w:sz w:val="17"/>
              </w:rPr>
              <w:t>PASSED (100%)</w:t>
            </w:r>
          </w:p>
        </w:tc>
      </w:tr>
      <w:tr>
        <w:tc>
          <w:tcPr>
            <w:tcW w:type="dxa" w:w="2448"/>
            <w:vAlign w:val="center"/>
            <w:tcMar>
              <w:top w:w="100" w:type="dxa"/>
              <w:bottom w:w="100" w:type="dxa"/>
              <w:left w:w="120" w:type="dxa"/>
              <w:right w:w="120" w:type="dxa"/>
            </w:tcMar>
            <w:shd w:fill="FFFFFF"/>
          </w:tcPr>
          <w:p>
            <w:r>
              <w:rPr>
                <w:color w:val="1E293B"/>
                <w:sz w:val="17"/>
              </w:rPr>
              <w:t>test_predict_multi_step_horizon</w:t>
            </w:r>
          </w:p>
        </w:tc>
        <w:tc>
          <w:tcPr>
            <w:tcW w:type="dxa" w:w="2448"/>
            <w:vAlign w:val="center"/>
            <w:tcMar>
              <w:top w:w="100" w:type="dxa"/>
              <w:bottom w:w="100" w:type="dxa"/>
              <w:left w:w="120" w:type="dxa"/>
              <w:right w:w="120" w:type="dxa"/>
            </w:tcMar>
            <w:shd w:fill="FFFFFF"/>
          </w:tcPr>
          <w:p>
            <w:r>
              <w:rPr>
                <w:color w:val="1E293B"/>
                <w:sz w:val="17"/>
              </w:rPr>
              <w:t>Sequential Mining</w:t>
            </w:r>
          </w:p>
        </w:tc>
        <w:tc>
          <w:tcPr>
            <w:tcW w:type="dxa" w:w="2448"/>
            <w:vAlign w:val="center"/>
            <w:tcMar>
              <w:top w:w="100" w:type="dxa"/>
              <w:bottom w:w="100" w:type="dxa"/>
              <w:left w:w="120" w:type="dxa"/>
              <w:right w:w="120" w:type="dxa"/>
            </w:tcMar>
            <w:shd w:fill="FFFFFF"/>
          </w:tcPr>
          <w:p>
            <w:r>
              <w:rPr>
                <w:color w:val="1E293B"/>
                <w:sz w:val="17"/>
              </w:rPr>
              <w:t>+24h, +48h, +72h monotonic crest progression</w:t>
            </w:r>
          </w:p>
        </w:tc>
        <w:tc>
          <w:tcPr>
            <w:tcW w:type="dxa" w:w="2448"/>
            <w:vAlign w:val="center"/>
            <w:tcMar>
              <w:top w:w="100" w:type="dxa"/>
              <w:bottom w:w="100" w:type="dxa"/>
              <w:left w:w="120" w:type="dxa"/>
              <w:right w:w="120" w:type="dxa"/>
            </w:tcMar>
            <w:shd w:fill="FFFFFF"/>
          </w:tcPr>
          <w:p>
            <w:r>
              <w:rPr>
                <w:color w:val="1E293B"/>
                <w:sz w:val="17"/>
              </w:rPr>
              <w:t>PASSED (100%)</w:t>
            </w:r>
          </w:p>
        </w:tc>
      </w:tr>
      <w:tr>
        <w:tc>
          <w:tcPr>
            <w:tcW w:type="dxa" w:w="2448"/>
            <w:vAlign w:val="center"/>
            <w:tcMar>
              <w:top w:w="100" w:type="dxa"/>
              <w:bottom w:w="100" w:type="dxa"/>
              <w:left w:w="120" w:type="dxa"/>
              <w:right w:w="120" w:type="dxa"/>
            </w:tcMar>
            <w:shd w:fill="F8FAFC"/>
          </w:tcPr>
          <w:p>
            <w:r>
              <w:rPr>
                <w:color w:val="1E293B"/>
                <w:sz w:val="17"/>
              </w:rPr>
              <w:t>test_surge_multiplier_escalation</w:t>
            </w:r>
          </w:p>
        </w:tc>
        <w:tc>
          <w:tcPr>
            <w:tcW w:type="dxa" w:w="2448"/>
            <w:vAlign w:val="center"/>
            <w:tcMar>
              <w:top w:w="100" w:type="dxa"/>
              <w:bottom w:w="100" w:type="dxa"/>
              <w:left w:w="120" w:type="dxa"/>
              <w:right w:w="120" w:type="dxa"/>
            </w:tcMar>
            <w:shd w:fill="F8FAFC"/>
          </w:tcPr>
          <w:p>
            <w:r>
              <w:rPr>
                <w:color w:val="1E293B"/>
                <w:sz w:val="17"/>
              </w:rPr>
              <w:t>Crisis Simulator</w:t>
            </w:r>
          </w:p>
        </w:tc>
        <w:tc>
          <w:tcPr>
            <w:tcW w:type="dxa" w:w="2448"/>
            <w:vAlign w:val="center"/>
            <w:tcMar>
              <w:top w:w="100" w:type="dxa"/>
              <w:bottom w:w="100" w:type="dxa"/>
              <w:left w:w="120" w:type="dxa"/>
              <w:right w:w="120" w:type="dxa"/>
            </w:tcMar>
            <w:shd w:fill="F8FAFC"/>
          </w:tcPr>
          <w:p>
            <w:r>
              <w:rPr>
                <w:color w:val="1E293B"/>
                <w:sz w:val="17"/>
              </w:rPr>
              <w:t>Surge multiplier increases flood probability</w:t>
            </w:r>
          </w:p>
        </w:tc>
        <w:tc>
          <w:tcPr>
            <w:tcW w:type="dxa" w:w="2448"/>
            <w:vAlign w:val="center"/>
            <w:tcMar>
              <w:top w:w="100" w:type="dxa"/>
              <w:bottom w:w="100" w:type="dxa"/>
              <w:left w:w="120" w:type="dxa"/>
              <w:right w:w="120" w:type="dxa"/>
            </w:tcMar>
            <w:shd w:fill="F8FAFC"/>
          </w:tcPr>
          <w:p>
            <w:r>
              <w:rPr>
                <w:color w:val="1E293B"/>
                <w:sz w:val="17"/>
              </w:rPr>
              <w:t>PASSED (100%)</w:t>
            </w:r>
          </w:p>
        </w:tc>
      </w:tr>
      <w:tr>
        <w:tc>
          <w:tcPr>
            <w:tcW w:type="dxa" w:w="2448"/>
            <w:vAlign w:val="center"/>
            <w:tcMar>
              <w:top w:w="100" w:type="dxa"/>
              <w:bottom w:w="100" w:type="dxa"/>
              <w:left w:w="120" w:type="dxa"/>
              <w:right w:w="120" w:type="dxa"/>
            </w:tcMar>
            <w:shd w:fill="FFFFFF"/>
          </w:tcPr>
          <w:p>
            <w:r>
              <w:rPr>
                <w:color w:val="1E293B"/>
                <w:sz w:val="17"/>
              </w:rPr>
              <w:t>test_dbscan_clustering</w:t>
            </w:r>
          </w:p>
        </w:tc>
        <w:tc>
          <w:tcPr>
            <w:tcW w:type="dxa" w:w="2448"/>
            <w:vAlign w:val="center"/>
            <w:tcMar>
              <w:top w:w="100" w:type="dxa"/>
              <w:bottom w:w="100" w:type="dxa"/>
              <w:left w:w="120" w:type="dxa"/>
              <w:right w:w="120" w:type="dxa"/>
            </w:tcMar>
            <w:shd w:fill="FFFFFF"/>
          </w:tcPr>
          <w:p>
            <w:r>
              <w:rPr>
                <w:color w:val="1E293B"/>
                <w:sz w:val="17"/>
              </w:rPr>
              <w:t>Spatial Mining</w:t>
            </w:r>
          </w:p>
        </w:tc>
        <w:tc>
          <w:tcPr>
            <w:tcW w:type="dxa" w:w="2448"/>
            <w:vAlign w:val="center"/>
            <w:tcMar>
              <w:top w:w="100" w:type="dxa"/>
              <w:bottom w:w="100" w:type="dxa"/>
              <w:left w:w="120" w:type="dxa"/>
              <w:right w:w="120" w:type="dxa"/>
            </w:tcMar>
            <w:shd w:fill="FFFFFF"/>
          </w:tcPr>
          <w:p>
            <w:r>
              <w:rPr>
                <w:color w:val="1E293B"/>
                <w:sz w:val="17"/>
              </w:rPr>
              <w:t>eps=1.8km groups incidents &amp; filters noise</w:t>
            </w:r>
          </w:p>
        </w:tc>
        <w:tc>
          <w:tcPr>
            <w:tcW w:type="dxa" w:w="2448"/>
            <w:vAlign w:val="center"/>
            <w:tcMar>
              <w:top w:w="100" w:type="dxa"/>
              <w:bottom w:w="100" w:type="dxa"/>
              <w:left w:w="120" w:type="dxa"/>
              <w:right w:w="120" w:type="dxa"/>
            </w:tcMar>
            <w:shd w:fill="FFFFFF"/>
          </w:tcPr>
          <w:p>
            <w:r>
              <w:rPr>
                <w:color w:val="1E293B"/>
                <w:sz w:val="17"/>
              </w:rPr>
              <w:t>PASSED (100%)</w:t>
            </w:r>
          </w:p>
        </w:tc>
      </w:tr>
      <w:tr>
        <w:tc>
          <w:tcPr>
            <w:tcW w:type="dxa" w:w="2448"/>
            <w:vAlign w:val="center"/>
            <w:tcMar>
              <w:top w:w="100" w:type="dxa"/>
              <w:bottom w:w="100" w:type="dxa"/>
              <w:left w:w="120" w:type="dxa"/>
              <w:right w:w="120" w:type="dxa"/>
            </w:tcMar>
            <w:shd w:fill="F8FAFC"/>
          </w:tcPr>
          <w:p>
            <w:r>
              <w:rPr>
                <w:color w:val="1E293B"/>
                <w:sz w:val="17"/>
              </w:rPr>
              <w:t>test_morans_i_autocorrelation</w:t>
            </w:r>
          </w:p>
        </w:tc>
        <w:tc>
          <w:tcPr>
            <w:tcW w:type="dxa" w:w="2448"/>
            <w:vAlign w:val="center"/>
            <w:tcMar>
              <w:top w:w="100" w:type="dxa"/>
              <w:bottom w:w="100" w:type="dxa"/>
              <w:left w:w="120" w:type="dxa"/>
              <w:right w:w="120" w:type="dxa"/>
            </w:tcMar>
            <w:shd w:fill="F8FAFC"/>
          </w:tcPr>
          <w:p>
            <w:r>
              <w:rPr>
                <w:color w:val="1E293B"/>
                <w:sz w:val="17"/>
              </w:rPr>
              <w:t>Spatial Mining</w:t>
            </w:r>
          </w:p>
        </w:tc>
        <w:tc>
          <w:tcPr>
            <w:tcW w:type="dxa" w:w="2448"/>
            <w:vAlign w:val="center"/>
            <w:tcMar>
              <w:top w:w="100" w:type="dxa"/>
              <w:bottom w:w="100" w:type="dxa"/>
              <w:left w:w="120" w:type="dxa"/>
              <w:right w:w="120" w:type="dxa"/>
            </w:tcMar>
            <w:shd w:fill="F8FAFC"/>
          </w:tcPr>
          <w:p>
            <w:r>
              <w:rPr>
                <w:color w:val="1E293B"/>
                <w:sz w:val="17"/>
              </w:rPr>
              <w:t>Moran's I &gt; 0.35, z &gt; 1.96, p &lt; 0.05</w:t>
            </w:r>
          </w:p>
        </w:tc>
        <w:tc>
          <w:tcPr>
            <w:tcW w:type="dxa" w:w="2448"/>
            <w:vAlign w:val="center"/>
            <w:tcMar>
              <w:top w:w="100" w:type="dxa"/>
              <w:bottom w:w="100" w:type="dxa"/>
              <w:left w:w="120" w:type="dxa"/>
              <w:right w:w="120" w:type="dxa"/>
            </w:tcMar>
            <w:shd w:fill="F8FAFC"/>
          </w:tcPr>
          <w:p>
            <w:r>
              <w:rPr>
                <w:color w:val="1E293B"/>
                <w:sz w:val="17"/>
              </w:rPr>
              <w:t>PASSED (100%)</w:t>
            </w:r>
          </w:p>
        </w:tc>
      </w:tr>
      <w:tr>
        <w:tc>
          <w:tcPr>
            <w:tcW w:type="dxa" w:w="2448"/>
            <w:vAlign w:val="center"/>
            <w:tcMar>
              <w:top w:w="100" w:type="dxa"/>
              <w:bottom w:w="100" w:type="dxa"/>
              <w:left w:w="120" w:type="dxa"/>
              <w:right w:w="120" w:type="dxa"/>
            </w:tcMar>
            <w:shd w:fill="FFFFFF"/>
          </w:tcPr>
          <w:p>
            <w:r>
              <w:rPr>
                <w:color w:val="1E293B"/>
                <w:sz w:val="17"/>
              </w:rPr>
              <w:t>test_kde_risk_grid</w:t>
            </w:r>
          </w:p>
        </w:tc>
        <w:tc>
          <w:tcPr>
            <w:tcW w:type="dxa" w:w="2448"/>
            <w:vAlign w:val="center"/>
            <w:tcMar>
              <w:top w:w="100" w:type="dxa"/>
              <w:bottom w:w="100" w:type="dxa"/>
              <w:left w:w="120" w:type="dxa"/>
              <w:right w:w="120" w:type="dxa"/>
            </w:tcMar>
            <w:shd w:fill="FFFFFF"/>
          </w:tcPr>
          <w:p>
            <w:r>
              <w:rPr>
                <w:color w:val="1E293B"/>
                <w:sz w:val="17"/>
              </w:rPr>
              <w:t>Spatial Mining</w:t>
            </w:r>
          </w:p>
        </w:tc>
        <w:tc>
          <w:tcPr>
            <w:tcW w:type="dxa" w:w="2448"/>
            <w:vAlign w:val="center"/>
            <w:tcMar>
              <w:top w:w="100" w:type="dxa"/>
              <w:bottom w:w="100" w:type="dxa"/>
              <w:left w:w="120" w:type="dxa"/>
              <w:right w:w="120" w:type="dxa"/>
            </w:tcMar>
            <w:shd w:fill="FFFFFF"/>
          </w:tcPr>
          <w:p>
            <w:r>
              <w:rPr>
                <w:color w:val="1E293B"/>
                <w:sz w:val="17"/>
              </w:rPr>
              <w:t>Continuous 25x25 KDE surface normalized [0, 1]</w:t>
            </w:r>
          </w:p>
        </w:tc>
        <w:tc>
          <w:tcPr>
            <w:tcW w:type="dxa" w:w="2448"/>
            <w:vAlign w:val="center"/>
            <w:tcMar>
              <w:top w:w="100" w:type="dxa"/>
              <w:bottom w:w="100" w:type="dxa"/>
              <w:left w:w="120" w:type="dxa"/>
              <w:right w:w="120" w:type="dxa"/>
            </w:tcMar>
            <w:shd w:fill="FFFFFF"/>
          </w:tcPr>
          <w:p>
            <w:r>
              <w:rPr>
                <w:color w:val="1E293B"/>
                <w:sz w:val="17"/>
              </w:rPr>
              <w:t>PASSED (100%)</w:t>
            </w:r>
          </w:p>
        </w:tc>
      </w:tr>
    </w:tbl>
    <w:p>
      <w:pPr>
        <w:spacing w:after="160"/>
      </w:pPr>
    </w:p>
    <w:p>
      <w:pPr>
        <w:pStyle w:val="Heading1"/>
        <w:spacing w:before="280" w:after="100"/>
      </w:pPr>
      <w:r>
        <w:rPr>
          <w:b/>
          <w:color w:val="1E3A8A"/>
          <w:sz w:val="32"/>
        </w:rPr>
        <w:t>6. RESTful API Specification &amp; Developer Contract</w:t>
      </w:r>
    </w:p>
    <w:p>
      <w:r>
        <w:t>The FastAPI backend exposes fully documented endpoints adhering to OpenAPI 3.0 standards, accessible via http://127.0.0.1:8000/docs. Table 4 summarizes the primary REST endpoints.</w:t>
      </w:r>
    </w:p>
    <w:tbl>
      <w:tblPr>
        <w:tblW w:type="auto" w:w="0"/>
        <w:jc w:val="center"/>
        <w:tblLook w:firstColumn="1" w:firstRow="1" w:lastColumn="0" w:lastRow="0" w:noHBand="0" w:noVBand="1" w:val="04A0"/>
      </w:tblPr>
      <w:tblGrid>
        <w:gridCol w:w="2448"/>
        <w:gridCol w:w="2448"/>
        <w:gridCol w:w="2448"/>
        <w:gridCol w:w="2448"/>
      </w:tblGrid>
      <w:tr>
        <w:tc>
          <w:tcPr>
            <w:tcW w:type="dxa" w:w="2448"/>
            <w:vAlign w:val="center"/>
            <w:tcMar>
              <w:top w:w="100" w:type="dxa"/>
              <w:bottom w:w="100" w:type="dxa"/>
              <w:left w:w="120" w:type="dxa"/>
              <w:right w:w="120" w:type="dxa"/>
            </w:tcMar>
            <w:shd w:fill="1E3A8A"/>
          </w:tcPr>
          <w:p>
            <w:pPr>
              <w:jc w:val="center"/>
            </w:pPr>
            <w:r>
              <w:rPr>
                <w:b/>
                <w:color w:val="FFFFFF"/>
                <w:sz w:val="18"/>
              </w:rPr>
              <w:t>HTTP Verb</w:t>
            </w:r>
          </w:p>
        </w:tc>
        <w:tc>
          <w:tcPr>
            <w:tcW w:type="dxa" w:w="2448"/>
            <w:vAlign w:val="center"/>
            <w:tcMar>
              <w:top w:w="100" w:type="dxa"/>
              <w:bottom w:w="100" w:type="dxa"/>
              <w:left w:w="120" w:type="dxa"/>
              <w:right w:w="120" w:type="dxa"/>
            </w:tcMar>
            <w:shd w:fill="1E3A8A"/>
          </w:tcPr>
          <w:p>
            <w:pPr>
              <w:jc w:val="center"/>
            </w:pPr>
            <w:r>
              <w:rPr>
                <w:b/>
                <w:color w:val="FFFFFF"/>
                <w:sz w:val="18"/>
              </w:rPr>
              <w:t>Endpoint Route</w:t>
            </w:r>
          </w:p>
        </w:tc>
        <w:tc>
          <w:tcPr>
            <w:tcW w:type="dxa" w:w="2448"/>
            <w:vAlign w:val="center"/>
            <w:tcMar>
              <w:top w:w="100" w:type="dxa"/>
              <w:bottom w:w="100" w:type="dxa"/>
              <w:left w:w="120" w:type="dxa"/>
              <w:right w:w="120" w:type="dxa"/>
            </w:tcMar>
            <w:shd w:fill="1E3A8A"/>
          </w:tcPr>
          <w:p>
            <w:pPr>
              <w:jc w:val="center"/>
            </w:pPr>
            <w:r>
              <w:rPr>
                <w:b/>
                <w:color w:val="FFFFFF"/>
                <w:sz w:val="18"/>
              </w:rPr>
              <w:t>Key Parameters</w:t>
            </w:r>
          </w:p>
        </w:tc>
        <w:tc>
          <w:tcPr>
            <w:tcW w:type="dxa" w:w="2448"/>
            <w:vAlign w:val="center"/>
            <w:tcMar>
              <w:top w:w="100" w:type="dxa"/>
              <w:bottom w:w="100" w:type="dxa"/>
              <w:left w:w="120" w:type="dxa"/>
              <w:right w:w="120" w:type="dxa"/>
            </w:tcMar>
            <w:shd w:fill="1E3A8A"/>
          </w:tcPr>
          <w:p>
            <w:pPr>
              <w:jc w:val="center"/>
            </w:pPr>
            <w:r>
              <w:rPr>
                <w:b/>
                <w:color w:val="FFFFFF"/>
                <w:sz w:val="18"/>
              </w:rPr>
              <w:t>Operation Description</w:t>
            </w:r>
          </w:p>
        </w:tc>
      </w:tr>
      <w:tr>
        <w:tc>
          <w:tcPr>
            <w:tcW w:type="dxa" w:w="2448"/>
            <w:vAlign w:val="center"/>
            <w:tcMar>
              <w:top w:w="100" w:type="dxa"/>
              <w:bottom w:w="100" w:type="dxa"/>
              <w:left w:w="120" w:type="dxa"/>
              <w:right w:w="120" w:type="dxa"/>
            </w:tcMar>
            <w:shd w:fill="FFFFFF"/>
          </w:tcPr>
          <w:p>
            <w:r>
              <w:rPr>
                <w:color w:val="1E293B"/>
                <w:sz w:val="17"/>
              </w:rPr>
              <w:t>GET</w:t>
            </w:r>
          </w:p>
        </w:tc>
        <w:tc>
          <w:tcPr>
            <w:tcW w:type="dxa" w:w="2448"/>
            <w:vAlign w:val="center"/>
            <w:tcMar>
              <w:top w:w="100" w:type="dxa"/>
              <w:bottom w:w="100" w:type="dxa"/>
              <w:left w:w="120" w:type="dxa"/>
              <w:right w:w="120" w:type="dxa"/>
            </w:tcMar>
            <w:shd w:fill="FFFFFF"/>
          </w:tcPr>
          <w:p>
            <w:r>
              <w:rPr>
                <w:color w:val="1E293B"/>
                <w:sz w:val="17"/>
              </w:rPr>
              <w:t>/api/regions</w:t>
            </w:r>
          </w:p>
        </w:tc>
        <w:tc>
          <w:tcPr>
            <w:tcW w:type="dxa" w:w="2448"/>
            <w:vAlign w:val="center"/>
            <w:tcMar>
              <w:top w:w="100" w:type="dxa"/>
              <w:bottom w:w="100" w:type="dxa"/>
              <w:left w:w="120" w:type="dxa"/>
              <w:right w:w="120" w:type="dxa"/>
            </w:tcMar>
            <w:shd w:fill="FFFFFF"/>
          </w:tcPr>
          <w:p>
            <w:r>
              <w:rPr>
                <w:color w:val="1E293B"/>
                <w:sz w:val="17"/>
              </w:rPr>
              <w:t>None</w:t>
            </w:r>
          </w:p>
        </w:tc>
        <w:tc>
          <w:tcPr>
            <w:tcW w:type="dxa" w:w="2448"/>
            <w:vAlign w:val="center"/>
            <w:tcMar>
              <w:top w:w="100" w:type="dxa"/>
              <w:bottom w:w="100" w:type="dxa"/>
              <w:left w:w="120" w:type="dxa"/>
              <w:right w:w="120" w:type="dxa"/>
            </w:tcMar>
            <w:shd w:fill="FFFFFF"/>
          </w:tcPr>
          <w:p>
            <w:r>
              <w:rPr>
                <w:color w:val="1E293B"/>
                <w:sz w:val="17"/>
              </w:rPr>
              <w:t>Returns list of calibrated disaster basins with danger thresholds</w:t>
            </w:r>
          </w:p>
        </w:tc>
      </w:tr>
      <w:tr>
        <w:tc>
          <w:tcPr>
            <w:tcW w:type="dxa" w:w="2448"/>
            <w:vAlign w:val="center"/>
            <w:tcMar>
              <w:top w:w="100" w:type="dxa"/>
              <w:bottom w:w="100" w:type="dxa"/>
              <w:left w:w="120" w:type="dxa"/>
              <w:right w:w="120" w:type="dxa"/>
            </w:tcMar>
            <w:shd w:fill="F8FAFC"/>
          </w:tcPr>
          <w:p>
            <w:r>
              <w:rPr>
                <w:color w:val="1E293B"/>
                <w:sz w:val="17"/>
              </w:rPr>
              <w:t>GET</w:t>
            </w:r>
          </w:p>
        </w:tc>
        <w:tc>
          <w:tcPr>
            <w:tcW w:type="dxa" w:w="2448"/>
            <w:vAlign w:val="center"/>
            <w:tcMar>
              <w:top w:w="100" w:type="dxa"/>
              <w:bottom w:w="100" w:type="dxa"/>
              <w:left w:w="120" w:type="dxa"/>
              <w:right w:w="120" w:type="dxa"/>
            </w:tcMar>
            <w:shd w:fill="F8FAFC"/>
          </w:tcPr>
          <w:p>
            <w:r>
              <w:rPr>
                <w:color w:val="1E293B"/>
                <w:sz w:val="17"/>
              </w:rPr>
              <w:t>/api/sequential/predict</w:t>
            </w:r>
          </w:p>
        </w:tc>
        <w:tc>
          <w:tcPr>
            <w:tcW w:type="dxa" w:w="2448"/>
            <w:vAlign w:val="center"/>
            <w:tcMar>
              <w:top w:w="100" w:type="dxa"/>
              <w:bottom w:w="100" w:type="dxa"/>
              <w:left w:w="120" w:type="dxa"/>
              <w:right w:w="120" w:type="dxa"/>
            </w:tcMar>
            <w:shd w:fill="F8FAFC"/>
          </w:tcPr>
          <w:p>
            <w:r>
              <w:rPr>
                <w:color w:val="1E293B"/>
                <w:sz w:val="17"/>
              </w:rPr>
              <w:t>region_id</w:t>
            </w:r>
          </w:p>
        </w:tc>
        <w:tc>
          <w:tcPr>
            <w:tcW w:type="dxa" w:w="2448"/>
            <w:vAlign w:val="center"/>
            <w:tcMar>
              <w:top w:w="100" w:type="dxa"/>
              <w:bottom w:w="100" w:type="dxa"/>
              <w:left w:w="120" w:type="dxa"/>
              <w:right w:w="120" w:type="dxa"/>
            </w:tcMar>
            <w:shd w:fill="F8FAFC"/>
          </w:tcPr>
          <w:p>
            <w:r>
              <w:rPr>
                <w:color w:val="1E293B"/>
                <w:sz w:val="17"/>
              </w:rPr>
              <w:t>Calculates +24h, +48h, +72h sequential forecasts and trends</w:t>
            </w:r>
          </w:p>
        </w:tc>
      </w:tr>
      <w:tr>
        <w:tc>
          <w:tcPr>
            <w:tcW w:type="dxa" w:w="2448"/>
            <w:vAlign w:val="center"/>
            <w:tcMar>
              <w:top w:w="100" w:type="dxa"/>
              <w:bottom w:w="100" w:type="dxa"/>
              <w:left w:w="120" w:type="dxa"/>
              <w:right w:w="120" w:type="dxa"/>
            </w:tcMar>
            <w:shd w:fill="FFFFFF"/>
          </w:tcPr>
          <w:p>
            <w:r>
              <w:rPr>
                <w:color w:val="1E293B"/>
                <w:sz w:val="17"/>
              </w:rPr>
              <w:t>GET</w:t>
            </w:r>
          </w:p>
        </w:tc>
        <w:tc>
          <w:tcPr>
            <w:tcW w:type="dxa" w:w="2448"/>
            <w:vAlign w:val="center"/>
            <w:tcMar>
              <w:top w:w="100" w:type="dxa"/>
              <w:bottom w:w="100" w:type="dxa"/>
              <w:left w:w="120" w:type="dxa"/>
              <w:right w:w="120" w:type="dxa"/>
            </w:tcMar>
            <w:shd w:fill="FFFFFF"/>
          </w:tcPr>
          <w:p>
            <w:r>
              <w:rPr>
                <w:color w:val="1E293B"/>
                <w:sz w:val="17"/>
              </w:rPr>
              <w:t>/api/spatial/clusters</w:t>
            </w:r>
          </w:p>
        </w:tc>
        <w:tc>
          <w:tcPr>
            <w:tcW w:type="dxa" w:w="2448"/>
            <w:vAlign w:val="center"/>
            <w:tcMar>
              <w:top w:w="100" w:type="dxa"/>
              <w:bottom w:w="100" w:type="dxa"/>
              <w:left w:w="120" w:type="dxa"/>
              <w:right w:w="120" w:type="dxa"/>
            </w:tcMar>
            <w:shd w:fill="FFFFFF"/>
          </w:tcPr>
          <w:p>
            <w:r>
              <w:rPr>
                <w:color w:val="1E293B"/>
                <w:sz w:val="17"/>
              </w:rPr>
              <w:t>region_id, eps_km, min_samples</w:t>
            </w:r>
          </w:p>
        </w:tc>
        <w:tc>
          <w:tcPr>
            <w:tcW w:type="dxa" w:w="2448"/>
            <w:vAlign w:val="center"/>
            <w:tcMar>
              <w:top w:w="100" w:type="dxa"/>
              <w:bottom w:w="100" w:type="dxa"/>
              <w:left w:w="120" w:type="dxa"/>
              <w:right w:w="120" w:type="dxa"/>
            </w:tcMar>
            <w:shd w:fill="FFFFFF"/>
          </w:tcPr>
          <w:p>
            <w:r>
              <w:rPr>
                <w:color w:val="1E293B"/>
                <w:sz w:val="17"/>
              </w:rPr>
              <w:t>Executes ST-DBSCAN and Global Moran's I autocorrelation</w:t>
            </w:r>
          </w:p>
        </w:tc>
      </w:tr>
      <w:tr>
        <w:tc>
          <w:tcPr>
            <w:tcW w:type="dxa" w:w="2448"/>
            <w:vAlign w:val="center"/>
            <w:tcMar>
              <w:top w:w="100" w:type="dxa"/>
              <w:bottom w:w="100" w:type="dxa"/>
              <w:left w:w="120" w:type="dxa"/>
              <w:right w:w="120" w:type="dxa"/>
            </w:tcMar>
            <w:shd w:fill="F8FAFC"/>
          </w:tcPr>
          <w:p>
            <w:r>
              <w:rPr>
                <w:color w:val="1E293B"/>
                <w:sz w:val="17"/>
              </w:rPr>
              <w:t>GET</w:t>
            </w:r>
          </w:p>
        </w:tc>
        <w:tc>
          <w:tcPr>
            <w:tcW w:type="dxa" w:w="2448"/>
            <w:vAlign w:val="center"/>
            <w:tcMar>
              <w:top w:w="100" w:type="dxa"/>
              <w:bottom w:w="100" w:type="dxa"/>
              <w:left w:w="120" w:type="dxa"/>
              <w:right w:w="120" w:type="dxa"/>
            </w:tcMar>
            <w:shd w:fill="F8FAFC"/>
          </w:tcPr>
          <w:p>
            <w:r>
              <w:rPr>
                <w:color w:val="1E293B"/>
                <w:sz w:val="17"/>
              </w:rPr>
              <w:t>/api/spatial/kde-grid</w:t>
            </w:r>
          </w:p>
        </w:tc>
        <w:tc>
          <w:tcPr>
            <w:tcW w:type="dxa" w:w="2448"/>
            <w:vAlign w:val="center"/>
            <w:tcMar>
              <w:top w:w="100" w:type="dxa"/>
              <w:bottom w:w="100" w:type="dxa"/>
              <w:left w:w="120" w:type="dxa"/>
              <w:right w:w="120" w:type="dxa"/>
            </w:tcMar>
            <w:shd w:fill="F8FAFC"/>
          </w:tcPr>
          <w:p>
            <w:r>
              <w:rPr>
                <w:color w:val="1E293B"/>
                <w:sz w:val="17"/>
              </w:rPr>
              <w:t>region_id, resolution</w:t>
            </w:r>
          </w:p>
        </w:tc>
        <w:tc>
          <w:tcPr>
            <w:tcW w:type="dxa" w:w="2448"/>
            <w:vAlign w:val="center"/>
            <w:tcMar>
              <w:top w:w="100" w:type="dxa"/>
              <w:bottom w:w="100" w:type="dxa"/>
              <w:left w:w="120" w:type="dxa"/>
              <w:right w:w="120" w:type="dxa"/>
            </w:tcMar>
            <w:shd w:fill="F8FAFC"/>
          </w:tcPr>
          <w:p>
            <w:r>
              <w:rPr>
                <w:color w:val="1E293B"/>
                <w:sz w:val="17"/>
              </w:rPr>
              <w:t>Generates continuous 2D Gaussian KDE risk intensity grid</w:t>
            </w:r>
          </w:p>
        </w:tc>
      </w:tr>
      <w:tr>
        <w:tc>
          <w:tcPr>
            <w:tcW w:type="dxa" w:w="2448"/>
            <w:vAlign w:val="center"/>
            <w:tcMar>
              <w:top w:w="100" w:type="dxa"/>
              <w:bottom w:w="100" w:type="dxa"/>
              <w:left w:w="120" w:type="dxa"/>
              <w:right w:w="120" w:type="dxa"/>
            </w:tcMar>
            <w:shd w:fill="FFFFFF"/>
          </w:tcPr>
          <w:p>
            <w:r>
              <w:rPr>
                <w:color w:val="1E293B"/>
                <w:sz w:val="17"/>
              </w:rPr>
              <w:t>GET</w:t>
            </w:r>
          </w:p>
        </w:tc>
        <w:tc>
          <w:tcPr>
            <w:tcW w:type="dxa" w:w="2448"/>
            <w:vAlign w:val="center"/>
            <w:tcMar>
              <w:top w:w="100" w:type="dxa"/>
              <w:bottom w:w="100" w:type="dxa"/>
              <w:left w:w="120" w:type="dxa"/>
              <w:right w:w="120" w:type="dxa"/>
            </w:tcMar>
            <w:shd w:fill="FFFFFF"/>
          </w:tcPr>
          <w:p>
            <w:r>
              <w:rPr>
                <w:color w:val="1E293B"/>
                <w:sz w:val="17"/>
              </w:rPr>
              <w:t>/api/spatial/river-geometry</w:t>
            </w:r>
          </w:p>
        </w:tc>
        <w:tc>
          <w:tcPr>
            <w:tcW w:type="dxa" w:w="2448"/>
            <w:vAlign w:val="center"/>
            <w:tcMar>
              <w:top w:w="100" w:type="dxa"/>
              <w:bottom w:w="100" w:type="dxa"/>
              <w:left w:w="120" w:type="dxa"/>
              <w:right w:w="120" w:type="dxa"/>
            </w:tcMar>
            <w:shd w:fill="FFFFFF"/>
          </w:tcPr>
          <w:p>
            <w:r>
              <w:rPr>
                <w:color w:val="1E293B"/>
                <w:sz w:val="17"/>
              </w:rPr>
              <w:t>region_id</w:t>
            </w:r>
          </w:p>
        </w:tc>
        <w:tc>
          <w:tcPr>
            <w:tcW w:type="dxa" w:w="2448"/>
            <w:vAlign w:val="center"/>
            <w:tcMar>
              <w:top w:w="100" w:type="dxa"/>
              <w:bottom w:w="100" w:type="dxa"/>
              <w:left w:w="120" w:type="dxa"/>
              <w:right w:w="120" w:type="dxa"/>
            </w:tcMar>
            <w:shd w:fill="FFFFFF"/>
          </w:tcPr>
          <w:p>
            <w:r>
              <w:rPr>
                <w:color w:val="1E293B"/>
                <w:sz w:val="17"/>
              </w:rPr>
              <w:t>Returns GeoJSON coordinate lineage for primary river channel</w:t>
            </w:r>
          </w:p>
        </w:tc>
      </w:tr>
      <w:tr>
        <w:tc>
          <w:tcPr>
            <w:tcW w:type="dxa" w:w="2448"/>
            <w:vAlign w:val="center"/>
            <w:tcMar>
              <w:top w:w="100" w:type="dxa"/>
              <w:bottom w:w="100" w:type="dxa"/>
              <w:left w:w="120" w:type="dxa"/>
              <w:right w:w="120" w:type="dxa"/>
            </w:tcMar>
            <w:shd w:fill="F8FAFC"/>
          </w:tcPr>
          <w:p>
            <w:r>
              <w:rPr>
                <w:color w:val="1E293B"/>
                <w:sz w:val="17"/>
              </w:rPr>
              <w:t>GET</w:t>
            </w:r>
          </w:p>
        </w:tc>
        <w:tc>
          <w:tcPr>
            <w:tcW w:type="dxa" w:w="2448"/>
            <w:vAlign w:val="center"/>
            <w:tcMar>
              <w:top w:w="100" w:type="dxa"/>
              <w:bottom w:w="100" w:type="dxa"/>
              <w:left w:w="120" w:type="dxa"/>
              <w:right w:w="120" w:type="dxa"/>
            </w:tcMar>
            <w:shd w:fill="F8FAFC"/>
          </w:tcPr>
          <w:p>
            <w:r>
              <w:rPr>
                <w:color w:val="1E293B"/>
                <w:sz w:val="17"/>
              </w:rPr>
              <w:t>/api/routing/road-network</w:t>
            </w:r>
          </w:p>
        </w:tc>
        <w:tc>
          <w:tcPr>
            <w:tcW w:type="dxa" w:w="2448"/>
            <w:vAlign w:val="center"/>
            <w:tcMar>
              <w:top w:w="100" w:type="dxa"/>
              <w:bottom w:w="100" w:type="dxa"/>
              <w:left w:w="120" w:type="dxa"/>
              <w:right w:w="120" w:type="dxa"/>
            </w:tcMar>
            <w:shd w:fill="F8FAFC"/>
          </w:tcPr>
          <w:p>
            <w:r>
              <w:rPr>
                <w:color w:val="1E293B"/>
                <w:sz w:val="17"/>
              </w:rPr>
              <w:t>region_id</w:t>
            </w:r>
          </w:p>
        </w:tc>
        <w:tc>
          <w:tcPr>
            <w:tcW w:type="dxa" w:w="2448"/>
            <w:vAlign w:val="center"/>
            <w:tcMar>
              <w:top w:w="100" w:type="dxa"/>
              <w:bottom w:w="100" w:type="dxa"/>
              <w:left w:w="120" w:type="dxa"/>
              <w:right w:w="120" w:type="dxa"/>
            </w:tcMar>
            <w:shd w:fill="F8FAFC"/>
          </w:tcPr>
          <w:p>
            <w:r>
              <w:rPr>
                <w:color w:val="1E293B"/>
                <w:sz w:val="17"/>
              </w:rPr>
              <w:t>Retrieves complete NetworkX topological vertices and edges</w:t>
            </w:r>
          </w:p>
        </w:tc>
      </w:tr>
      <w:tr>
        <w:tc>
          <w:tcPr>
            <w:tcW w:type="dxa" w:w="2448"/>
            <w:vAlign w:val="center"/>
            <w:tcMar>
              <w:top w:w="100" w:type="dxa"/>
              <w:bottom w:w="100" w:type="dxa"/>
              <w:left w:w="120" w:type="dxa"/>
              <w:right w:w="120" w:type="dxa"/>
            </w:tcMar>
            <w:shd w:fill="FFFFFF"/>
          </w:tcPr>
          <w:p>
            <w:r>
              <w:rPr>
                <w:color w:val="1E293B"/>
                <w:sz w:val="17"/>
              </w:rPr>
              <w:t>POST</w:t>
            </w:r>
          </w:p>
        </w:tc>
        <w:tc>
          <w:tcPr>
            <w:tcW w:type="dxa" w:w="2448"/>
            <w:vAlign w:val="center"/>
            <w:tcMar>
              <w:top w:w="100" w:type="dxa"/>
              <w:bottom w:w="100" w:type="dxa"/>
              <w:left w:w="120" w:type="dxa"/>
              <w:right w:w="120" w:type="dxa"/>
            </w:tcMar>
            <w:shd w:fill="FFFFFF"/>
          </w:tcPr>
          <w:p>
            <w:r>
              <w:rPr>
                <w:color w:val="1E293B"/>
                <w:sz w:val="17"/>
              </w:rPr>
              <w:t>/api/routing/evacuate</w:t>
            </w:r>
          </w:p>
        </w:tc>
        <w:tc>
          <w:tcPr>
            <w:tcW w:type="dxa" w:w="2448"/>
            <w:vAlign w:val="center"/>
            <w:tcMar>
              <w:top w:w="100" w:type="dxa"/>
              <w:bottom w:w="100" w:type="dxa"/>
              <w:left w:w="120" w:type="dxa"/>
              <w:right w:w="120" w:type="dxa"/>
            </w:tcMar>
            <w:shd w:fill="FFFFFF"/>
          </w:tcPr>
          <w:p>
            <w:r>
              <w:rPr>
                <w:color w:val="1E293B"/>
                <w:sz w:val="17"/>
              </w:rPr>
              <w:t>region_id, start_lat, start_lng, shelter_id</w:t>
            </w:r>
          </w:p>
        </w:tc>
        <w:tc>
          <w:tcPr>
            <w:tcW w:type="dxa" w:w="2448"/>
            <w:vAlign w:val="center"/>
            <w:tcMar>
              <w:top w:w="100" w:type="dxa"/>
              <w:bottom w:w="100" w:type="dxa"/>
              <w:left w:w="120" w:type="dxa"/>
              <w:right w:w="120" w:type="dxa"/>
            </w:tcMar>
            <w:shd w:fill="FFFFFF"/>
          </w:tcPr>
          <w:p>
            <w:r>
              <w:rPr>
                <w:color w:val="1E293B"/>
                <w:sz w:val="17"/>
              </w:rPr>
              <w:t>Computes Dijkstra vs RescuePath A* evacuation corridors</w:t>
            </w:r>
          </w:p>
        </w:tc>
      </w:tr>
    </w:tbl>
    <w:p>
      <w:pPr>
        <w:spacing w:after="160"/>
      </w:pPr>
    </w:p>
    <w:p>
      <w:pPr>
        <w:pStyle w:val="Heading1"/>
        <w:spacing w:before="280" w:after="100"/>
      </w:pPr>
      <w:r>
        <w:rPr>
          <w:b/>
          <w:color w:val="1E3A8A"/>
          <w:sz w:val="32"/>
        </w:rPr>
        <w:t>7. Conclusion, Limitations &amp; Future Research Directions</w:t>
      </w:r>
    </w:p>
    <w:p>
      <w:r>
        <w:t>RescuePath AI successfully demonstrates the decisive life-safety advantage of coupling Sequential Data Mining and Spatial Data Mining in extreme hydrological disasters. By forecasting multi-step crest heights (+24h, +48h, +72h) and actively incorporating geographic hazard clusters and spatial autocorrelation into dynamic road impedance calculations, the platform achieves an 84.7% reduction in flood risk exposure compared to conventional GPS shortest-path algorithms.</w:t>
      </w:r>
    </w:p>
    <w:p>
      <w:r>
        <w:t>Limitations &amp; Future Work:</w:t>
        <w:br/>
        <w:t>1. Real-Time IoT Telemetry Stream Ingestion: While the current platform ingests pre-calibrated time-series sequences, future iterations will integrate Apache Kafka / MQTT pipelines for real-time telemetry from CWC river gauges and citizen mobile apps.</w:t>
        <w:br/>
        <w:t>2. Multi-Agent Evacuation Concurrency: Future extensions will incorporate macroscopic traffic flow simulation (e.g., cell transmission models) to prevent secondary traffic bottlenecks on safe bypass ridges.</w:t>
        <w:br/>
        <w:t>3. Offline PWA Synchronization: Integrating Service Workers and IndexedDB will allow evacuee smartphones to retain cached road network topologies and safe routes even during cellular base station blackouts.</w:t>
      </w:r>
    </w:p>
    <w:p>
      <w:pPr>
        <w:pStyle w:val="Heading1"/>
        <w:spacing w:before="280" w:after="100"/>
      </w:pPr>
      <w:r>
        <w:rPr>
          <w:b/>
          <w:color w:val="1E3A8A"/>
          <w:sz w:val="32"/>
        </w:rPr>
        <w:t>8. Academic References</w:t>
      </w:r>
    </w:p>
    <w:p>
      <w:r>
        <w:t>[1] National Disaster Management Authority (NDMA), Government of India, 'National Disaster Management Guidelines: Management of Floods,' New Delhi, 2023.</w:t>
        <w:br/>
        <w:t>[2] Central Water Commission (CWC), 'Standard Operating Procedures for Flood Forecasting and Dam Gate Operations in Southern Basins,' Ministry of Jal Shakti, 2024.</w:t>
        <w:br/>
        <w:t>[3] M. Ester, H.-P. Kriegel, J. Sander, and X. Xu, 'A density-based algorithm for discovering clusters in large spatial databases with noise,' in Proc. 2nd Int. Conf. Knowledge Discovery and Data Mining (KDD), 1996, pp. 226–231.</w:t>
        <w:br/>
        <w:t>[4] P. A. Moran, 'Notes on continuous stochastic phenomena,' Biometrika, vol. 37, no. 1/2, pp. 17–23, 1950.</w:t>
        <w:br/>
        <w:t>[5] P. E. Hart, N. J. Nilsson, and B. Raphael, 'A formal basis for the heuristic determination of minimum cost paths,' IEEE Trans. Syst. Sci. Cybern., vol. 4, no. 2, pp. 100–107, 1968.</w:t>
        <w:br/>
        <w:t>[6] A. D. Birrell et al., 'ST-DBSCAN: An algorithm for clustering spatial-temporal data,' Data Knowl. Eng., vol. 60, no. 1, pp. 208–223, 2007.</w:t>
        <w:br/>
        <w:t>[7] Kerala State Disaster Management Authority (KSDMA), 'Post-Disaster Needs Assessment (PDNA): Kerala Floods 2018,' Government of Kerala, Thiruvananthapuram, 2018.</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