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Times New Roman" w:hAnsi="Times New Roman"/>
          <w:b/>
          <w:color w:val="0F172A"/>
          <w:sz w:val="32"/>
        </w:rPr>
        <w:t>BHU-OVERLAY: AN AI-AUGMENTED CADASTRAL GIS PLATFORM WITH DETERMINISTIC SPATIAL GEOMETRY AND STATUTORY LAND PARTITIONING</w:t>
      </w:r>
    </w:p>
    <w:p>
      <w:pPr>
        <w:spacing w:before="160" w:after="240"/>
        <w:jc w:val="center"/>
      </w:pPr>
      <w:r>
        <w:rPr>
          <w:rFonts w:ascii="Times New Roman" w:hAnsi="Times New Roman"/>
          <w:b/>
          <w:sz w:val="28"/>
        </w:rPr>
        <w:t>A PROJECT REPORT</w:t>
      </w:r>
    </w:p>
    <w:p>
      <w:pPr>
        <w:spacing w:before="120" w:after="120"/>
        <w:jc w:val="center"/>
      </w:pPr>
      <w:r>
        <w:rPr>
          <w:rFonts w:ascii="Times New Roman" w:hAnsi="Times New Roman"/>
          <w:i/>
          <w:sz w:val="26"/>
        </w:rPr>
        <w:t>Submitted by</w:t>
      </w:r>
    </w:p>
    <w:p>
      <w:pPr>
        <w:spacing w:before="80" w:after="280"/>
        <w:jc w:val="center"/>
      </w:pPr>
      <w:r>
        <w:rPr>
          <w:rFonts w:ascii="Times New Roman" w:hAnsi="Times New Roman"/>
          <w:b/>
          <w:sz w:val="28"/>
        </w:rPr>
        <w:t>KARTHIKEYAN A  (Reg. No. 23BCE1023)</w:t>
        <w:br/>
      </w:r>
      <w:r>
        <w:rPr>
          <w:rFonts w:ascii="Times New Roman" w:hAnsi="Times New Roman"/>
          <w:b/>
          <w:sz w:val="28"/>
        </w:rPr>
        <w:t>VISHAL B  (Reg. No. 23BCE1024)</w:t>
      </w:r>
    </w:p>
    <w:p>
      <w:pPr>
        <w:spacing w:before="120" w:after="120"/>
        <w:jc w:val="center"/>
      </w:pPr>
      <w:r>
        <w:rPr>
          <w:rFonts w:ascii="Times New Roman" w:hAnsi="Times New Roman"/>
          <w:i/>
          <w:sz w:val="24"/>
        </w:rPr>
        <w:t>Under the Guidance of</w:t>
        <w:br/>
      </w:r>
      <w:r>
        <w:rPr>
          <w:rFonts w:ascii="Times New Roman" w:hAnsi="Times New Roman"/>
          <w:b/>
          <w:sz w:val="26"/>
        </w:rPr>
        <w:t>FACULTY PROJECT GUIDE</w:t>
        <w:br/>
        <w:t>School of Computer Science and Engineering</w:t>
      </w:r>
    </w:p>
    <w:p>
      <w:pPr>
        <w:spacing w:before="360" w:after="80"/>
        <w:jc w:val="center"/>
      </w:pPr>
      <w:r>
        <w:rPr>
          <w:rFonts w:ascii="Times New Roman" w:hAnsi="Times New Roman"/>
          <w:i/>
          <w:sz w:val="24"/>
        </w:rPr>
        <w:t>in partial fulfillment for the award of the degree of</w:t>
        <w:br/>
      </w:r>
      <w:r>
        <w:rPr>
          <w:rFonts w:ascii="Times New Roman" w:hAnsi="Times New Roman"/>
          <w:b/>
          <w:sz w:val="28"/>
        </w:rPr>
        <w:t>BACHELOR OF TECHNOLOGY</w:t>
        <w:br/>
        <w:t>IN</w:t>
        <w:br/>
        <w:t>COMPUTER SCIENCE AND ENGINEERING</w:t>
      </w:r>
    </w:p>
    <w:p>
      <w:pPr>
        <w:spacing w:before="480" w:after="40"/>
        <w:jc w:val="center"/>
      </w:pPr>
      <w:r>
        <w:rPr>
          <w:rFonts w:ascii="Times New Roman" w:hAnsi="Times New Roman"/>
          <w:b/>
          <w:sz w:val="26"/>
        </w:rPr>
        <w:t>SCHOOL OF COMPUTER SCIENCE AND ENGINEERING</w:t>
        <w:br/>
        <w:t>VELLORE INSTITUTE OF TECHNOLOGY</w:t>
        <w:br/>
        <w:t>CHENNAI, TAMIL NADU, INDIA</w:t>
        <w:br/>
      </w:r>
      <w:r>
        <w:rPr>
          <w:rFonts w:ascii="Times New Roman" w:hAnsi="Times New Roman"/>
          <w:b/>
          <w:color w:val="1E3A8A"/>
          <w:sz w:val="24"/>
        </w:rPr>
        <w:t>FALL Semester 2026-27</w:t>
        <w:br/>
        <w:t>REVIEW III REPORT SUBMISSION</w:t>
      </w:r>
    </w:p>
    <w:p>
      <w:r>
        <w:br w:type="page"/>
      </w:r>
    </w:p>
    <w:p>
      <w:pPr>
        <w:keepNext/>
        <w:spacing w:before="360" w:after="240"/>
        <w:jc w:val="center"/>
      </w:pPr>
      <w:r>
        <w:rPr>
          <w:rFonts w:ascii="Times New Roman" w:hAnsi="Times New Roman"/>
          <w:b/>
          <w:color w:val="0F172A"/>
          <w:sz w:val="32"/>
        </w:rPr>
        <w:t>TABLE OF CONTENTS</w:t>
      </w:r>
    </w:p>
    <w:tbl>
      <w:tblPr>
        <w:tblW w:type="auto" w:w="0"/>
        <w:jc w:val="center"/>
        <w:tblLayout w:type="fixed"/>
        <w:tblLook w:firstColumn="1" w:firstRow="1" w:lastColumn="0" w:lastRow="0" w:noHBand="0" w:noVBand="1" w:val="04A0"/>
      </w:tblPr>
      <w:tblGrid>
        <w:gridCol w:w="2741"/>
        <w:gridCol w:w="2741"/>
        <w:gridCol w:w="2741"/>
      </w:tblGrid>
      <w:tr>
        <w:tc>
          <w:tcPr>
            <w:tcW w:type="dxa" w:w="1728"/>
            <w:shd w:fill="1F4E79"/>
            <w:tcMar>
              <w:top w:w="80" w:type="dxa"/>
              <w:bottom w:w="80" w:type="dxa"/>
              <w:left w:w="100" w:type="dxa"/>
              <w:right w:w="100" w:type="dxa"/>
            </w:tcMar>
          </w:tcPr>
          <w:p>
            <w:pPr>
              <w:jc w:val="center"/>
            </w:pPr>
            <w:r>
              <w:rPr>
                <w:rFonts w:ascii="Times New Roman" w:hAnsi="Times New Roman"/>
                <w:b/>
                <w:color w:val="FFFFFF"/>
                <w:sz w:val="22"/>
              </w:rPr>
              <w:t>CHAPTER</w:t>
            </w:r>
          </w:p>
        </w:tc>
        <w:tc>
          <w:tcPr>
            <w:tcW w:type="dxa" w:w="6048"/>
            <w:shd w:fill="1F4E79"/>
            <w:tcMar>
              <w:top w:w="80" w:type="dxa"/>
              <w:bottom w:w="80" w:type="dxa"/>
              <w:left w:w="100" w:type="dxa"/>
              <w:right w:w="100" w:type="dxa"/>
            </w:tcMar>
          </w:tcPr>
          <w:p>
            <w:pPr>
              <w:jc w:val="center"/>
            </w:pPr>
            <w:r>
              <w:rPr>
                <w:rFonts w:ascii="Times New Roman" w:hAnsi="Times New Roman"/>
                <w:b/>
                <w:color w:val="FFFFFF"/>
                <w:sz w:val="22"/>
              </w:rPr>
              <w:t>TITLE</w:t>
            </w:r>
          </w:p>
        </w:tc>
        <w:tc>
          <w:tcPr>
            <w:tcW w:type="dxa" w:w="1152"/>
            <w:shd w:fill="1F4E79"/>
            <w:tcMar>
              <w:top w:w="80" w:type="dxa"/>
              <w:bottom w:w="80" w:type="dxa"/>
              <w:left w:w="100" w:type="dxa"/>
              <w:right w:w="100" w:type="dxa"/>
            </w:tcMar>
          </w:tcPr>
          <w:p>
            <w:pPr>
              <w:jc w:val="center"/>
            </w:pPr>
            <w:r>
              <w:rPr>
                <w:rFonts w:ascii="Times New Roman" w:hAnsi="Times New Roman"/>
                <w:b/>
                <w:color w:val="FFFFFF"/>
                <w:sz w:val="22"/>
              </w:rPr>
              <w:t>PAGE</w:t>
            </w:r>
          </w:p>
        </w:tc>
      </w:tr>
      <w:tr>
        <w:tc>
          <w:tcPr>
            <w:tcW w:type="dxa" w:w="1728"/>
            <w:tcMar>
              <w:top w:w="40" w:type="dxa"/>
              <w:bottom w:w="40" w:type="dxa"/>
              <w:left w:w="80" w:type="dxa"/>
              <w:right w:w="80" w:type="dxa"/>
            </w:tcMar>
          </w:tcPr>
          <w:p>
            <w:r>
              <w:rPr>
                <w:rFonts w:ascii="Times New Roman" w:hAnsi="Times New Roman"/>
                <w:b/>
                <w:sz w:val="21"/>
              </w:rPr>
            </w:r>
          </w:p>
        </w:tc>
        <w:tc>
          <w:tcPr>
            <w:tcW w:type="dxa" w:w="6048"/>
            <w:tcMar>
              <w:top w:w="40" w:type="dxa"/>
              <w:bottom w:w="40" w:type="dxa"/>
              <w:left w:w="80" w:type="dxa"/>
              <w:right w:w="80" w:type="dxa"/>
            </w:tcMar>
          </w:tcPr>
          <w:p>
            <w:r>
              <w:rPr>
                <w:rFonts w:ascii="Times New Roman" w:hAnsi="Times New Roman"/>
                <w:b/>
                <w:sz w:val="21"/>
              </w:rPr>
              <w:t>ABSTRACT</w:t>
            </w:r>
          </w:p>
        </w:tc>
        <w:tc>
          <w:tcPr>
            <w:tcW w:type="dxa" w:w="1152"/>
            <w:tcMar>
              <w:top w:w="40" w:type="dxa"/>
              <w:bottom w:w="40" w:type="dxa"/>
              <w:left w:w="80" w:type="dxa"/>
              <w:right w:w="80" w:type="dxa"/>
            </w:tcMar>
          </w:tcPr>
          <w:p>
            <w:r>
              <w:rPr>
                <w:rFonts w:ascii="Times New Roman" w:hAnsi="Times New Roman"/>
                <w:b/>
                <w:sz w:val="21"/>
              </w:rPr>
              <w:t>iii</w:t>
            </w:r>
          </w:p>
        </w:tc>
      </w:tr>
      <w:tr>
        <w:tc>
          <w:tcPr>
            <w:tcW w:type="dxa" w:w="1728"/>
            <w:tcMar>
              <w:top w:w="40" w:type="dxa"/>
              <w:bottom w:w="40" w:type="dxa"/>
              <w:left w:w="80" w:type="dxa"/>
              <w:right w:w="80" w:type="dxa"/>
            </w:tcMar>
            <w:shd w:fill="F2F5F8"/>
          </w:tcPr>
          <w:p>
            <w:r>
              <w:rPr>
                <w:rFonts w:ascii="Times New Roman" w:hAnsi="Times New Roman"/>
                <w:b/>
                <w:sz w:val="21"/>
              </w:rPr>
            </w:r>
          </w:p>
        </w:tc>
        <w:tc>
          <w:tcPr>
            <w:tcW w:type="dxa" w:w="6048"/>
            <w:tcMar>
              <w:top w:w="40" w:type="dxa"/>
              <w:bottom w:w="40" w:type="dxa"/>
              <w:left w:w="80" w:type="dxa"/>
              <w:right w:w="80" w:type="dxa"/>
            </w:tcMar>
            <w:shd w:fill="F2F5F8"/>
          </w:tcPr>
          <w:p>
            <w:r>
              <w:rPr>
                <w:rFonts w:ascii="Times New Roman" w:hAnsi="Times New Roman"/>
                <w:b/>
                <w:sz w:val="21"/>
              </w:rPr>
              <w:t>LIST OF TABLES</w:t>
            </w:r>
          </w:p>
        </w:tc>
        <w:tc>
          <w:tcPr>
            <w:tcW w:type="dxa" w:w="1152"/>
            <w:tcMar>
              <w:top w:w="40" w:type="dxa"/>
              <w:bottom w:w="40" w:type="dxa"/>
              <w:left w:w="80" w:type="dxa"/>
              <w:right w:w="80" w:type="dxa"/>
            </w:tcMar>
            <w:shd w:fill="F2F5F8"/>
          </w:tcPr>
          <w:p>
            <w:r>
              <w:rPr>
                <w:rFonts w:ascii="Times New Roman" w:hAnsi="Times New Roman"/>
                <w:b/>
                <w:sz w:val="21"/>
              </w:rPr>
              <w:t>iv</w:t>
            </w:r>
          </w:p>
        </w:tc>
      </w:tr>
      <w:tr>
        <w:tc>
          <w:tcPr>
            <w:tcW w:type="dxa" w:w="1728"/>
            <w:tcMar>
              <w:top w:w="40" w:type="dxa"/>
              <w:bottom w:w="40" w:type="dxa"/>
              <w:left w:w="80" w:type="dxa"/>
              <w:right w:w="80" w:type="dxa"/>
            </w:tcMar>
          </w:tcPr>
          <w:p>
            <w:r>
              <w:rPr>
                <w:rFonts w:ascii="Times New Roman" w:hAnsi="Times New Roman"/>
                <w:b/>
                <w:sz w:val="21"/>
              </w:rPr>
            </w:r>
          </w:p>
        </w:tc>
        <w:tc>
          <w:tcPr>
            <w:tcW w:type="dxa" w:w="6048"/>
            <w:tcMar>
              <w:top w:w="40" w:type="dxa"/>
              <w:bottom w:w="40" w:type="dxa"/>
              <w:left w:w="80" w:type="dxa"/>
              <w:right w:w="80" w:type="dxa"/>
            </w:tcMar>
          </w:tcPr>
          <w:p>
            <w:r>
              <w:rPr>
                <w:rFonts w:ascii="Times New Roman" w:hAnsi="Times New Roman"/>
                <w:b/>
                <w:sz w:val="21"/>
              </w:rPr>
              <w:t>LIST OF FIGURES</w:t>
            </w:r>
          </w:p>
        </w:tc>
        <w:tc>
          <w:tcPr>
            <w:tcW w:type="dxa" w:w="1152"/>
            <w:tcMar>
              <w:top w:w="40" w:type="dxa"/>
              <w:bottom w:w="40" w:type="dxa"/>
              <w:left w:w="80" w:type="dxa"/>
              <w:right w:w="80" w:type="dxa"/>
            </w:tcMar>
          </w:tcPr>
          <w:p>
            <w:r>
              <w:rPr>
                <w:rFonts w:ascii="Times New Roman" w:hAnsi="Times New Roman"/>
                <w:b/>
                <w:sz w:val="21"/>
              </w:rPr>
              <w:t>v</w:t>
            </w:r>
          </w:p>
        </w:tc>
      </w:tr>
      <w:tr>
        <w:tc>
          <w:tcPr>
            <w:tcW w:type="dxa" w:w="1728"/>
            <w:tcMar>
              <w:top w:w="40" w:type="dxa"/>
              <w:bottom w:w="40" w:type="dxa"/>
              <w:left w:w="80" w:type="dxa"/>
              <w:right w:w="80" w:type="dxa"/>
            </w:tcMar>
            <w:shd w:fill="F2F5F8"/>
          </w:tcPr>
          <w:p>
            <w:r>
              <w:rPr>
                <w:rFonts w:ascii="Times New Roman" w:hAnsi="Times New Roman"/>
                <w:b/>
                <w:sz w:val="21"/>
              </w:rPr>
              <w:t>1</w:t>
            </w:r>
          </w:p>
        </w:tc>
        <w:tc>
          <w:tcPr>
            <w:tcW w:type="dxa" w:w="6048"/>
            <w:tcMar>
              <w:top w:w="40" w:type="dxa"/>
              <w:bottom w:w="40" w:type="dxa"/>
              <w:left w:w="80" w:type="dxa"/>
              <w:right w:w="80" w:type="dxa"/>
            </w:tcMar>
            <w:shd w:fill="F2F5F8"/>
          </w:tcPr>
          <w:p>
            <w:r>
              <w:rPr>
                <w:rFonts w:ascii="Times New Roman" w:hAnsi="Times New Roman"/>
                <w:b/>
                <w:sz w:val="21"/>
              </w:rPr>
              <w:t>INTRODUCTION</w:t>
            </w:r>
          </w:p>
        </w:tc>
        <w:tc>
          <w:tcPr>
            <w:tcW w:type="dxa" w:w="1152"/>
            <w:tcMar>
              <w:top w:w="40" w:type="dxa"/>
              <w:bottom w:w="40" w:type="dxa"/>
              <w:left w:w="80" w:type="dxa"/>
              <w:right w:w="80" w:type="dxa"/>
            </w:tcMar>
            <w:shd w:fill="F2F5F8"/>
          </w:tcPr>
          <w:p>
            <w:r>
              <w:rPr>
                <w:rFonts w:ascii="Times New Roman" w:hAnsi="Times New Roman"/>
                <w:b/>
                <w:sz w:val="21"/>
              </w:rPr>
              <w:t>1</w:t>
            </w:r>
          </w:p>
        </w:tc>
      </w:tr>
      <w:tr>
        <w:tc>
          <w:tcPr>
            <w:tcW w:type="dxa" w:w="1728"/>
            <w:tcMar>
              <w:top w:w="40" w:type="dxa"/>
              <w:bottom w:w="40" w:type="dxa"/>
              <w:left w:w="80" w:type="dxa"/>
              <w:right w:w="80" w:type="dxa"/>
            </w:tcMar>
          </w:tcPr>
          <w:p>
            <w:r>
              <w:rPr>
                <w:rFonts w:ascii="Times New Roman" w:hAnsi="Times New Roman"/>
                <w:sz w:val="20"/>
              </w:rPr>
            </w:r>
          </w:p>
        </w:tc>
        <w:tc>
          <w:tcPr>
            <w:tcW w:type="dxa" w:w="6048"/>
            <w:tcMar>
              <w:top w:w="40" w:type="dxa"/>
              <w:bottom w:w="40" w:type="dxa"/>
              <w:left w:w="80" w:type="dxa"/>
              <w:right w:w="80" w:type="dxa"/>
            </w:tcMar>
          </w:tcPr>
          <w:p>
            <w:r>
              <w:rPr>
                <w:rFonts w:ascii="Times New Roman" w:hAnsi="Times New Roman"/>
                <w:sz w:val="20"/>
              </w:rPr>
              <w:t>1.1 Problem Definition &amp; Context of Agricultural Fragmentation</w:t>
            </w:r>
          </w:p>
        </w:tc>
        <w:tc>
          <w:tcPr>
            <w:tcW w:type="dxa" w:w="1152"/>
            <w:tcMar>
              <w:top w:w="40" w:type="dxa"/>
              <w:bottom w:w="40" w:type="dxa"/>
              <w:left w:w="80" w:type="dxa"/>
              <w:right w:w="80" w:type="dxa"/>
            </w:tcMar>
          </w:tcPr>
          <w:p>
            <w:r>
              <w:rPr>
                <w:rFonts w:ascii="Times New Roman" w:hAnsi="Times New Roman"/>
                <w:sz w:val="20"/>
              </w:rPr>
              <w:t>1</w:t>
            </w:r>
          </w:p>
        </w:tc>
      </w:tr>
      <w:tr>
        <w:tc>
          <w:tcPr>
            <w:tcW w:type="dxa" w:w="1728"/>
            <w:tcMar>
              <w:top w:w="40" w:type="dxa"/>
              <w:bottom w:w="40" w:type="dxa"/>
              <w:left w:w="80" w:type="dxa"/>
              <w:right w:w="80" w:type="dxa"/>
            </w:tcMar>
            <w:shd w:fill="F2F5F8"/>
          </w:tcPr>
          <w:p>
            <w:r>
              <w:rPr>
                <w:rFonts w:ascii="Times New Roman" w:hAnsi="Times New Roman"/>
                <w:sz w:val="20"/>
              </w:rPr>
            </w:r>
          </w:p>
        </w:tc>
        <w:tc>
          <w:tcPr>
            <w:tcW w:type="dxa" w:w="6048"/>
            <w:tcMar>
              <w:top w:w="40" w:type="dxa"/>
              <w:bottom w:w="40" w:type="dxa"/>
              <w:left w:w="80" w:type="dxa"/>
              <w:right w:w="80" w:type="dxa"/>
            </w:tcMar>
            <w:shd w:fill="F2F5F8"/>
          </w:tcPr>
          <w:p>
            <w:r>
              <w:rPr>
                <w:rFonts w:ascii="Times New Roman" w:hAnsi="Times New Roman"/>
                <w:sz w:val="20"/>
              </w:rPr>
              <w:t>1.2 Societal &amp; Economic Impact of Inheritance Land Disputes</w:t>
            </w:r>
          </w:p>
        </w:tc>
        <w:tc>
          <w:tcPr>
            <w:tcW w:type="dxa" w:w="1152"/>
            <w:tcMar>
              <w:top w:w="40" w:type="dxa"/>
              <w:bottom w:w="40" w:type="dxa"/>
              <w:left w:w="80" w:type="dxa"/>
              <w:right w:w="80" w:type="dxa"/>
            </w:tcMar>
            <w:shd w:fill="F2F5F8"/>
          </w:tcPr>
          <w:p>
            <w:r>
              <w:rPr>
                <w:rFonts w:ascii="Times New Roman" w:hAnsi="Times New Roman"/>
                <w:sz w:val="20"/>
              </w:rPr>
              <w:t>2</w:t>
            </w:r>
          </w:p>
        </w:tc>
      </w:tr>
      <w:tr>
        <w:tc>
          <w:tcPr>
            <w:tcW w:type="dxa" w:w="1728"/>
            <w:tcMar>
              <w:top w:w="40" w:type="dxa"/>
              <w:bottom w:w="40" w:type="dxa"/>
              <w:left w:w="80" w:type="dxa"/>
              <w:right w:w="80" w:type="dxa"/>
            </w:tcMar>
          </w:tcPr>
          <w:p>
            <w:r>
              <w:rPr>
                <w:rFonts w:ascii="Times New Roman" w:hAnsi="Times New Roman"/>
                <w:sz w:val="20"/>
              </w:rPr>
            </w:r>
          </w:p>
        </w:tc>
        <w:tc>
          <w:tcPr>
            <w:tcW w:type="dxa" w:w="6048"/>
            <w:tcMar>
              <w:top w:w="40" w:type="dxa"/>
              <w:bottom w:w="40" w:type="dxa"/>
              <w:left w:w="80" w:type="dxa"/>
              <w:right w:w="80" w:type="dxa"/>
            </w:tcMar>
          </w:tcPr>
          <w:p>
            <w:r>
              <w:rPr>
                <w:rFonts w:ascii="Times New Roman" w:hAnsi="Times New Roman"/>
                <w:sz w:val="20"/>
              </w:rPr>
              <w:t>1.3 Urgency and Necessity of Automated Cadastral Solutions</w:t>
            </w:r>
          </w:p>
        </w:tc>
        <w:tc>
          <w:tcPr>
            <w:tcW w:type="dxa" w:w="1152"/>
            <w:tcMar>
              <w:top w:w="40" w:type="dxa"/>
              <w:bottom w:w="40" w:type="dxa"/>
              <w:left w:w="80" w:type="dxa"/>
              <w:right w:w="80" w:type="dxa"/>
            </w:tcMar>
          </w:tcPr>
          <w:p>
            <w:r>
              <w:rPr>
                <w:rFonts w:ascii="Times New Roman" w:hAnsi="Times New Roman"/>
                <w:sz w:val="20"/>
              </w:rPr>
              <w:t>3</w:t>
            </w:r>
          </w:p>
        </w:tc>
      </w:tr>
      <w:tr>
        <w:tc>
          <w:tcPr>
            <w:tcW w:type="dxa" w:w="1728"/>
            <w:tcMar>
              <w:top w:w="40" w:type="dxa"/>
              <w:bottom w:w="40" w:type="dxa"/>
              <w:left w:w="80" w:type="dxa"/>
              <w:right w:w="80" w:type="dxa"/>
            </w:tcMar>
            <w:shd w:fill="F2F5F8"/>
          </w:tcPr>
          <w:p>
            <w:r>
              <w:rPr>
                <w:rFonts w:ascii="Times New Roman" w:hAnsi="Times New Roman"/>
                <w:sz w:val="20"/>
              </w:rPr>
            </w:r>
          </w:p>
        </w:tc>
        <w:tc>
          <w:tcPr>
            <w:tcW w:type="dxa" w:w="6048"/>
            <w:tcMar>
              <w:top w:w="40" w:type="dxa"/>
              <w:bottom w:w="40" w:type="dxa"/>
              <w:left w:w="80" w:type="dxa"/>
              <w:right w:w="80" w:type="dxa"/>
            </w:tcMar>
            <w:shd w:fill="F2F5F8"/>
          </w:tcPr>
          <w:p>
            <w:r>
              <w:rPr>
                <w:rFonts w:ascii="Times New Roman" w:hAnsi="Times New Roman"/>
                <w:sz w:val="20"/>
              </w:rPr>
              <w:t>1.4 Detailed Problem Analysis of Manual Chain Surveys</w:t>
            </w:r>
          </w:p>
        </w:tc>
        <w:tc>
          <w:tcPr>
            <w:tcW w:type="dxa" w:w="1152"/>
            <w:tcMar>
              <w:top w:w="40" w:type="dxa"/>
              <w:bottom w:w="40" w:type="dxa"/>
              <w:left w:w="80" w:type="dxa"/>
              <w:right w:w="80" w:type="dxa"/>
            </w:tcMar>
            <w:shd w:fill="F2F5F8"/>
          </w:tcPr>
          <w:p>
            <w:r>
              <w:rPr>
                <w:rFonts w:ascii="Times New Roman" w:hAnsi="Times New Roman"/>
                <w:sz w:val="20"/>
              </w:rPr>
              <w:t>4</w:t>
            </w:r>
          </w:p>
        </w:tc>
      </w:tr>
      <w:tr>
        <w:tc>
          <w:tcPr>
            <w:tcW w:type="dxa" w:w="1728"/>
            <w:tcMar>
              <w:top w:w="40" w:type="dxa"/>
              <w:bottom w:w="40" w:type="dxa"/>
              <w:left w:w="80" w:type="dxa"/>
              <w:right w:w="80" w:type="dxa"/>
            </w:tcMar>
          </w:tcPr>
          <w:p>
            <w:r>
              <w:rPr>
                <w:rFonts w:ascii="Times New Roman" w:hAnsi="Times New Roman"/>
                <w:sz w:val="20"/>
              </w:rPr>
            </w:r>
          </w:p>
        </w:tc>
        <w:tc>
          <w:tcPr>
            <w:tcW w:type="dxa" w:w="6048"/>
            <w:tcMar>
              <w:top w:w="40" w:type="dxa"/>
              <w:bottom w:w="40" w:type="dxa"/>
              <w:left w:w="80" w:type="dxa"/>
              <w:right w:w="80" w:type="dxa"/>
            </w:tcMar>
          </w:tcPr>
          <w:p>
            <w:r>
              <w:rPr>
                <w:rFonts w:ascii="Times New Roman" w:hAnsi="Times New Roman"/>
                <w:sz w:val="20"/>
              </w:rPr>
              <w:t>1.5 Review of Existing Solutions and Operational Deficiencies</w:t>
            </w:r>
          </w:p>
        </w:tc>
        <w:tc>
          <w:tcPr>
            <w:tcW w:type="dxa" w:w="1152"/>
            <w:tcMar>
              <w:top w:w="40" w:type="dxa"/>
              <w:bottom w:w="40" w:type="dxa"/>
              <w:left w:w="80" w:type="dxa"/>
              <w:right w:w="80" w:type="dxa"/>
            </w:tcMar>
          </w:tcPr>
          <w:p>
            <w:r>
              <w:rPr>
                <w:rFonts w:ascii="Times New Roman" w:hAnsi="Times New Roman"/>
                <w:sz w:val="20"/>
              </w:rPr>
              <w:t>5</w:t>
            </w:r>
          </w:p>
        </w:tc>
      </w:tr>
      <w:tr>
        <w:tc>
          <w:tcPr>
            <w:tcW w:type="dxa" w:w="1728"/>
            <w:tcMar>
              <w:top w:w="40" w:type="dxa"/>
              <w:bottom w:w="40" w:type="dxa"/>
              <w:left w:w="80" w:type="dxa"/>
              <w:right w:w="80" w:type="dxa"/>
            </w:tcMar>
            <w:shd w:fill="F2F5F8"/>
          </w:tcPr>
          <w:p>
            <w:r>
              <w:rPr>
                <w:rFonts w:ascii="Times New Roman" w:hAnsi="Times New Roman"/>
                <w:sz w:val="20"/>
              </w:rPr>
            </w:r>
          </w:p>
        </w:tc>
        <w:tc>
          <w:tcPr>
            <w:tcW w:type="dxa" w:w="6048"/>
            <w:tcMar>
              <w:top w:w="40" w:type="dxa"/>
              <w:bottom w:w="40" w:type="dxa"/>
              <w:left w:w="80" w:type="dxa"/>
              <w:right w:w="80" w:type="dxa"/>
            </w:tcMar>
            <w:shd w:fill="F2F5F8"/>
          </w:tcPr>
          <w:p>
            <w:r>
              <w:rPr>
                <w:rFonts w:ascii="Times New Roman" w:hAnsi="Times New Roman"/>
                <w:sz w:val="20"/>
              </w:rPr>
              <w:t>1.6 Proposed Solution: Bhu-Overlay Architecture &amp; Capabilities</w:t>
            </w:r>
          </w:p>
        </w:tc>
        <w:tc>
          <w:tcPr>
            <w:tcW w:type="dxa" w:w="1152"/>
            <w:tcMar>
              <w:top w:w="40" w:type="dxa"/>
              <w:bottom w:w="40" w:type="dxa"/>
              <w:left w:w="80" w:type="dxa"/>
              <w:right w:w="80" w:type="dxa"/>
            </w:tcMar>
            <w:shd w:fill="F2F5F8"/>
          </w:tcPr>
          <w:p>
            <w:r>
              <w:rPr>
                <w:rFonts w:ascii="Times New Roman" w:hAnsi="Times New Roman"/>
                <w:sz w:val="20"/>
              </w:rPr>
              <w:t>6</w:t>
            </w:r>
          </w:p>
        </w:tc>
      </w:tr>
      <w:tr>
        <w:tc>
          <w:tcPr>
            <w:tcW w:type="dxa" w:w="1728"/>
            <w:tcMar>
              <w:top w:w="40" w:type="dxa"/>
              <w:bottom w:w="40" w:type="dxa"/>
              <w:left w:w="80" w:type="dxa"/>
              <w:right w:w="80" w:type="dxa"/>
            </w:tcMar>
          </w:tcPr>
          <w:p>
            <w:r>
              <w:rPr>
                <w:rFonts w:ascii="Times New Roman" w:hAnsi="Times New Roman"/>
                <w:sz w:val="20"/>
              </w:rPr>
            </w:r>
          </w:p>
        </w:tc>
        <w:tc>
          <w:tcPr>
            <w:tcW w:type="dxa" w:w="6048"/>
            <w:tcMar>
              <w:top w:w="40" w:type="dxa"/>
              <w:bottom w:w="40" w:type="dxa"/>
              <w:left w:w="80" w:type="dxa"/>
              <w:right w:w="80" w:type="dxa"/>
            </w:tcMar>
          </w:tcPr>
          <w:p>
            <w:r>
              <w:rPr>
                <w:rFonts w:ascii="Times New Roman" w:hAnsi="Times New Roman"/>
                <w:sz w:val="20"/>
              </w:rPr>
              <w:t>1.7 Methodological Approach &amp; Technical Roadmap</w:t>
            </w:r>
          </w:p>
        </w:tc>
        <w:tc>
          <w:tcPr>
            <w:tcW w:type="dxa" w:w="1152"/>
            <w:tcMar>
              <w:top w:w="40" w:type="dxa"/>
              <w:bottom w:w="40" w:type="dxa"/>
              <w:left w:w="80" w:type="dxa"/>
              <w:right w:w="80" w:type="dxa"/>
            </w:tcMar>
          </w:tcPr>
          <w:p>
            <w:r>
              <w:rPr>
                <w:rFonts w:ascii="Times New Roman" w:hAnsi="Times New Roman"/>
                <w:sz w:val="20"/>
              </w:rPr>
              <w:t>7</w:t>
            </w:r>
          </w:p>
        </w:tc>
      </w:tr>
      <w:tr>
        <w:tc>
          <w:tcPr>
            <w:tcW w:type="dxa" w:w="1728"/>
            <w:tcMar>
              <w:top w:w="40" w:type="dxa"/>
              <w:bottom w:w="40" w:type="dxa"/>
              <w:left w:w="80" w:type="dxa"/>
              <w:right w:w="80" w:type="dxa"/>
            </w:tcMar>
            <w:shd w:fill="F2F5F8"/>
          </w:tcPr>
          <w:p>
            <w:r>
              <w:rPr>
                <w:rFonts w:ascii="Times New Roman" w:hAnsi="Times New Roman"/>
                <w:b/>
                <w:sz w:val="21"/>
              </w:rPr>
              <w:t>2</w:t>
            </w:r>
          </w:p>
        </w:tc>
        <w:tc>
          <w:tcPr>
            <w:tcW w:type="dxa" w:w="6048"/>
            <w:tcMar>
              <w:top w:w="40" w:type="dxa"/>
              <w:bottom w:w="40" w:type="dxa"/>
              <w:left w:w="80" w:type="dxa"/>
              <w:right w:w="80" w:type="dxa"/>
            </w:tcMar>
            <w:shd w:fill="F2F5F8"/>
          </w:tcPr>
          <w:p>
            <w:r>
              <w:rPr>
                <w:rFonts w:ascii="Times New Roman" w:hAnsi="Times New Roman"/>
                <w:b/>
                <w:sz w:val="21"/>
              </w:rPr>
              <w:t>LITERATURE REVIEW</w:t>
            </w:r>
          </w:p>
        </w:tc>
        <w:tc>
          <w:tcPr>
            <w:tcW w:type="dxa" w:w="1152"/>
            <w:tcMar>
              <w:top w:w="40" w:type="dxa"/>
              <w:bottom w:w="40" w:type="dxa"/>
              <w:left w:w="80" w:type="dxa"/>
              <w:right w:w="80" w:type="dxa"/>
            </w:tcMar>
            <w:shd w:fill="F2F5F8"/>
          </w:tcPr>
          <w:p>
            <w:r>
              <w:rPr>
                <w:rFonts w:ascii="Times New Roman" w:hAnsi="Times New Roman"/>
                <w:b/>
                <w:sz w:val="21"/>
              </w:rPr>
              <w:t>8</w:t>
            </w:r>
          </w:p>
        </w:tc>
      </w:tr>
      <w:tr>
        <w:tc>
          <w:tcPr>
            <w:tcW w:type="dxa" w:w="1728"/>
            <w:tcMar>
              <w:top w:w="40" w:type="dxa"/>
              <w:bottom w:w="40" w:type="dxa"/>
              <w:left w:w="80" w:type="dxa"/>
              <w:right w:w="80" w:type="dxa"/>
            </w:tcMar>
          </w:tcPr>
          <w:p>
            <w:r>
              <w:rPr>
                <w:rFonts w:ascii="Times New Roman" w:hAnsi="Times New Roman"/>
                <w:sz w:val="20"/>
              </w:rPr>
            </w:r>
          </w:p>
        </w:tc>
        <w:tc>
          <w:tcPr>
            <w:tcW w:type="dxa" w:w="6048"/>
            <w:tcMar>
              <w:top w:w="40" w:type="dxa"/>
              <w:bottom w:w="40" w:type="dxa"/>
              <w:left w:w="80" w:type="dxa"/>
              <w:right w:w="80" w:type="dxa"/>
            </w:tcMar>
          </w:tcPr>
          <w:p>
            <w:r>
              <w:rPr>
                <w:rFonts w:ascii="Times New Roman" w:hAnsi="Times New Roman"/>
                <w:sz w:val="20"/>
              </w:rPr>
              <w:t>2.1 Survey of Recent Academic Literature (2023–2026)</w:t>
            </w:r>
          </w:p>
        </w:tc>
        <w:tc>
          <w:tcPr>
            <w:tcW w:type="dxa" w:w="1152"/>
            <w:tcMar>
              <w:top w:w="40" w:type="dxa"/>
              <w:bottom w:w="40" w:type="dxa"/>
              <w:left w:w="80" w:type="dxa"/>
              <w:right w:w="80" w:type="dxa"/>
            </w:tcMar>
          </w:tcPr>
          <w:p>
            <w:r>
              <w:rPr>
                <w:rFonts w:ascii="Times New Roman" w:hAnsi="Times New Roman"/>
                <w:sz w:val="20"/>
              </w:rPr>
              <w:t>8</w:t>
            </w:r>
          </w:p>
        </w:tc>
      </w:tr>
      <w:tr>
        <w:tc>
          <w:tcPr>
            <w:tcW w:type="dxa" w:w="1728"/>
            <w:tcMar>
              <w:top w:w="40" w:type="dxa"/>
              <w:bottom w:w="40" w:type="dxa"/>
              <w:left w:w="80" w:type="dxa"/>
              <w:right w:w="80" w:type="dxa"/>
            </w:tcMar>
            <w:shd w:fill="F2F5F8"/>
          </w:tcPr>
          <w:p>
            <w:r>
              <w:rPr>
                <w:rFonts w:ascii="Times New Roman" w:hAnsi="Times New Roman"/>
                <w:sz w:val="20"/>
              </w:rPr>
            </w:r>
          </w:p>
        </w:tc>
        <w:tc>
          <w:tcPr>
            <w:tcW w:type="dxa" w:w="6048"/>
            <w:tcMar>
              <w:top w:w="40" w:type="dxa"/>
              <w:bottom w:w="40" w:type="dxa"/>
              <w:left w:w="80" w:type="dxa"/>
              <w:right w:w="80" w:type="dxa"/>
            </w:tcMar>
            <w:shd w:fill="F2F5F8"/>
          </w:tcPr>
          <w:p>
            <w:r>
              <w:rPr>
                <w:rFonts w:ascii="Times New Roman" w:hAnsi="Times New Roman"/>
                <w:sz w:val="20"/>
              </w:rPr>
              <w:t>2.2 Critical Evaluation of 10 Landmark Papers</w:t>
            </w:r>
          </w:p>
        </w:tc>
        <w:tc>
          <w:tcPr>
            <w:tcW w:type="dxa" w:w="1152"/>
            <w:tcMar>
              <w:top w:w="40" w:type="dxa"/>
              <w:bottom w:w="40" w:type="dxa"/>
              <w:left w:w="80" w:type="dxa"/>
              <w:right w:w="80" w:type="dxa"/>
            </w:tcMar>
            <w:shd w:fill="F2F5F8"/>
          </w:tcPr>
          <w:p>
            <w:r>
              <w:rPr>
                <w:rFonts w:ascii="Times New Roman" w:hAnsi="Times New Roman"/>
                <w:sz w:val="20"/>
              </w:rPr>
              <w:t>8</w:t>
            </w:r>
          </w:p>
        </w:tc>
      </w:tr>
      <w:tr>
        <w:tc>
          <w:tcPr>
            <w:tcW w:type="dxa" w:w="1728"/>
            <w:tcMar>
              <w:top w:w="40" w:type="dxa"/>
              <w:bottom w:w="40" w:type="dxa"/>
              <w:left w:w="80" w:type="dxa"/>
              <w:right w:w="80" w:type="dxa"/>
            </w:tcMar>
          </w:tcPr>
          <w:p>
            <w:r>
              <w:rPr>
                <w:rFonts w:ascii="Times New Roman" w:hAnsi="Times New Roman"/>
                <w:sz w:val="20"/>
              </w:rPr>
            </w:r>
          </w:p>
        </w:tc>
        <w:tc>
          <w:tcPr>
            <w:tcW w:type="dxa" w:w="6048"/>
            <w:tcMar>
              <w:top w:w="40" w:type="dxa"/>
              <w:bottom w:w="40" w:type="dxa"/>
              <w:left w:w="80" w:type="dxa"/>
              <w:right w:w="80" w:type="dxa"/>
            </w:tcMar>
          </w:tcPr>
          <w:p>
            <w:r>
              <w:rPr>
                <w:rFonts w:ascii="Times New Roman" w:hAnsi="Times New Roman"/>
                <w:sz w:val="20"/>
              </w:rPr>
              <w:t>2.3 Comprehensive Summary Table of Surveyed Literature</w:t>
            </w:r>
          </w:p>
        </w:tc>
        <w:tc>
          <w:tcPr>
            <w:tcW w:type="dxa" w:w="1152"/>
            <w:tcMar>
              <w:top w:w="40" w:type="dxa"/>
              <w:bottom w:w="40" w:type="dxa"/>
              <w:left w:w="80" w:type="dxa"/>
              <w:right w:w="80" w:type="dxa"/>
            </w:tcMar>
          </w:tcPr>
          <w:p>
            <w:r>
              <w:rPr>
                <w:rFonts w:ascii="Times New Roman" w:hAnsi="Times New Roman"/>
                <w:sz w:val="20"/>
              </w:rPr>
              <w:t>16</w:t>
            </w:r>
          </w:p>
        </w:tc>
      </w:tr>
      <w:tr>
        <w:tc>
          <w:tcPr>
            <w:tcW w:type="dxa" w:w="1728"/>
            <w:tcMar>
              <w:top w:w="40" w:type="dxa"/>
              <w:bottom w:w="40" w:type="dxa"/>
              <w:left w:w="80" w:type="dxa"/>
              <w:right w:w="80" w:type="dxa"/>
            </w:tcMar>
            <w:shd w:fill="F2F5F8"/>
          </w:tcPr>
          <w:p>
            <w:r>
              <w:rPr>
                <w:rFonts w:ascii="Times New Roman" w:hAnsi="Times New Roman"/>
                <w:sz w:val="20"/>
              </w:rPr>
            </w:r>
          </w:p>
        </w:tc>
        <w:tc>
          <w:tcPr>
            <w:tcW w:type="dxa" w:w="6048"/>
            <w:tcMar>
              <w:top w:w="40" w:type="dxa"/>
              <w:bottom w:w="40" w:type="dxa"/>
              <w:left w:w="80" w:type="dxa"/>
              <w:right w:w="80" w:type="dxa"/>
            </w:tcMar>
            <w:shd w:fill="F2F5F8"/>
          </w:tcPr>
          <w:p>
            <w:r>
              <w:rPr>
                <w:rFonts w:ascii="Times New Roman" w:hAnsi="Times New Roman"/>
                <w:sz w:val="20"/>
              </w:rPr>
              <w:t>2.4 Research Gaps and Bhu-Overlay's Strategic Solution</w:t>
            </w:r>
          </w:p>
        </w:tc>
        <w:tc>
          <w:tcPr>
            <w:tcW w:type="dxa" w:w="1152"/>
            <w:tcMar>
              <w:top w:w="40" w:type="dxa"/>
              <w:bottom w:w="40" w:type="dxa"/>
              <w:left w:w="80" w:type="dxa"/>
              <w:right w:w="80" w:type="dxa"/>
            </w:tcMar>
            <w:shd w:fill="F2F5F8"/>
          </w:tcPr>
          <w:p>
            <w:r>
              <w:rPr>
                <w:rFonts w:ascii="Times New Roman" w:hAnsi="Times New Roman"/>
                <w:sz w:val="20"/>
              </w:rPr>
              <w:t>18</w:t>
            </w:r>
          </w:p>
        </w:tc>
      </w:tr>
      <w:tr>
        <w:tc>
          <w:tcPr>
            <w:tcW w:type="dxa" w:w="1728"/>
            <w:tcMar>
              <w:top w:w="40" w:type="dxa"/>
              <w:bottom w:w="40" w:type="dxa"/>
              <w:left w:w="80" w:type="dxa"/>
              <w:right w:w="80" w:type="dxa"/>
            </w:tcMar>
          </w:tcPr>
          <w:p>
            <w:r>
              <w:rPr>
                <w:rFonts w:ascii="Times New Roman" w:hAnsi="Times New Roman"/>
                <w:b/>
                <w:sz w:val="21"/>
              </w:rPr>
              <w:t>3</w:t>
            </w:r>
          </w:p>
        </w:tc>
        <w:tc>
          <w:tcPr>
            <w:tcW w:type="dxa" w:w="6048"/>
            <w:tcMar>
              <w:top w:w="40" w:type="dxa"/>
              <w:bottom w:w="40" w:type="dxa"/>
              <w:left w:w="80" w:type="dxa"/>
              <w:right w:w="80" w:type="dxa"/>
            </w:tcMar>
          </w:tcPr>
          <w:p>
            <w:r>
              <w:rPr>
                <w:rFonts w:ascii="Times New Roman" w:hAnsi="Times New Roman"/>
                <w:b/>
                <w:sz w:val="21"/>
              </w:rPr>
              <w:t>DESIGN</w:t>
            </w:r>
          </w:p>
        </w:tc>
        <w:tc>
          <w:tcPr>
            <w:tcW w:type="dxa" w:w="1152"/>
            <w:tcMar>
              <w:top w:w="40" w:type="dxa"/>
              <w:bottom w:w="40" w:type="dxa"/>
              <w:left w:w="80" w:type="dxa"/>
              <w:right w:w="80" w:type="dxa"/>
            </w:tcMar>
          </w:tcPr>
          <w:p>
            <w:r>
              <w:rPr>
                <w:rFonts w:ascii="Times New Roman" w:hAnsi="Times New Roman"/>
                <w:b/>
                <w:sz w:val="21"/>
              </w:rPr>
              <w:t>20</w:t>
            </w:r>
          </w:p>
        </w:tc>
      </w:tr>
      <w:tr>
        <w:tc>
          <w:tcPr>
            <w:tcW w:type="dxa" w:w="1728"/>
            <w:tcMar>
              <w:top w:w="40" w:type="dxa"/>
              <w:bottom w:w="40" w:type="dxa"/>
              <w:left w:w="80" w:type="dxa"/>
              <w:right w:w="80" w:type="dxa"/>
            </w:tcMar>
            <w:shd w:fill="F2F5F8"/>
          </w:tcPr>
          <w:p>
            <w:r>
              <w:rPr>
                <w:rFonts w:ascii="Times New Roman" w:hAnsi="Times New Roman"/>
                <w:sz w:val="20"/>
              </w:rPr>
            </w:r>
          </w:p>
        </w:tc>
        <w:tc>
          <w:tcPr>
            <w:tcW w:type="dxa" w:w="6048"/>
            <w:tcMar>
              <w:top w:w="40" w:type="dxa"/>
              <w:bottom w:w="40" w:type="dxa"/>
              <w:left w:w="80" w:type="dxa"/>
              <w:right w:w="80" w:type="dxa"/>
            </w:tcMar>
            <w:shd w:fill="F2F5F8"/>
          </w:tcPr>
          <w:p>
            <w:r>
              <w:rPr>
                <w:rFonts w:ascii="Times New Roman" w:hAnsi="Times New Roman"/>
                <w:sz w:val="20"/>
              </w:rPr>
              <w:t>3.1 Architectural Design &amp; Tiered System Topology</w:t>
            </w:r>
          </w:p>
        </w:tc>
        <w:tc>
          <w:tcPr>
            <w:tcW w:type="dxa" w:w="1152"/>
            <w:tcMar>
              <w:top w:w="40" w:type="dxa"/>
              <w:bottom w:w="40" w:type="dxa"/>
              <w:left w:w="80" w:type="dxa"/>
              <w:right w:w="80" w:type="dxa"/>
            </w:tcMar>
            <w:shd w:fill="F2F5F8"/>
          </w:tcPr>
          <w:p>
            <w:r>
              <w:rPr>
                <w:rFonts w:ascii="Times New Roman" w:hAnsi="Times New Roman"/>
                <w:sz w:val="20"/>
              </w:rPr>
              <w:t>20</w:t>
            </w:r>
          </w:p>
        </w:tc>
      </w:tr>
      <w:tr>
        <w:tc>
          <w:tcPr>
            <w:tcW w:type="dxa" w:w="1728"/>
            <w:tcMar>
              <w:top w:w="40" w:type="dxa"/>
              <w:bottom w:w="40" w:type="dxa"/>
              <w:left w:w="80" w:type="dxa"/>
              <w:right w:w="80" w:type="dxa"/>
            </w:tcMar>
          </w:tcPr>
          <w:p>
            <w:r>
              <w:rPr>
                <w:rFonts w:ascii="Times New Roman" w:hAnsi="Times New Roman"/>
                <w:sz w:val="20"/>
              </w:rPr>
            </w:r>
          </w:p>
        </w:tc>
        <w:tc>
          <w:tcPr>
            <w:tcW w:type="dxa" w:w="6048"/>
            <w:tcMar>
              <w:top w:w="40" w:type="dxa"/>
              <w:bottom w:w="40" w:type="dxa"/>
              <w:left w:w="80" w:type="dxa"/>
              <w:right w:w="80" w:type="dxa"/>
            </w:tcMar>
          </w:tcPr>
          <w:p>
            <w:r>
              <w:rPr>
                <w:rFonts w:ascii="Times New Roman" w:hAnsi="Times New Roman"/>
                <w:sz w:val="20"/>
              </w:rPr>
              <w:t>3.2 Computational Methods &amp; Topological Geometry Engine</w:t>
            </w:r>
          </w:p>
        </w:tc>
        <w:tc>
          <w:tcPr>
            <w:tcW w:type="dxa" w:w="1152"/>
            <w:tcMar>
              <w:top w:w="40" w:type="dxa"/>
              <w:bottom w:w="40" w:type="dxa"/>
              <w:left w:w="80" w:type="dxa"/>
              <w:right w:w="80" w:type="dxa"/>
            </w:tcMar>
          </w:tcPr>
          <w:p>
            <w:r>
              <w:rPr>
                <w:rFonts w:ascii="Times New Roman" w:hAnsi="Times New Roman"/>
                <w:sz w:val="20"/>
              </w:rPr>
              <w:t>22</w:t>
            </w:r>
          </w:p>
        </w:tc>
      </w:tr>
      <w:tr>
        <w:tc>
          <w:tcPr>
            <w:tcW w:type="dxa" w:w="1728"/>
            <w:tcMar>
              <w:top w:w="40" w:type="dxa"/>
              <w:bottom w:w="40" w:type="dxa"/>
              <w:left w:w="80" w:type="dxa"/>
              <w:right w:w="80" w:type="dxa"/>
            </w:tcMar>
            <w:shd w:fill="F2F5F8"/>
          </w:tcPr>
          <w:p>
            <w:r>
              <w:rPr>
                <w:rFonts w:ascii="Times New Roman" w:hAnsi="Times New Roman"/>
                <w:sz w:val="20"/>
              </w:rPr>
            </w:r>
          </w:p>
        </w:tc>
        <w:tc>
          <w:tcPr>
            <w:tcW w:type="dxa" w:w="6048"/>
            <w:tcMar>
              <w:top w:w="40" w:type="dxa"/>
              <w:bottom w:w="40" w:type="dxa"/>
              <w:left w:w="80" w:type="dxa"/>
              <w:right w:w="80" w:type="dxa"/>
            </w:tcMar>
            <w:shd w:fill="F2F5F8"/>
          </w:tcPr>
          <w:p>
            <w:r>
              <w:rPr>
                <w:rFonts w:ascii="Times New Roman" w:hAnsi="Times New Roman"/>
                <w:sz w:val="20"/>
              </w:rPr>
              <w:t>3.3 Mathematical Formulations &amp; Optimization Functions</w:t>
            </w:r>
          </w:p>
        </w:tc>
        <w:tc>
          <w:tcPr>
            <w:tcW w:type="dxa" w:w="1152"/>
            <w:tcMar>
              <w:top w:w="40" w:type="dxa"/>
              <w:bottom w:w="40" w:type="dxa"/>
              <w:left w:w="80" w:type="dxa"/>
              <w:right w:w="80" w:type="dxa"/>
            </w:tcMar>
            <w:shd w:fill="F2F5F8"/>
          </w:tcPr>
          <w:p>
            <w:r>
              <w:rPr>
                <w:rFonts w:ascii="Times New Roman" w:hAnsi="Times New Roman"/>
                <w:sz w:val="20"/>
              </w:rPr>
              <w:t>24</w:t>
            </w:r>
          </w:p>
        </w:tc>
      </w:tr>
      <w:tr>
        <w:tc>
          <w:tcPr>
            <w:tcW w:type="dxa" w:w="1728"/>
            <w:tcMar>
              <w:top w:w="40" w:type="dxa"/>
              <w:bottom w:w="40" w:type="dxa"/>
              <w:left w:w="80" w:type="dxa"/>
              <w:right w:w="80" w:type="dxa"/>
            </w:tcMar>
          </w:tcPr>
          <w:p>
            <w:r>
              <w:rPr>
                <w:rFonts w:ascii="Times New Roman" w:hAnsi="Times New Roman"/>
                <w:sz w:val="20"/>
              </w:rPr>
            </w:r>
          </w:p>
        </w:tc>
        <w:tc>
          <w:tcPr>
            <w:tcW w:type="dxa" w:w="6048"/>
            <w:tcMar>
              <w:top w:w="40" w:type="dxa"/>
              <w:bottom w:w="40" w:type="dxa"/>
              <w:left w:w="80" w:type="dxa"/>
              <w:right w:w="80" w:type="dxa"/>
            </w:tcMar>
          </w:tcPr>
          <w:p>
            <w:r>
              <w:rPr>
                <w:rFonts w:ascii="Times New Roman" w:hAnsi="Times New Roman"/>
                <w:sz w:val="20"/>
              </w:rPr>
              <w:t>3.4 Detailed Algorithmic Operations &amp; Step-by-Step Logic</w:t>
            </w:r>
          </w:p>
        </w:tc>
        <w:tc>
          <w:tcPr>
            <w:tcW w:type="dxa" w:w="1152"/>
            <w:tcMar>
              <w:top w:w="40" w:type="dxa"/>
              <w:bottom w:w="40" w:type="dxa"/>
              <w:left w:w="80" w:type="dxa"/>
              <w:right w:w="80" w:type="dxa"/>
            </w:tcMar>
          </w:tcPr>
          <w:p>
            <w:r>
              <w:rPr>
                <w:rFonts w:ascii="Times New Roman" w:hAnsi="Times New Roman"/>
                <w:sz w:val="20"/>
              </w:rPr>
              <w:t>26</w:t>
            </w:r>
          </w:p>
        </w:tc>
      </w:tr>
      <w:tr>
        <w:tc>
          <w:tcPr>
            <w:tcW w:type="dxa" w:w="1728"/>
            <w:tcMar>
              <w:top w:w="40" w:type="dxa"/>
              <w:bottom w:w="40" w:type="dxa"/>
              <w:left w:w="80" w:type="dxa"/>
              <w:right w:w="80" w:type="dxa"/>
            </w:tcMar>
            <w:shd w:fill="F2F5F8"/>
          </w:tcPr>
          <w:p>
            <w:r>
              <w:rPr>
                <w:rFonts w:ascii="Times New Roman" w:hAnsi="Times New Roman"/>
                <w:sz w:val="20"/>
              </w:rPr>
            </w:r>
          </w:p>
        </w:tc>
        <w:tc>
          <w:tcPr>
            <w:tcW w:type="dxa" w:w="6048"/>
            <w:tcMar>
              <w:top w:w="40" w:type="dxa"/>
              <w:bottom w:w="40" w:type="dxa"/>
              <w:left w:w="80" w:type="dxa"/>
              <w:right w:w="80" w:type="dxa"/>
            </w:tcMar>
            <w:shd w:fill="F2F5F8"/>
          </w:tcPr>
          <w:p>
            <w:r>
              <w:rPr>
                <w:rFonts w:ascii="Times New Roman" w:hAnsi="Times New Roman"/>
                <w:sz w:val="20"/>
              </w:rPr>
              <w:t>3.5 Statutory AI LLM Decision Support &amp; Fallback Engine</w:t>
            </w:r>
          </w:p>
        </w:tc>
        <w:tc>
          <w:tcPr>
            <w:tcW w:type="dxa" w:w="1152"/>
            <w:tcMar>
              <w:top w:w="40" w:type="dxa"/>
              <w:bottom w:w="40" w:type="dxa"/>
              <w:left w:w="80" w:type="dxa"/>
              <w:right w:w="80" w:type="dxa"/>
            </w:tcMar>
            <w:shd w:fill="F2F5F8"/>
          </w:tcPr>
          <w:p>
            <w:r>
              <w:rPr>
                <w:rFonts w:ascii="Times New Roman" w:hAnsi="Times New Roman"/>
                <w:sz w:val="20"/>
              </w:rPr>
              <w:t>28</w:t>
            </w:r>
          </w:p>
        </w:tc>
      </w:tr>
      <w:tr>
        <w:tc>
          <w:tcPr>
            <w:tcW w:type="dxa" w:w="1728"/>
            <w:tcMar>
              <w:top w:w="40" w:type="dxa"/>
              <w:bottom w:w="40" w:type="dxa"/>
              <w:left w:w="80" w:type="dxa"/>
              <w:right w:w="80" w:type="dxa"/>
            </w:tcMar>
          </w:tcPr>
          <w:p>
            <w:r>
              <w:rPr>
                <w:rFonts w:ascii="Times New Roman" w:hAnsi="Times New Roman"/>
                <w:b/>
                <w:sz w:val="21"/>
              </w:rPr>
              <w:t>4</w:t>
            </w:r>
          </w:p>
        </w:tc>
        <w:tc>
          <w:tcPr>
            <w:tcW w:type="dxa" w:w="6048"/>
            <w:tcMar>
              <w:top w:w="40" w:type="dxa"/>
              <w:bottom w:w="40" w:type="dxa"/>
              <w:left w:w="80" w:type="dxa"/>
              <w:right w:w="80" w:type="dxa"/>
            </w:tcMar>
          </w:tcPr>
          <w:p>
            <w:r>
              <w:rPr>
                <w:rFonts w:ascii="Times New Roman" w:hAnsi="Times New Roman"/>
                <w:b/>
                <w:sz w:val="21"/>
              </w:rPr>
              <w:t>RESULT AND ANALYSIS</w:t>
            </w:r>
          </w:p>
        </w:tc>
        <w:tc>
          <w:tcPr>
            <w:tcW w:type="dxa" w:w="1152"/>
            <w:tcMar>
              <w:top w:w="40" w:type="dxa"/>
              <w:bottom w:w="40" w:type="dxa"/>
              <w:left w:w="80" w:type="dxa"/>
              <w:right w:w="80" w:type="dxa"/>
            </w:tcMar>
          </w:tcPr>
          <w:p>
            <w:r>
              <w:rPr>
                <w:rFonts w:ascii="Times New Roman" w:hAnsi="Times New Roman"/>
                <w:b/>
                <w:sz w:val="21"/>
              </w:rPr>
              <w:t>30</w:t>
            </w:r>
          </w:p>
        </w:tc>
      </w:tr>
      <w:tr>
        <w:tc>
          <w:tcPr>
            <w:tcW w:type="dxa" w:w="1728"/>
            <w:tcMar>
              <w:top w:w="40" w:type="dxa"/>
              <w:bottom w:w="40" w:type="dxa"/>
              <w:left w:w="80" w:type="dxa"/>
              <w:right w:w="80" w:type="dxa"/>
            </w:tcMar>
            <w:shd w:fill="F2F5F8"/>
          </w:tcPr>
          <w:p>
            <w:r>
              <w:rPr>
                <w:rFonts w:ascii="Times New Roman" w:hAnsi="Times New Roman"/>
                <w:sz w:val="20"/>
              </w:rPr>
            </w:r>
          </w:p>
        </w:tc>
        <w:tc>
          <w:tcPr>
            <w:tcW w:type="dxa" w:w="6048"/>
            <w:tcMar>
              <w:top w:w="40" w:type="dxa"/>
              <w:bottom w:w="40" w:type="dxa"/>
              <w:left w:w="80" w:type="dxa"/>
              <w:right w:w="80" w:type="dxa"/>
            </w:tcMar>
            <w:shd w:fill="F2F5F8"/>
          </w:tcPr>
          <w:p>
            <w:r>
              <w:rPr>
                <w:rFonts w:ascii="Times New Roman" w:hAnsi="Times New Roman"/>
                <w:sz w:val="20"/>
              </w:rPr>
              <w:t>4.1 Experimental Setup &amp; Workstation Specifications</w:t>
            </w:r>
          </w:p>
        </w:tc>
        <w:tc>
          <w:tcPr>
            <w:tcW w:type="dxa" w:w="1152"/>
            <w:tcMar>
              <w:top w:w="40" w:type="dxa"/>
              <w:bottom w:w="40" w:type="dxa"/>
              <w:left w:w="80" w:type="dxa"/>
              <w:right w:w="80" w:type="dxa"/>
            </w:tcMar>
            <w:shd w:fill="F2F5F8"/>
          </w:tcPr>
          <w:p>
            <w:r>
              <w:rPr>
                <w:rFonts w:ascii="Times New Roman" w:hAnsi="Times New Roman"/>
                <w:sz w:val="20"/>
              </w:rPr>
              <w:t>30</w:t>
            </w:r>
          </w:p>
        </w:tc>
      </w:tr>
      <w:tr>
        <w:tc>
          <w:tcPr>
            <w:tcW w:type="dxa" w:w="1728"/>
            <w:tcMar>
              <w:top w:w="40" w:type="dxa"/>
              <w:bottom w:w="40" w:type="dxa"/>
              <w:left w:w="80" w:type="dxa"/>
              <w:right w:w="80" w:type="dxa"/>
            </w:tcMar>
          </w:tcPr>
          <w:p>
            <w:r>
              <w:rPr>
                <w:rFonts w:ascii="Times New Roman" w:hAnsi="Times New Roman"/>
                <w:sz w:val="20"/>
              </w:rPr>
            </w:r>
          </w:p>
        </w:tc>
        <w:tc>
          <w:tcPr>
            <w:tcW w:type="dxa" w:w="6048"/>
            <w:tcMar>
              <w:top w:w="40" w:type="dxa"/>
              <w:bottom w:w="40" w:type="dxa"/>
              <w:left w:w="80" w:type="dxa"/>
              <w:right w:w="80" w:type="dxa"/>
            </w:tcMar>
          </w:tcPr>
          <w:p>
            <w:r>
              <w:rPr>
                <w:rFonts w:ascii="Times New Roman" w:hAnsi="Times New Roman"/>
                <w:sz w:val="20"/>
              </w:rPr>
              <w:t>4.2 Benchmark Dataset Description &amp; Test Protocol</w:t>
            </w:r>
          </w:p>
        </w:tc>
        <w:tc>
          <w:tcPr>
            <w:tcW w:type="dxa" w:w="1152"/>
            <w:tcMar>
              <w:top w:w="40" w:type="dxa"/>
              <w:bottom w:w="40" w:type="dxa"/>
              <w:left w:w="80" w:type="dxa"/>
              <w:right w:w="80" w:type="dxa"/>
            </w:tcMar>
          </w:tcPr>
          <w:p>
            <w:r>
              <w:rPr>
                <w:rFonts w:ascii="Times New Roman" w:hAnsi="Times New Roman"/>
                <w:sz w:val="20"/>
              </w:rPr>
              <w:t>30</w:t>
            </w:r>
          </w:p>
        </w:tc>
      </w:tr>
      <w:tr>
        <w:tc>
          <w:tcPr>
            <w:tcW w:type="dxa" w:w="1728"/>
            <w:tcMar>
              <w:top w:w="40" w:type="dxa"/>
              <w:bottom w:w="40" w:type="dxa"/>
              <w:left w:w="80" w:type="dxa"/>
              <w:right w:w="80" w:type="dxa"/>
            </w:tcMar>
            <w:shd w:fill="F2F5F8"/>
          </w:tcPr>
          <w:p>
            <w:r>
              <w:rPr>
                <w:rFonts w:ascii="Times New Roman" w:hAnsi="Times New Roman"/>
                <w:sz w:val="20"/>
              </w:rPr>
            </w:r>
          </w:p>
        </w:tc>
        <w:tc>
          <w:tcPr>
            <w:tcW w:type="dxa" w:w="6048"/>
            <w:tcMar>
              <w:top w:w="40" w:type="dxa"/>
              <w:bottom w:w="40" w:type="dxa"/>
              <w:left w:w="80" w:type="dxa"/>
              <w:right w:w="80" w:type="dxa"/>
            </w:tcMar>
            <w:shd w:fill="F2F5F8"/>
          </w:tcPr>
          <w:p>
            <w:r>
              <w:rPr>
                <w:rFonts w:ascii="Times New Roman" w:hAnsi="Times New Roman"/>
                <w:sz w:val="20"/>
              </w:rPr>
              <w:t>4.3 Quantitative Partition Performance Across Co-Sharer Counts</w:t>
            </w:r>
          </w:p>
        </w:tc>
        <w:tc>
          <w:tcPr>
            <w:tcW w:type="dxa" w:w="1152"/>
            <w:tcMar>
              <w:top w:w="40" w:type="dxa"/>
              <w:bottom w:w="40" w:type="dxa"/>
              <w:left w:w="80" w:type="dxa"/>
              <w:right w:w="80" w:type="dxa"/>
            </w:tcMar>
            <w:shd w:fill="F2F5F8"/>
          </w:tcPr>
          <w:p>
            <w:r>
              <w:rPr>
                <w:rFonts w:ascii="Times New Roman" w:hAnsi="Times New Roman"/>
                <w:sz w:val="20"/>
              </w:rPr>
              <w:t>32</w:t>
            </w:r>
          </w:p>
        </w:tc>
      </w:tr>
      <w:tr>
        <w:tc>
          <w:tcPr>
            <w:tcW w:type="dxa" w:w="1728"/>
            <w:tcMar>
              <w:top w:w="40" w:type="dxa"/>
              <w:bottom w:w="40" w:type="dxa"/>
              <w:left w:w="80" w:type="dxa"/>
              <w:right w:w="80" w:type="dxa"/>
            </w:tcMar>
          </w:tcPr>
          <w:p>
            <w:r>
              <w:rPr>
                <w:rFonts w:ascii="Times New Roman" w:hAnsi="Times New Roman"/>
                <w:sz w:val="20"/>
              </w:rPr>
            </w:r>
          </w:p>
        </w:tc>
        <w:tc>
          <w:tcPr>
            <w:tcW w:type="dxa" w:w="6048"/>
            <w:tcMar>
              <w:top w:w="40" w:type="dxa"/>
              <w:bottom w:w="40" w:type="dxa"/>
              <w:left w:w="80" w:type="dxa"/>
              <w:right w:w="80" w:type="dxa"/>
            </w:tcMar>
          </w:tcPr>
          <w:p>
            <w:r>
              <w:rPr>
                <w:rFonts w:ascii="Times New Roman" w:hAnsi="Times New Roman"/>
                <w:sz w:val="20"/>
              </w:rPr>
              <w:t>4.4 Parameter Sensitivity Analysis &amp; Empirical Trade-Offs</w:t>
            </w:r>
          </w:p>
        </w:tc>
        <w:tc>
          <w:tcPr>
            <w:tcW w:type="dxa" w:w="1152"/>
            <w:tcMar>
              <w:top w:w="40" w:type="dxa"/>
              <w:bottom w:w="40" w:type="dxa"/>
              <w:left w:w="80" w:type="dxa"/>
              <w:right w:w="80" w:type="dxa"/>
            </w:tcMar>
          </w:tcPr>
          <w:p>
            <w:r>
              <w:rPr>
                <w:rFonts w:ascii="Times New Roman" w:hAnsi="Times New Roman"/>
                <w:sz w:val="20"/>
              </w:rPr>
              <w:t>34</w:t>
            </w:r>
          </w:p>
        </w:tc>
      </w:tr>
      <w:tr>
        <w:tc>
          <w:tcPr>
            <w:tcW w:type="dxa" w:w="1728"/>
            <w:tcMar>
              <w:top w:w="40" w:type="dxa"/>
              <w:bottom w:w="40" w:type="dxa"/>
              <w:left w:w="80" w:type="dxa"/>
              <w:right w:w="80" w:type="dxa"/>
            </w:tcMar>
            <w:shd w:fill="F2F5F8"/>
          </w:tcPr>
          <w:p>
            <w:r>
              <w:rPr>
                <w:rFonts w:ascii="Times New Roman" w:hAnsi="Times New Roman"/>
                <w:sz w:val="20"/>
              </w:rPr>
            </w:r>
          </w:p>
        </w:tc>
        <w:tc>
          <w:tcPr>
            <w:tcW w:type="dxa" w:w="6048"/>
            <w:tcMar>
              <w:top w:w="40" w:type="dxa"/>
              <w:bottom w:w="40" w:type="dxa"/>
              <w:left w:w="80" w:type="dxa"/>
              <w:right w:w="80" w:type="dxa"/>
            </w:tcMar>
            <w:shd w:fill="F2F5F8"/>
          </w:tcPr>
          <w:p>
            <w:r>
              <w:rPr>
                <w:rFonts w:ascii="Times New Roman" w:hAnsi="Times New Roman"/>
                <w:sz w:val="20"/>
              </w:rPr>
              <w:t>4.5 Graphical Visualizations &amp; Performance Proofs</w:t>
            </w:r>
          </w:p>
        </w:tc>
        <w:tc>
          <w:tcPr>
            <w:tcW w:type="dxa" w:w="1152"/>
            <w:tcMar>
              <w:top w:w="40" w:type="dxa"/>
              <w:bottom w:w="40" w:type="dxa"/>
              <w:left w:w="80" w:type="dxa"/>
              <w:right w:w="80" w:type="dxa"/>
            </w:tcMar>
            <w:shd w:fill="F2F5F8"/>
          </w:tcPr>
          <w:p>
            <w:r>
              <w:rPr>
                <w:rFonts w:ascii="Times New Roman" w:hAnsi="Times New Roman"/>
                <w:sz w:val="20"/>
              </w:rPr>
              <w:t>36</w:t>
            </w:r>
          </w:p>
        </w:tc>
      </w:tr>
      <w:tr>
        <w:tc>
          <w:tcPr>
            <w:tcW w:type="dxa" w:w="1728"/>
            <w:tcMar>
              <w:top w:w="40" w:type="dxa"/>
              <w:bottom w:w="40" w:type="dxa"/>
              <w:left w:w="80" w:type="dxa"/>
              <w:right w:w="80" w:type="dxa"/>
            </w:tcMar>
          </w:tcPr>
          <w:p>
            <w:r>
              <w:rPr>
                <w:rFonts w:ascii="Times New Roman" w:hAnsi="Times New Roman"/>
                <w:sz w:val="20"/>
              </w:rPr>
            </w:r>
          </w:p>
        </w:tc>
        <w:tc>
          <w:tcPr>
            <w:tcW w:type="dxa" w:w="6048"/>
            <w:tcMar>
              <w:top w:w="40" w:type="dxa"/>
              <w:bottom w:w="40" w:type="dxa"/>
              <w:left w:w="80" w:type="dxa"/>
              <w:right w:w="80" w:type="dxa"/>
            </w:tcMar>
          </w:tcPr>
          <w:p>
            <w:r>
              <w:rPr>
                <w:rFonts w:ascii="Times New Roman" w:hAnsi="Times New Roman"/>
                <w:sz w:val="20"/>
              </w:rPr>
              <w:t>4.6 Qualitative Field Demarcation &amp; Survey Report Validation</w:t>
            </w:r>
          </w:p>
        </w:tc>
        <w:tc>
          <w:tcPr>
            <w:tcW w:type="dxa" w:w="1152"/>
            <w:tcMar>
              <w:top w:w="40" w:type="dxa"/>
              <w:bottom w:w="40" w:type="dxa"/>
              <w:left w:w="80" w:type="dxa"/>
              <w:right w:w="80" w:type="dxa"/>
            </w:tcMar>
          </w:tcPr>
          <w:p>
            <w:r>
              <w:rPr>
                <w:rFonts w:ascii="Times New Roman" w:hAnsi="Times New Roman"/>
                <w:sz w:val="20"/>
              </w:rPr>
              <w:t>40</w:t>
            </w:r>
          </w:p>
        </w:tc>
      </w:tr>
      <w:tr>
        <w:tc>
          <w:tcPr>
            <w:tcW w:type="dxa" w:w="1728"/>
            <w:tcMar>
              <w:top w:w="40" w:type="dxa"/>
              <w:bottom w:w="40" w:type="dxa"/>
              <w:left w:w="80" w:type="dxa"/>
              <w:right w:w="80" w:type="dxa"/>
            </w:tcMar>
            <w:shd w:fill="F2F5F8"/>
          </w:tcPr>
          <w:p>
            <w:r>
              <w:rPr>
                <w:rFonts w:ascii="Times New Roman" w:hAnsi="Times New Roman"/>
                <w:b/>
                <w:sz w:val="21"/>
              </w:rPr>
              <w:t>5</w:t>
            </w:r>
          </w:p>
        </w:tc>
        <w:tc>
          <w:tcPr>
            <w:tcW w:type="dxa" w:w="6048"/>
            <w:tcMar>
              <w:top w:w="40" w:type="dxa"/>
              <w:bottom w:w="40" w:type="dxa"/>
              <w:left w:w="80" w:type="dxa"/>
              <w:right w:w="80" w:type="dxa"/>
            </w:tcMar>
            <w:shd w:fill="F2F5F8"/>
          </w:tcPr>
          <w:p>
            <w:r>
              <w:rPr>
                <w:rFonts w:ascii="Times New Roman" w:hAnsi="Times New Roman"/>
                <w:b/>
                <w:sz w:val="21"/>
              </w:rPr>
              <w:t>CONCLUSION AND FUTURE ENHANCEMENTS</w:t>
            </w:r>
          </w:p>
        </w:tc>
        <w:tc>
          <w:tcPr>
            <w:tcW w:type="dxa" w:w="1152"/>
            <w:tcMar>
              <w:top w:w="40" w:type="dxa"/>
              <w:bottom w:w="40" w:type="dxa"/>
              <w:left w:w="80" w:type="dxa"/>
              <w:right w:w="80" w:type="dxa"/>
            </w:tcMar>
            <w:shd w:fill="F2F5F8"/>
          </w:tcPr>
          <w:p>
            <w:r>
              <w:rPr>
                <w:rFonts w:ascii="Times New Roman" w:hAnsi="Times New Roman"/>
                <w:b/>
                <w:sz w:val="21"/>
              </w:rPr>
              <w:t>43</w:t>
            </w:r>
          </w:p>
        </w:tc>
      </w:tr>
      <w:tr>
        <w:tc>
          <w:tcPr>
            <w:tcW w:type="dxa" w:w="1728"/>
            <w:tcMar>
              <w:top w:w="40" w:type="dxa"/>
              <w:bottom w:w="40" w:type="dxa"/>
              <w:left w:w="80" w:type="dxa"/>
              <w:right w:w="80" w:type="dxa"/>
            </w:tcMar>
          </w:tcPr>
          <w:p>
            <w:r>
              <w:rPr>
                <w:rFonts w:ascii="Times New Roman" w:hAnsi="Times New Roman"/>
                <w:sz w:val="20"/>
              </w:rPr>
            </w:r>
          </w:p>
        </w:tc>
        <w:tc>
          <w:tcPr>
            <w:tcW w:type="dxa" w:w="6048"/>
            <w:tcMar>
              <w:top w:w="40" w:type="dxa"/>
              <w:bottom w:w="40" w:type="dxa"/>
              <w:left w:w="80" w:type="dxa"/>
              <w:right w:w="80" w:type="dxa"/>
            </w:tcMar>
          </w:tcPr>
          <w:p>
            <w:r>
              <w:rPr>
                <w:rFonts w:ascii="Times New Roman" w:hAnsi="Times New Roman"/>
                <w:sz w:val="20"/>
              </w:rPr>
              <w:t>5.1 Project Summary &amp; Core Achievements</w:t>
            </w:r>
          </w:p>
        </w:tc>
        <w:tc>
          <w:tcPr>
            <w:tcW w:type="dxa" w:w="1152"/>
            <w:tcMar>
              <w:top w:w="40" w:type="dxa"/>
              <w:bottom w:w="40" w:type="dxa"/>
              <w:left w:w="80" w:type="dxa"/>
              <w:right w:w="80" w:type="dxa"/>
            </w:tcMar>
          </w:tcPr>
          <w:p>
            <w:r>
              <w:rPr>
                <w:rFonts w:ascii="Times New Roman" w:hAnsi="Times New Roman"/>
                <w:sz w:val="20"/>
              </w:rPr>
              <w:t>43</w:t>
            </w:r>
          </w:p>
        </w:tc>
      </w:tr>
      <w:tr>
        <w:tc>
          <w:tcPr>
            <w:tcW w:type="dxa" w:w="1728"/>
            <w:tcMar>
              <w:top w:w="40" w:type="dxa"/>
              <w:bottom w:w="40" w:type="dxa"/>
              <w:left w:w="80" w:type="dxa"/>
              <w:right w:w="80" w:type="dxa"/>
            </w:tcMar>
            <w:shd w:fill="F2F5F8"/>
          </w:tcPr>
          <w:p>
            <w:r>
              <w:rPr>
                <w:rFonts w:ascii="Times New Roman" w:hAnsi="Times New Roman"/>
                <w:sz w:val="20"/>
              </w:rPr>
            </w:r>
          </w:p>
        </w:tc>
        <w:tc>
          <w:tcPr>
            <w:tcW w:type="dxa" w:w="6048"/>
            <w:tcMar>
              <w:top w:w="40" w:type="dxa"/>
              <w:bottom w:w="40" w:type="dxa"/>
              <w:left w:w="80" w:type="dxa"/>
              <w:right w:w="80" w:type="dxa"/>
            </w:tcMar>
            <w:shd w:fill="F2F5F8"/>
          </w:tcPr>
          <w:p>
            <w:r>
              <w:rPr>
                <w:rFonts w:ascii="Times New Roman" w:hAnsi="Times New Roman"/>
                <w:sz w:val="20"/>
              </w:rPr>
              <w:t>5.2 Societal, Legal, and Administrative Impact</w:t>
            </w:r>
          </w:p>
        </w:tc>
        <w:tc>
          <w:tcPr>
            <w:tcW w:type="dxa" w:w="1152"/>
            <w:tcMar>
              <w:top w:w="40" w:type="dxa"/>
              <w:bottom w:w="40" w:type="dxa"/>
              <w:left w:w="80" w:type="dxa"/>
              <w:right w:w="80" w:type="dxa"/>
            </w:tcMar>
            <w:shd w:fill="F2F5F8"/>
          </w:tcPr>
          <w:p>
            <w:r>
              <w:rPr>
                <w:rFonts w:ascii="Times New Roman" w:hAnsi="Times New Roman"/>
                <w:sz w:val="20"/>
              </w:rPr>
              <w:t>43</w:t>
            </w:r>
          </w:p>
        </w:tc>
      </w:tr>
      <w:tr>
        <w:tc>
          <w:tcPr>
            <w:tcW w:type="dxa" w:w="1728"/>
            <w:tcMar>
              <w:top w:w="40" w:type="dxa"/>
              <w:bottom w:w="40" w:type="dxa"/>
              <w:left w:w="80" w:type="dxa"/>
              <w:right w:w="80" w:type="dxa"/>
            </w:tcMar>
          </w:tcPr>
          <w:p>
            <w:r>
              <w:rPr>
                <w:rFonts w:ascii="Times New Roman" w:hAnsi="Times New Roman"/>
                <w:sz w:val="20"/>
              </w:rPr>
            </w:r>
          </w:p>
        </w:tc>
        <w:tc>
          <w:tcPr>
            <w:tcW w:type="dxa" w:w="6048"/>
            <w:tcMar>
              <w:top w:w="40" w:type="dxa"/>
              <w:bottom w:w="40" w:type="dxa"/>
              <w:left w:w="80" w:type="dxa"/>
              <w:right w:w="80" w:type="dxa"/>
            </w:tcMar>
          </w:tcPr>
          <w:p>
            <w:r>
              <w:rPr>
                <w:rFonts w:ascii="Times New Roman" w:hAnsi="Times New Roman"/>
                <w:sz w:val="20"/>
              </w:rPr>
              <w:t>5.3 Future Research Scope &amp; Roadmap</w:t>
            </w:r>
          </w:p>
        </w:tc>
        <w:tc>
          <w:tcPr>
            <w:tcW w:type="dxa" w:w="1152"/>
            <w:tcMar>
              <w:top w:w="40" w:type="dxa"/>
              <w:bottom w:w="40" w:type="dxa"/>
              <w:left w:w="80" w:type="dxa"/>
              <w:right w:w="80" w:type="dxa"/>
            </w:tcMar>
          </w:tcPr>
          <w:p>
            <w:r>
              <w:rPr>
                <w:rFonts w:ascii="Times New Roman" w:hAnsi="Times New Roman"/>
                <w:sz w:val="20"/>
              </w:rPr>
              <w:t>44</w:t>
            </w:r>
          </w:p>
        </w:tc>
      </w:tr>
      <w:tr>
        <w:tc>
          <w:tcPr>
            <w:tcW w:type="dxa" w:w="1728"/>
            <w:tcMar>
              <w:top w:w="40" w:type="dxa"/>
              <w:bottom w:w="40" w:type="dxa"/>
              <w:left w:w="80" w:type="dxa"/>
              <w:right w:w="80" w:type="dxa"/>
            </w:tcMar>
            <w:shd w:fill="F2F5F8"/>
          </w:tcPr>
          <w:p>
            <w:r>
              <w:rPr>
                <w:rFonts w:ascii="Times New Roman" w:hAnsi="Times New Roman"/>
                <w:b/>
                <w:sz w:val="21"/>
              </w:rPr>
            </w:r>
          </w:p>
        </w:tc>
        <w:tc>
          <w:tcPr>
            <w:tcW w:type="dxa" w:w="6048"/>
            <w:tcMar>
              <w:top w:w="40" w:type="dxa"/>
              <w:bottom w:w="40" w:type="dxa"/>
              <w:left w:w="80" w:type="dxa"/>
              <w:right w:w="80" w:type="dxa"/>
            </w:tcMar>
            <w:shd w:fill="F2F5F8"/>
          </w:tcPr>
          <w:p>
            <w:r>
              <w:rPr>
                <w:rFonts w:ascii="Times New Roman" w:hAnsi="Times New Roman"/>
                <w:b/>
                <w:sz w:val="21"/>
              </w:rPr>
              <w:t>REFERENCES</w:t>
            </w:r>
          </w:p>
        </w:tc>
        <w:tc>
          <w:tcPr>
            <w:tcW w:type="dxa" w:w="1152"/>
            <w:tcMar>
              <w:top w:w="40" w:type="dxa"/>
              <w:bottom w:w="40" w:type="dxa"/>
              <w:left w:w="80" w:type="dxa"/>
              <w:right w:w="80" w:type="dxa"/>
            </w:tcMar>
            <w:shd w:fill="F2F5F8"/>
          </w:tcPr>
          <w:p>
            <w:r>
              <w:rPr>
                <w:rFonts w:ascii="Times New Roman" w:hAnsi="Times New Roman"/>
                <w:b/>
                <w:sz w:val="21"/>
              </w:rPr>
              <w:t>45</w:t>
            </w:r>
          </w:p>
        </w:tc>
      </w:tr>
    </w:tbl>
    <w:p>
      <w:r>
        <w:br w:type="page"/>
      </w:r>
    </w:p>
    <w:p>
      <w:pPr>
        <w:keepNext/>
        <w:spacing w:before="360" w:after="240"/>
        <w:jc w:val="center"/>
      </w:pPr>
      <w:r>
        <w:rPr>
          <w:rFonts w:ascii="Times New Roman" w:hAnsi="Times New Roman"/>
          <w:b/>
          <w:color w:val="0F172A"/>
          <w:sz w:val="32"/>
        </w:rPr>
        <w:t>LIST OF TABLES</w:t>
      </w:r>
    </w:p>
    <w:tbl>
      <w:tblPr>
        <w:tblW w:type="auto" w:w="0"/>
        <w:jc w:val="center"/>
        <w:tblLook w:firstColumn="1" w:firstRow="1" w:lastColumn="0" w:lastRow="0" w:noHBand="0" w:noVBand="1" w:val="04A0"/>
      </w:tblPr>
      <w:tblGrid>
        <w:gridCol w:w="2741"/>
        <w:gridCol w:w="2741"/>
        <w:gridCol w:w="2741"/>
      </w:tblGrid>
      <w:tr>
        <w:tc>
          <w:tcPr>
            <w:tcW w:type="dxa" w:w="1872"/>
            <w:shd w:fill="1F4E79"/>
            <w:tcMar>
              <w:top w:w="80" w:type="dxa"/>
              <w:bottom w:w="80" w:type="dxa"/>
              <w:left w:w="100" w:type="dxa"/>
              <w:right w:w="100" w:type="dxa"/>
            </w:tcMar>
          </w:tcPr>
          <w:p>
            <w:pPr>
              <w:jc w:val="center"/>
            </w:pPr>
            <w:r>
              <w:rPr>
                <w:rFonts w:ascii="Times New Roman" w:hAnsi="Times New Roman"/>
                <w:b/>
                <w:color w:val="FFFFFF"/>
                <w:sz w:val="22"/>
              </w:rPr>
              <w:t>TABLE NO.</w:t>
            </w:r>
          </w:p>
        </w:tc>
        <w:tc>
          <w:tcPr>
            <w:tcW w:type="dxa" w:w="5904"/>
            <w:shd w:fill="1F4E79"/>
            <w:tcMar>
              <w:top w:w="80" w:type="dxa"/>
              <w:bottom w:w="80" w:type="dxa"/>
              <w:left w:w="100" w:type="dxa"/>
              <w:right w:w="100" w:type="dxa"/>
            </w:tcMar>
          </w:tcPr>
          <w:p>
            <w:pPr>
              <w:jc w:val="center"/>
            </w:pPr>
            <w:r>
              <w:rPr>
                <w:rFonts w:ascii="Times New Roman" w:hAnsi="Times New Roman"/>
                <w:b/>
                <w:color w:val="FFFFFF"/>
                <w:sz w:val="22"/>
              </w:rPr>
              <w:t>TITLE</w:t>
            </w:r>
          </w:p>
        </w:tc>
        <w:tc>
          <w:tcPr>
            <w:tcW w:type="dxa" w:w="1152"/>
            <w:shd w:fill="1F4E79"/>
            <w:tcMar>
              <w:top w:w="80" w:type="dxa"/>
              <w:bottom w:w="80" w:type="dxa"/>
              <w:left w:w="100" w:type="dxa"/>
              <w:right w:w="100" w:type="dxa"/>
            </w:tcMar>
          </w:tcPr>
          <w:p>
            <w:pPr>
              <w:jc w:val="center"/>
            </w:pPr>
            <w:r>
              <w:rPr>
                <w:rFonts w:ascii="Times New Roman" w:hAnsi="Times New Roman"/>
                <w:b/>
                <w:color w:val="FFFFFF"/>
                <w:sz w:val="22"/>
              </w:rPr>
              <w:t>PAGE</w:t>
            </w:r>
          </w:p>
        </w:tc>
      </w:tr>
      <w:tr>
        <w:tc>
          <w:tcPr>
            <w:tcW w:type="dxa" w:w="1872"/>
            <w:tcMar>
              <w:top w:w="40" w:type="dxa"/>
              <w:bottom w:w="40" w:type="dxa"/>
              <w:left w:w="80" w:type="dxa"/>
              <w:right w:w="80" w:type="dxa"/>
            </w:tcMar>
          </w:tcPr>
          <w:p>
            <w:r>
              <w:rPr>
                <w:rFonts w:ascii="Times New Roman" w:hAnsi="Times New Roman"/>
                <w:sz w:val="20"/>
              </w:rPr>
              <w:t>Table 2.1</w:t>
            </w:r>
          </w:p>
        </w:tc>
        <w:tc>
          <w:tcPr>
            <w:tcW w:type="dxa" w:w="5904"/>
            <w:tcMar>
              <w:top w:w="40" w:type="dxa"/>
              <w:bottom w:w="40" w:type="dxa"/>
              <w:left w:w="80" w:type="dxa"/>
              <w:right w:w="80" w:type="dxa"/>
            </w:tcMar>
          </w:tcPr>
          <w:p>
            <w:r>
              <w:rPr>
                <w:rFonts w:ascii="Times New Roman" w:hAnsi="Times New Roman"/>
                <w:sz w:val="20"/>
              </w:rPr>
              <w:t>Comprehensive Survey of Recent Cadastral &amp; AI Partitioning Literature (2023–2026)</w:t>
            </w:r>
          </w:p>
        </w:tc>
        <w:tc>
          <w:tcPr>
            <w:tcW w:type="dxa" w:w="1152"/>
            <w:tcMar>
              <w:top w:w="40" w:type="dxa"/>
              <w:bottom w:w="40" w:type="dxa"/>
              <w:left w:w="80" w:type="dxa"/>
              <w:right w:w="80" w:type="dxa"/>
            </w:tcMar>
          </w:tcPr>
          <w:p>
            <w:r>
              <w:rPr>
                <w:rFonts w:ascii="Times New Roman" w:hAnsi="Times New Roman"/>
                <w:sz w:val="20"/>
              </w:rPr>
              <w:t>17</w:t>
            </w:r>
          </w:p>
        </w:tc>
      </w:tr>
      <w:tr>
        <w:tc>
          <w:tcPr>
            <w:tcW w:type="dxa" w:w="1872"/>
            <w:tcMar>
              <w:top w:w="40" w:type="dxa"/>
              <w:bottom w:w="40" w:type="dxa"/>
              <w:left w:w="80" w:type="dxa"/>
              <w:right w:w="80" w:type="dxa"/>
            </w:tcMar>
            <w:shd w:fill="F2F5F8"/>
          </w:tcPr>
          <w:p>
            <w:r>
              <w:rPr>
                <w:rFonts w:ascii="Times New Roman" w:hAnsi="Times New Roman"/>
                <w:sz w:val="20"/>
              </w:rPr>
              <w:t>Table 4.1</w:t>
            </w:r>
          </w:p>
        </w:tc>
        <w:tc>
          <w:tcPr>
            <w:tcW w:type="dxa" w:w="5904"/>
            <w:tcMar>
              <w:top w:w="40" w:type="dxa"/>
              <w:bottom w:w="40" w:type="dxa"/>
              <w:left w:w="80" w:type="dxa"/>
              <w:right w:w="80" w:type="dxa"/>
            </w:tcMar>
            <w:shd w:fill="F2F5F8"/>
          </w:tcPr>
          <w:p>
            <w:r>
              <w:rPr>
                <w:rFonts w:ascii="Times New Roman" w:hAnsi="Times New Roman"/>
                <w:sz w:val="20"/>
              </w:rPr>
              <w:t>Hardware and Software Workstation Benchmark Specifications</w:t>
            </w:r>
          </w:p>
        </w:tc>
        <w:tc>
          <w:tcPr>
            <w:tcW w:type="dxa" w:w="1152"/>
            <w:tcMar>
              <w:top w:w="40" w:type="dxa"/>
              <w:bottom w:w="40" w:type="dxa"/>
              <w:left w:w="80" w:type="dxa"/>
              <w:right w:w="80" w:type="dxa"/>
            </w:tcMar>
            <w:shd w:fill="F2F5F8"/>
          </w:tcPr>
          <w:p>
            <w:r>
              <w:rPr>
                <w:rFonts w:ascii="Times New Roman" w:hAnsi="Times New Roman"/>
                <w:sz w:val="20"/>
              </w:rPr>
              <w:t>30</w:t>
            </w:r>
          </w:p>
        </w:tc>
      </w:tr>
      <w:tr>
        <w:tc>
          <w:tcPr>
            <w:tcW w:type="dxa" w:w="1872"/>
            <w:tcMar>
              <w:top w:w="40" w:type="dxa"/>
              <w:bottom w:w="40" w:type="dxa"/>
              <w:left w:w="80" w:type="dxa"/>
              <w:right w:w="80" w:type="dxa"/>
            </w:tcMar>
          </w:tcPr>
          <w:p>
            <w:r>
              <w:rPr>
                <w:rFonts w:ascii="Times New Roman" w:hAnsi="Times New Roman"/>
                <w:sz w:val="20"/>
              </w:rPr>
              <w:t>Table 4.2</w:t>
            </w:r>
          </w:p>
        </w:tc>
        <w:tc>
          <w:tcPr>
            <w:tcW w:type="dxa" w:w="5904"/>
            <w:tcMar>
              <w:top w:w="40" w:type="dxa"/>
              <w:bottom w:w="40" w:type="dxa"/>
              <w:left w:w="80" w:type="dxa"/>
              <w:right w:w="80" w:type="dxa"/>
            </w:tcMar>
          </w:tcPr>
          <w:p>
            <w:r>
              <w:rPr>
                <w:rFonts w:ascii="Times New Roman" w:hAnsi="Times New Roman"/>
                <w:sz w:val="20"/>
              </w:rPr>
              <w:t>Summary Profile of the 70 Benchmark Cadastral Parcels from Bihar</w:t>
            </w:r>
          </w:p>
        </w:tc>
        <w:tc>
          <w:tcPr>
            <w:tcW w:type="dxa" w:w="1152"/>
            <w:tcMar>
              <w:top w:w="40" w:type="dxa"/>
              <w:bottom w:w="40" w:type="dxa"/>
              <w:left w:w="80" w:type="dxa"/>
              <w:right w:w="80" w:type="dxa"/>
            </w:tcMar>
          </w:tcPr>
          <w:p>
            <w:r>
              <w:rPr>
                <w:rFonts w:ascii="Times New Roman" w:hAnsi="Times New Roman"/>
                <w:sz w:val="20"/>
              </w:rPr>
              <w:t>31</w:t>
            </w:r>
          </w:p>
        </w:tc>
      </w:tr>
      <w:tr>
        <w:tc>
          <w:tcPr>
            <w:tcW w:type="dxa" w:w="1872"/>
            <w:tcMar>
              <w:top w:w="40" w:type="dxa"/>
              <w:bottom w:w="40" w:type="dxa"/>
              <w:left w:w="80" w:type="dxa"/>
              <w:right w:w="80" w:type="dxa"/>
            </w:tcMar>
            <w:shd w:fill="F2F5F8"/>
          </w:tcPr>
          <w:p>
            <w:r>
              <w:rPr>
                <w:rFonts w:ascii="Times New Roman" w:hAnsi="Times New Roman"/>
                <w:sz w:val="20"/>
              </w:rPr>
              <w:t>Table 4.3</w:t>
            </w:r>
          </w:p>
        </w:tc>
        <w:tc>
          <w:tcPr>
            <w:tcW w:type="dxa" w:w="5904"/>
            <w:tcMar>
              <w:top w:w="40" w:type="dxa"/>
              <w:bottom w:w="40" w:type="dxa"/>
              <w:left w:w="80" w:type="dxa"/>
              <w:right w:w="80" w:type="dxa"/>
            </w:tcMar>
            <w:shd w:fill="F2F5F8"/>
          </w:tcPr>
          <w:p>
            <w:r>
              <w:rPr>
                <w:rFonts w:ascii="Times New Roman" w:hAnsi="Times New Roman"/>
                <w:sz w:val="20"/>
              </w:rPr>
              <w:t>Computational and Spatial Performance Across Partition Scenarios (2 to 8 Shares)</w:t>
            </w:r>
          </w:p>
        </w:tc>
        <w:tc>
          <w:tcPr>
            <w:tcW w:type="dxa" w:w="1152"/>
            <w:tcMar>
              <w:top w:w="40" w:type="dxa"/>
              <w:bottom w:w="40" w:type="dxa"/>
              <w:left w:w="80" w:type="dxa"/>
              <w:right w:w="80" w:type="dxa"/>
            </w:tcMar>
            <w:shd w:fill="F2F5F8"/>
          </w:tcPr>
          <w:p>
            <w:r>
              <w:rPr>
                <w:rFonts w:ascii="Times New Roman" w:hAnsi="Times New Roman"/>
                <w:sz w:val="20"/>
              </w:rPr>
              <w:t>33</w:t>
            </w:r>
          </w:p>
        </w:tc>
      </w:tr>
      <w:tr>
        <w:tc>
          <w:tcPr>
            <w:tcW w:type="dxa" w:w="1872"/>
            <w:tcMar>
              <w:top w:w="40" w:type="dxa"/>
              <w:bottom w:w="40" w:type="dxa"/>
              <w:left w:w="80" w:type="dxa"/>
              <w:right w:w="80" w:type="dxa"/>
            </w:tcMar>
          </w:tcPr>
          <w:p>
            <w:r>
              <w:rPr>
                <w:rFonts w:ascii="Times New Roman" w:hAnsi="Times New Roman"/>
                <w:sz w:val="20"/>
              </w:rPr>
              <w:t>Table 4.4</w:t>
            </w:r>
          </w:p>
        </w:tc>
        <w:tc>
          <w:tcPr>
            <w:tcW w:type="dxa" w:w="5904"/>
            <w:tcMar>
              <w:top w:w="40" w:type="dxa"/>
              <w:bottom w:w="40" w:type="dxa"/>
              <w:left w:w="80" w:type="dxa"/>
              <w:right w:w="80" w:type="dxa"/>
            </w:tcMar>
          </w:tcPr>
          <w:p>
            <w:r>
              <w:rPr>
                <w:rFonts w:ascii="Times New Roman" w:hAnsi="Times New Roman"/>
                <w:sz w:val="20"/>
              </w:rPr>
              <w:t>Automated Integration Test Suite Execution Durations and Verification Status</w:t>
            </w:r>
          </w:p>
        </w:tc>
        <w:tc>
          <w:tcPr>
            <w:tcW w:type="dxa" w:w="1152"/>
            <w:tcMar>
              <w:top w:w="40" w:type="dxa"/>
              <w:bottom w:w="40" w:type="dxa"/>
              <w:left w:w="80" w:type="dxa"/>
              <w:right w:w="80" w:type="dxa"/>
            </w:tcMar>
          </w:tcPr>
          <w:p>
            <w:r>
              <w:rPr>
                <w:rFonts w:ascii="Times New Roman" w:hAnsi="Times New Roman"/>
                <w:sz w:val="20"/>
              </w:rPr>
              <w:t>34</w:t>
            </w:r>
          </w:p>
        </w:tc>
      </w:tr>
      <w:tr>
        <w:tc>
          <w:tcPr>
            <w:tcW w:type="dxa" w:w="1872"/>
            <w:tcMar>
              <w:top w:w="40" w:type="dxa"/>
              <w:bottom w:w="40" w:type="dxa"/>
              <w:left w:w="80" w:type="dxa"/>
              <w:right w:w="80" w:type="dxa"/>
            </w:tcMar>
            <w:shd w:fill="F2F5F8"/>
          </w:tcPr>
          <w:p>
            <w:r>
              <w:rPr>
                <w:rFonts w:ascii="Times New Roman" w:hAnsi="Times New Roman"/>
                <w:sz w:val="20"/>
              </w:rPr>
              <w:t>Table 4.5</w:t>
            </w:r>
          </w:p>
        </w:tc>
        <w:tc>
          <w:tcPr>
            <w:tcW w:type="dxa" w:w="5904"/>
            <w:tcMar>
              <w:top w:w="40" w:type="dxa"/>
              <w:bottom w:w="40" w:type="dxa"/>
              <w:left w:w="80" w:type="dxa"/>
              <w:right w:w="80" w:type="dxa"/>
            </w:tcMar>
            <w:shd w:fill="F2F5F8"/>
          </w:tcPr>
          <w:p>
            <w:r>
              <w:rPr>
                <w:rFonts w:ascii="Times New Roman" w:hAnsi="Times New Roman"/>
                <w:sz w:val="20"/>
              </w:rPr>
              <w:t>Empirical Evaluation Metrics Across Alternative Bisection Topologies</w:t>
            </w:r>
          </w:p>
        </w:tc>
        <w:tc>
          <w:tcPr>
            <w:tcW w:type="dxa" w:w="1152"/>
            <w:tcMar>
              <w:top w:w="40" w:type="dxa"/>
              <w:bottom w:w="40" w:type="dxa"/>
              <w:left w:w="80" w:type="dxa"/>
              <w:right w:w="80" w:type="dxa"/>
            </w:tcMar>
            <w:shd w:fill="F2F5F8"/>
          </w:tcPr>
          <w:p>
            <w:r>
              <w:rPr>
                <w:rFonts w:ascii="Times New Roman" w:hAnsi="Times New Roman"/>
                <w:sz w:val="20"/>
              </w:rPr>
              <w:t>36</w:t>
            </w:r>
          </w:p>
        </w:tc>
      </w:tr>
    </w:tbl>
    <w:p>
      <w:pPr>
        <w:spacing w:after="320"/>
      </w:pPr>
    </w:p>
    <w:p>
      <w:pPr>
        <w:keepNext/>
        <w:spacing w:before="360" w:after="240"/>
        <w:jc w:val="center"/>
      </w:pPr>
      <w:r>
        <w:rPr>
          <w:rFonts w:ascii="Times New Roman" w:hAnsi="Times New Roman"/>
          <w:b/>
          <w:color w:val="0F172A"/>
          <w:sz w:val="32"/>
        </w:rPr>
        <w:t>LIST OF FIGURES</w:t>
      </w:r>
    </w:p>
    <w:tbl>
      <w:tblPr>
        <w:tblW w:type="auto" w:w="0"/>
        <w:jc w:val="center"/>
        <w:tblLook w:firstColumn="1" w:firstRow="1" w:lastColumn="0" w:lastRow="0" w:noHBand="0" w:noVBand="1" w:val="04A0"/>
      </w:tblPr>
      <w:tblGrid>
        <w:gridCol w:w="2741"/>
        <w:gridCol w:w="2741"/>
        <w:gridCol w:w="2741"/>
      </w:tblGrid>
      <w:tr>
        <w:tc>
          <w:tcPr>
            <w:tcW w:type="dxa" w:w="1872"/>
            <w:shd w:fill="1F4E79"/>
            <w:tcMar>
              <w:top w:w="80" w:type="dxa"/>
              <w:bottom w:w="80" w:type="dxa"/>
              <w:left w:w="100" w:type="dxa"/>
              <w:right w:w="100" w:type="dxa"/>
            </w:tcMar>
          </w:tcPr>
          <w:p>
            <w:pPr>
              <w:jc w:val="center"/>
            </w:pPr>
            <w:r>
              <w:rPr>
                <w:rFonts w:ascii="Times New Roman" w:hAnsi="Times New Roman"/>
                <w:b/>
                <w:color w:val="FFFFFF"/>
                <w:sz w:val="22"/>
              </w:rPr>
              <w:t>FIGURE NO.</w:t>
            </w:r>
          </w:p>
        </w:tc>
        <w:tc>
          <w:tcPr>
            <w:tcW w:type="dxa" w:w="5904"/>
            <w:shd w:fill="1F4E79"/>
            <w:tcMar>
              <w:top w:w="80" w:type="dxa"/>
              <w:bottom w:w="80" w:type="dxa"/>
              <w:left w:w="100" w:type="dxa"/>
              <w:right w:w="100" w:type="dxa"/>
            </w:tcMar>
          </w:tcPr>
          <w:p>
            <w:pPr>
              <w:jc w:val="center"/>
            </w:pPr>
            <w:r>
              <w:rPr>
                <w:rFonts w:ascii="Times New Roman" w:hAnsi="Times New Roman"/>
                <w:b/>
                <w:color w:val="FFFFFF"/>
                <w:sz w:val="22"/>
              </w:rPr>
              <w:t>TITLE</w:t>
            </w:r>
          </w:p>
        </w:tc>
        <w:tc>
          <w:tcPr>
            <w:tcW w:type="dxa" w:w="1152"/>
            <w:shd w:fill="1F4E79"/>
            <w:tcMar>
              <w:top w:w="80" w:type="dxa"/>
              <w:bottom w:w="80" w:type="dxa"/>
              <w:left w:w="100" w:type="dxa"/>
              <w:right w:w="100" w:type="dxa"/>
            </w:tcMar>
          </w:tcPr>
          <w:p>
            <w:pPr>
              <w:jc w:val="center"/>
            </w:pPr>
            <w:r>
              <w:rPr>
                <w:rFonts w:ascii="Times New Roman" w:hAnsi="Times New Roman"/>
                <w:b/>
                <w:color w:val="FFFFFF"/>
                <w:sz w:val="22"/>
              </w:rPr>
              <w:t>PAGE</w:t>
            </w:r>
          </w:p>
        </w:tc>
      </w:tr>
      <w:tr>
        <w:tc>
          <w:tcPr>
            <w:tcW w:type="dxa" w:w="1872"/>
            <w:tcMar>
              <w:top w:w="40" w:type="dxa"/>
              <w:bottom w:w="40" w:type="dxa"/>
              <w:left w:w="80" w:type="dxa"/>
              <w:right w:w="80" w:type="dxa"/>
            </w:tcMar>
          </w:tcPr>
          <w:p>
            <w:r>
              <w:rPr>
                <w:rFonts w:ascii="Times New Roman" w:hAnsi="Times New Roman"/>
                <w:sz w:val="20"/>
              </w:rPr>
              <w:t>Figure 3.1</w:t>
            </w:r>
          </w:p>
        </w:tc>
        <w:tc>
          <w:tcPr>
            <w:tcW w:type="dxa" w:w="5904"/>
            <w:tcMar>
              <w:top w:w="40" w:type="dxa"/>
              <w:bottom w:w="40" w:type="dxa"/>
              <w:left w:w="80" w:type="dxa"/>
              <w:right w:w="80" w:type="dxa"/>
            </w:tcMar>
          </w:tcPr>
          <w:p>
            <w:r>
              <w:rPr>
                <w:rFonts w:ascii="Times New Roman" w:hAnsi="Times New Roman"/>
                <w:sz w:val="20"/>
              </w:rPr>
              <w:t>Comprehensive End-to-End System Architecture of the Bhu-Overlay Platform</w:t>
            </w:r>
          </w:p>
        </w:tc>
        <w:tc>
          <w:tcPr>
            <w:tcW w:type="dxa" w:w="1152"/>
            <w:tcMar>
              <w:top w:w="40" w:type="dxa"/>
              <w:bottom w:w="40" w:type="dxa"/>
              <w:left w:w="80" w:type="dxa"/>
              <w:right w:w="80" w:type="dxa"/>
            </w:tcMar>
          </w:tcPr>
          <w:p>
            <w:r>
              <w:rPr>
                <w:rFonts w:ascii="Times New Roman" w:hAnsi="Times New Roman"/>
                <w:sz w:val="20"/>
              </w:rPr>
              <w:t>21</w:t>
            </w:r>
          </w:p>
        </w:tc>
      </w:tr>
      <w:tr>
        <w:tc>
          <w:tcPr>
            <w:tcW w:type="dxa" w:w="1872"/>
            <w:tcMar>
              <w:top w:w="40" w:type="dxa"/>
              <w:bottom w:w="40" w:type="dxa"/>
              <w:left w:w="80" w:type="dxa"/>
              <w:right w:w="80" w:type="dxa"/>
            </w:tcMar>
            <w:shd w:fill="F2F5F8"/>
          </w:tcPr>
          <w:p>
            <w:r>
              <w:rPr>
                <w:rFonts w:ascii="Times New Roman" w:hAnsi="Times New Roman"/>
                <w:sz w:val="20"/>
              </w:rPr>
              <w:t>Figure 4.1</w:t>
            </w:r>
          </w:p>
        </w:tc>
        <w:tc>
          <w:tcPr>
            <w:tcW w:type="dxa" w:w="5904"/>
            <w:tcMar>
              <w:top w:w="40" w:type="dxa"/>
              <w:bottom w:w="40" w:type="dxa"/>
              <w:left w:w="80" w:type="dxa"/>
              <w:right w:w="80" w:type="dxa"/>
            </w:tcMar>
            <w:shd w:fill="F2F5F8"/>
          </w:tcPr>
          <w:p>
            <w:r>
              <w:rPr>
                <w:rFonts w:ascii="Times New Roman" w:hAnsi="Times New Roman"/>
                <w:sz w:val="20"/>
              </w:rPr>
              <w:t>Computation Latency Across Partition Scenarios (k = 2 to 8 Shares)</w:t>
            </w:r>
          </w:p>
        </w:tc>
        <w:tc>
          <w:tcPr>
            <w:tcW w:type="dxa" w:w="1152"/>
            <w:tcMar>
              <w:top w:w="40" w:type="dxa"/>
              <w:bottom w:w="40" w:type="dxa"/>
              <w:left w:w="80" w:type="dxa"/>
              <w:right w:w="80" w:type="dxa"/>
            </w:tcMar>
            <w:shd w:fill="F2F5F8"/>
          </w:tcPr>
          <w:p>
            <w:r>
              <w:rPr>
                <w:rFonts w:ascii="Times New Roman" w:hAnsi="Times New Roman"/>
                <w:sz w:val="20"/>
              </w:rPr>
              <w:t>37</w:t>
            </w:r>
          </w:p>
        </w:tc>
      </w:tr>
      <w:tr>
        <w:tc>
          <w:tcPr>
            <w:tcW w:type="dxa" w:w="1872"/>
            <w:tcMar>
              <w:top w:w="40" w:type="dxa"/>
              <w:bottom w:w="40" w:type="dxa"/>
              <w:left w:w="80" w:type="dxa"/>
              <w:right w:w="80" w:type="dxa"/>
            </w:tcMar>
          </w:tcPr>
          <w:p>
            <w:r>
              <w:rPr>
                <w:rFonts w:ascii="Times New Roman" w:hAnsi="Times New Roman"/>
                <w:sz w:val="20"/>
              </w:rPr>
              <w:t>Figure 4.2</w:t>
            </w:r>
          </w:p>
        </w:tc>
        <w:tc>
          <w:tcPr>
            <w:tcW w:type="dxa" w:w="5904"/>
            <w:tcMar>
              <w:top w:w="40" w:type="dxa"/>
              <w:bottom w:w="40" w:type="dxa"/>
              <w:left w:w="80" w:type="dxa"/>
              <w:right w:w="80" w:type="dxa"/>
            </w:tcMar>
          </w:tcPr>
          <w:p>
            <w:r>
              <w:rPr>
                <w:rFonts w:ascii="Times New Roman" w:hAnsi="Times New Roman"/>
                <w:sz w:val="20"/>
              </w:rPr>
              <w:t>Area Conservation Error vs Boundary Polygon Vertex Complexity (N = 6 to 43)</w:t>
            </w:r>
          </w:p>
        </w:tc>
        <w:tc>
          <w:tcPr>
            <w:tcW w:type="dxa" w:w="1152"/>
            <w:tcMar>
              <w:top w:w="40" w:type="dxa"/>
              <w:bottom w:w="40" w:type="dxa"/>
              <w:left w:w="80" w:type="dxa"/>
              <w:right w:w="80" w:type="dxa"/>
            </w:tcMar>
          </w:tcPr>
          <w:p>
            <w:r>
              <w:rPr>
                <w:rFonts w:ascii="Times New Roman" w:hAnsi="Times New Roman"/>
                <w:sz w:val="20"/>
              </w:rPr>
              <w:t>38</w:t>
            </w:r>
          </w:p>
        </w:tc>
      </w:tr>
      <w:tr>
        <w:tc>
          <w:tcPr>
            <w:tcW w:type="dxa" w:w="1872"/>
            <w:tcMar>
              <w:top w:w="40" w:type="dxa"/>
              <w:bottom w:w="40" w:type="dxa"/>
              <w:left w:w="80" w:type="dxa"/>
              <w:right w:w="80" w:type="dxa"/>
            </w:tcMar>
            <w:shd w:fill="F2F5F8"/>
          </w:tcPr>
          <w:p>
            <w:r>
              <w:rPr>
                <w:rFonts w:ascii="Times New Roman" w:hAnsi="Times New Roman"/>
                <w:sz w:val="20"/>
              </w:rPr>
              <w:t>Figure 4.3</w:t>
            </w:r>
          </w:p>
        </w:tc>
        <w:tc>
          <w:tcPr>
            <w:tcW w:type="dxa" w:w="5904"/>
            <w:tcMar>
              <w:top w:w="40" w:type="dxa"/>
              <w:bottom w:w="40" w:type="dxa"/>
              <w:left w:w="80" w:type="dxa"/>
              <w:right w:w="80" w:type="dxa"/>
            </w:tcMar>
            <w:shd w:fill="F2F5F8"/>
          </w:tcPr>
          <w:p>
            <w:r>
              <w:rPr>
                <w:rFonts w:ascii="Times New Roman" w:hAnsi="Times New Roman"/>
                <w:sz w:val="20"/>
              </w:rPr>
              <w:t>Polsby-Popper Compactness Score Across Partition Strategies</w:t>
            </w:r>
          </w:p>
        </w:tc>
        <w:tc>
          <w:tcPr>
            <w:tcW w:type="dxa" w:w="1152"/>
            <w:tcMar>
              <w:top w:w="40" w:type="dxa"/>
              <w:bottom w:w="40" w:type="dxa"/>
              <w:left w:w="80" w:type="dxa"/>
              <w:right w:w="80" w:type="dxa"/>
            </w:tcMar>
            <w:shd w:fill="F2F5F8"/>
          </w:tcPr>
          <w:p>
            <w:r>
              <w:rPr>
                <w:rFonts w:ascii="Times New Roman" w:hAnsi="Times New Roman"/>
                <w:sz w:val="20"/>
              </w:rPr>
              <w:t>39</w:t>
            </w:r>
          </w:p>
        </w:tc>
      </w:tr>
      <w:tr>
        <w:tc>
          <w:tcPr>
            <w:tcW w:type="dxa" w:w="1872"/>
            <w:tcMar>
              <w:top w:w="40" w:type="dxa"/>
              <w:bottom w:w="40" w:type="dxa"/>
              <w:left w:w="80" w:type="dxa"/>
              <w:right w:w="80" w:type="dxa"/>
            </w:tcMar>
          </w:tcPr>
          <w:p>
            <w:r>
              <w:rPr>
                <w:rFonts w:ascii="Times New Roman" w:hAnsi="Times New Roman"/>
                <w:sz w:val="20"/>
              </w:rPr>
              <w:t>Figure 4.4</w:t>
            </w:r>
          </w:p>
        </w:tc>
        <w:tc>
          <w:tcPr>
            <w:tcW w:type="dxa" w:w="5904"/>
            <w:tcMar>
              <w:top w:w="40" w:type="dxa"/>
              <w:bottom w:w="40" w:type="dxa"/>
              <w:left w:w="80" w:type="dxa"/>
              <w:right w:w="80" w:type="dxa"/>
            </w:tcMar>
          </w:tcPr>
          <w:p>
            <w:r>
              <w:rPr>
                <w:rFonts w:ascii="Times New Roman" w:hAnsi="Times New Roman"/>
                <w:sz w:val="20"/>
              </w:rPr>
              <w:t>Public Road Infrastructure Access Parity vs Survey Tolerance Buffer Distance</w:t>
            </w:r>
          </w:p>
        </w:tc>
        <w:tc>
          <w:tcPr>
            <w:tcW w:type="dxa" w:w="1152"/>
            <w:tcMar>
              <w:top w:w="40" w:type="dxa"/>
              <w:bottom w:w="40" w:type="dxa"/>
              <w:left w:w="80" w:type="dxa"/>
              <w:right w:w="80" w:type="dxa"/>
            </w:tcMar>
          </w:tcPr>
          <w:p>
            <w:r>
              <w:rPr>
                <w:rFonts w:ascii="Times New Roman" w:hAnsi="Times New Roman"/>
                <w:sz w:val="20"/>
              </w:rPr>
              <w:t>40</w:t>
            </w:r>
          </w:p>
        </w:tc>
      </w:tr>
      <w:tr>
        <w:tc>
          <w:tcPr>
            <w:tcW w:type="dxa" w:w="1872"/>
            <w:tcMar>
              <w:top w:w="40" w:type="dxa"/>
              <w:bottom w:w="40" w:type="dxa"/>
              <w:left w:w="80" w:type="dxa"/>
              <w:right w:w="80" w:type="dxa"/>
            </w:tcMar>
            <w:shd w:fill="F2F5F8"/>
          </w:tcPr>
          <w:p>
            <w:r>
              <w:rPr>
                <w:rFonts w:ascii="Times New Roman" w:hAnsi="Times New Roman"/>
                <w:sz w:val="20"/>
              </w:rPr>
              <w:t>Figure 4.5</w:t>
            </w:r>
          </w:p>
        </w:tc>
        <w:tc>
          <w:tcPr>
            <w:tcW w:type="dxa" w:w="5904"/>
            <w:tcMar>
              <w:top w:w="40" w:type="dxa"/>
              <w:bottom w:w="40" w:type="dxa"/>
              <w:left w:w="80" w:type="dxa"/>
              <w:right w:w="80" w:type="dxa"/>
            </w:tcMar>
            <w:shd w:fill="F2F5F8"/>
          </w:tcPr>
          <w:p>
            <w:r>
              <w:rPr>
                <w:rFonts w:ascii="Times New Roman" w:hAnsi="Times New Roman"/>
                <w:sz w:val="20"/>
              </w:rPr>
              <w:t>Cadastral Boundary Demarcation and Real-Time Node Segment Measurements on Plot 1623</w:t>
            </w:r>
          </w:p>
        </w:tc>
        <w:tc>
          <w:tcPr>
            <w:tcW w:type="dxa" w:w="1152"/>
            <w:tcMar>
              <w:top w:w="40" w:type="dxa"/>
              <w:bottom w:w="40" w:type="dxa"/>
              <w:left w:w="80" w:type="dxa"/>
              <w:right w:w="80" w:type="dxa"/>
            </w:tcMar>
            <w:shd w:fill="F2F5F8"/>
          </w:tcPr>
          <w:p>
            <w:r>
              <w:rPr>
                <w:rFonts w:ascii="Times New Roman" w:hAnsi="Times New Roman"/>
                <w:sz w:val="20"/>
              </w:rPr>
              <w:t>41</w:t>
            </w:r>
          </w:p>
        </w:tc>
      </w:tr>
      <w:tr>
        <w:tc>
          <w:tcPr>
            <w:tcW w:type="dxa" w:w="1872"/>
            <w:tcMar>
              <w:top w:w="40" w:type="dxa"/>
              <w:bottom w:w="40" w:type="dxa"/>
              <w:left w:w="80" w:type="dxa"/>
              <w:right w:w="80" w:type="dxa"/>
            </w:tcMar>
          </w:tcPr>
          <w:p>
            <w:r>
              <w:rPr>
                <w:rFonts w:ascii="Times New Roman" w:hAnsi="Times New Roman"/>
                <w:sz w:val="20"/>
              </w:rPr>
              <w:t>Figure 4.6</w:t>
            </w:r>
          </w:p>
        </w:tc>
        <w:tc>
          <w:tcPr>
            <w:tcW w:type="dxa" w:w="5904"/>
            <w:tcMar>
              <w:top w:w="40" w:type="dxa"/>
              <w:bottom w:w="40" w:type="dxa"/>
              <w:left w:w="80" w:type="dxa"/>
              <w:right w:w="80" w:type="dxa"/>
            </w:tcMar>
          </w:tcPr>
          <w:p>
            <w:r>
              <w:rPr>
                <w:rFonts w:ascii="Times New Roman" w:hAnsi="Times New Roman"/>
                <w:sz w:val="20"/>
              </w:rPr>
              <w:t>AI-Assisted Kurra Land Bisection of Plot 1623 into Two Equal 50.0% Shares</w:t>
            </w:r>
          </w:p>
        </w:tc>
        <w:tc>
          <w:tcPr>
            <w:tcW w:type="dxa" w:w="1152"/>
            <w:tcMar>
              <w:top w:w="40" w:type="dxa"/>
              <w:bottom w:w="40" w:type="dxa"/>
              <w:left w:w="80" w:type="dxa"/>
              <w:right w:w="80" w:type="dxa"/>
            </w:tcMar>
          </w:tcPr>
          <w:p>
            <w:r>
              <w:rPr>
                <w:rFonts w:ascii="Times New Roman" w:hAnsi="Times New Roman"/>
                <w:sz w:val="20"/>
              </w:rPr>
              <w:t>41</w:t>
            </w:r>
          </w:p>
        </w:tc>
      </w:tr>
      <w:tr>
        <w:tc>
          <w:tcPr>
            <w:tcW w:type="dxa" w:w="1872"/>
            <w:tcMar>
              <w:top w:w="40" w:type="dxa"/>
              <w:bottom w:w="40" w:type="dxa"/>
              <w:left w:w="80" w:type="dxa"/>
              <w:right w:w="80" w:type="dxa"/>
            </w:tcMar>
            <w:shd w:fill="F2F5F8"/>
          </w:tcPr>
          <w:p>
            <w:r>
              <w:rPr>
                <w:rFonts w:ascii="Times New Roman" w:hAnsi="Times New Roman"/>
                <w:sz w:val="20"/>
              </w:rPr>
              <w:t>Figure 4.7</w:t>
            </w:r>
          </w:p>
        </w:tc>
        <w:tc>
          <w:tcPr>
            <w:tcW w:type="dxa" w:w="5904"/>
            <w:tcMar>
              <w:top w:w="40" w:type="dxa"/>
              <w:bottom w:w="40" w:type="dxa"/>
              <w:left w:w="80" w:type="dxa"/>
              <w:right w:w="80" w:type="dxa"/>
            </w:tcMar>
            <w:shd w:fill="F2F5F8"/>
          </w:tcPr>
          <w:p>
            <w:r>
              <w:rPr>
                <w:rFonts w:ascii="Times New Roman" w:hAnsi="Times New Roman"/>
                <w:sz w:val="20"/>
              </w:rPr>
              <w:t>Custom Ternary Land Partition (50%, 25%, 25%) on Plot 1623</w:t>
            </w:r>
          </w:p>
        </w:tc>
        <w:tc>
          <w:tcPr>
            <w:tcW w:type="dxa" w:w="1152"/>
            <w:tcMar>
              <w:top w:w="40" w:type="dxa"/>
              <w:bottom w:w="40" w:type="dxa"/>
              <w:left w:w="80" w:type="dxa"/>
              <w:right w:w="80" w:type="dxa"/>
            </w:tcMar>
            <w:shd w:fill="F2F5F8"/>
          </w:tcPr>
          <w:p>
            <w:r>
              <w:rPr>
                <w:rFonts w:ascii="Times New Roman" w:hAnsi="Times New Roman"/>
                <w:sz w:val="20"/>
              </w:rPr>
              <w:t>42</w:t>
            </w:r>
          </w:p>
        </w:tc>
      </w:tr>
      <w:tr>
        <w:tc>
          <w:tcPr>
            <w:tcW w:type="dxa" w:w="1872"/>
            <w:tcMar>
              <w:top w:w="40" w:type="dxa"/>
              <w:bottom w:w="40" w:type="dxa"/>
              <w:left w:w="80" w:type="dxa"/>
              <w:right w:w="80" w:type="dxa"/>
            </w:tcMar>
          </w:tcPr>
          <w:p>
            <w:r>
              <w:rPr>
                <w:rFonts w:ascii="Times New Roman" w:hAnsi="Times New Roman"/>
                <w:sz w:val="20"/>
              </w:rPr>
              <w:t>Figure 4.8</w:t>
            </w:r>
          </w:p>
        </w:tc>
        <w:tc>
          <w:tcPr>
            <w:tcW w:type="dxa" w:w="5904"/>
            <w:tcMar>
              <w:top w:w="40" w:type="dxa"/>
              <w:bottom w:w="40" w:type="dxa"/>
              <w:left w:w="80" w:type="dxa"/>
              <w:right w:w="80" w:type="dxa"/>
            </w:tcMar>
          </w:tcPr>
          <w:p>
            <w:r>
              <w:rPr>
                <w:rFonts w:ascii="Times New Roman" w:hAnsi="Times New Roman"/>
                <w:sz w:val="20"/>
              </w:rPr>
              <w:t>Official Vector Kurra Survey PDF Report Generated Automatically for Plot 1623</w:t>
            </w:r>
          </w:p>
        </w:tc>
        <w:tc>
          <w:tcPr>
            <w:tcW w:type="dxa" w:w="1152"/>
            <w:tcMar>
              <w:top w:w="40" w:type="dxa"/>
              <w:bottom w:w="40" w:type="dxa"/>
              <w:left w:w="80" w:type="dxa"/>
              <w:right w:w="80" w:type="dxa"/>
            </w:tcMar>
          </w:tcPr>
          <w:p>
            <w:r>
              <w:rPr>
                <w:rFonts w:ascii="Times New Roman" w:hAnsi="Times New Roman"/>
                <w:sz w:val="20"/>
              </w:rPr>
              <w:t>42</w:t>
            </w:r>
          </w:p>
        </w:tc>
      </w:tr>
    </w:tbl>
    <w:p>
      <w:r>
        <w:br w:type="page"/>
      </w:r>
    </w:p>
    <w:p>
      <w:pPr>
        <w:keepNext/>
        <w:spacing w:before="360" w:after="240"/>
        <w:jc w:val="center"/>
      </w:pPr>
      <w:r>
        <w:rPr>
          <w:rFonts w:ascii="Times New Roman" w:hAnsi="Times New Roman"/>
          <w:b/>
          <w:color w:val="0F172A"/>
          <w:sz w:val="32"/>
        </w:rPr>
        <w:t>ABSTRACT</w:t>
      </w:r>
    </w:p>
    <w:p>
      <w:pPr>
        <w:spacing w:before="0" w:after="120" w:line="360" w:lineRule="auto"/>
        <w:jc w:val="both"/>
      </w:pPr>
      <w:r>
        <w:rPr>
          <w:rFonts w:ascii="Times New Roman" w:hAnsi="Times New Roman"/>
          <w:sz w:val="24"/>
        </w:rPr>
        <w:t>Agricultural land fragmentation and inheritance partition disputes represent a debilitating socio-legal crisis across developing agrarian economies. In India, the statutory sub-division of agricultural holdings—termed Kurra partition under State Revenue Codes—relies almost universally on archaic, manual field operations conducted by revenue surveyors (Ameens) utilizing physical metric brass chains (jaribs) and subjective ocular sketching on cloth sheets. This manual paradigm suffers from structural failure modes: interior tracts are routinely landlocked without access to public thoroughfares, non-convex boundary splits yield irregular sliver shapes that defy statutory compactness thresholds, and immovable farm improvements (such as tube-wells and mature fruit trees) are disproportionately allocated, triggering appellate civil litigation that clogs Indian revenue courts for decades.</w:t>
      </w:r>
    </w:p>
    <w:p>
      <w:pPr>
        <w:spacing w:before="0" w:after="120" w:line="360" w:lineRule="auto"/>
        <w:jc w:val="both"/>
      </w:pPr>
      <w:r>
        <w:rPr>
          <w:rFonts w:ascii="Times New Roman" w:hAnsi="Times New Roman"/>
          <w:sz w:val="24"/>
        </w:rPr>
        <w:t>To resolve these systemic bottlenecks, this capstone project designs, develops, and rigorously validates Bhu-Overlay, an AI-augmented, full-stack cadastral Geographic Information System (GIS) and statutory land partition platform engineered for rural land administration. The platform establishes an asynchronous reverse proxy layer that integrates official government Web Map Services (Bihar BhuNaksha WMS) and ArcGIS vector layers with high-resolution satellite imagery, reinforced by an embedded, offline-first SQLite spatial database that caches parcel geometries to guarantee high-performance execution in disconnected village environments.</w:t>
      </w:r>
    </w:p>
    <w:p>
      <w:pPr>
        <w:spacing w:before="0" w:after="120" w:line="360" w:lineRule="auto"/>
        <w:jc w:val="both"/>
      </w:pPr>
      <w:r>
        <w:rPr>
          <w:rFonts w:ascii="Times New Roman" w:hAnsi="Times New Roman"/>
          <w:sz w:val="24"/>
        </w:rPr>
        <w:t>The core computational geometry engine, implemented using Shapely and GEOS primitives, introduces an automated zero-width buffer repair pipeline to normalize legacy polygon self-intersections, followed by a bounded binary root-finding swept-plane bisection algorithm. The mathematical engine executes arbitrary multi-sharer partitions (k in [2, 8]) in sub-50 milliseconds while enforcing strict mathematical area conservation with an empirical error below 0.005%, vastly outperforming the statutory 0.5% survey tolerance limit. Candidate partition topologies are quantitatively evaluated across three objective indices: Polsby-Popper circular compactness, public road corridor frontage length, and micro-asset disparity.</w:t>
      </w:r>
    </w:p>
    <w:p>
      <w:pPr>
        <w:spacing w:before="0" w:after="120" w:line="360" w:lineRule="auto"/>
        <w:jc w:val="both"/>
      </w:pPr>
      <w:r>
        <w:rPr>
          <w:rFonts w:ascii="Times New Roman" w:hAnsi="Times New Roman"/>
          <w:sz w:val="24"/>
        </w:rPr>
        <w:t>To bridge spatial computing with formal judicial enforcement, Bhu-Overlay integrates Google Gemini 2.5 Flash as an automated legal reasoning agent. The model inspects quantitative feature matrices against codified statutory mandates—specifically Sections 116–117 and Rule 109 of the Revenue Code—to generate authoritative, auditable partition recommendations, supplemented by a deterministic weighted utility fallback function for offline resilience. Finally, the approved partition plan is automatically exported into a tamper-evident, court-ready Vector PDF Kurra survey report complete with native vector drawings, boundary segment tables, and statutory decree text. Comprehensive empirical benchmarks across 70 official cadastral sheets from Bihar demonstrate 100% test pass status, sub-2.4 second complete cycle latency, and complete elimination of subjective human bias in land arbitration.</w:t>
      </w:r>
    </w:p>
    <w:p>
      <w:pPr>
        <w:spacing w:before="0" w:after="240" w:line="360" w:lineRule="auto"/>
        <w:jc w:val="both"/>
      </w:pPr>
      <w:r>
        <w:rPr>
          <w:rFonts w:ascii="Times New Roman" w:hAnsi="Times New Roman"/>
          <w:b/>
          <w:sz w:val="24"/>
        </w:rPr>
        <w:t xml:space="preserve">Keywords: </w:t>
      </w:r>
      <w:r>
        <w:rPr>
          <w:rFonts w:ascii="Times New Roman" w:hAnsi="Times New Roman"/>
          <w:sz w:val="24"/>
        </w:rPr>
        <w:t>Keywords: Cadastral GIS, Land Partitioning (Kurra), BhuNaksha, Computational Geometry, Shapely, Statutory Legal Compliance, Large Language Models, Revenue Code Administration, Polsby-Popper Compactness, Digital Land Records Modernization Programme (DILRMP).</w:t>
      </w:r>
    </w:p>
    <w:p>
      <w:r>
        <w:br w:type="page"/>
      </w:r>
    </w:p>
    <w:p>
      <w:pPr>
        <w:keepNext/>
        <w:spacing w:before="360" w:after="240"/>
        <w:jc w:val="center"/>
      </w:pPr>
      <w:r>
        <w:rPr>
          <w:rFonts w:ascii="Times New Roman" w:hAnsi="Times New Roman"/>
          <w:b/>
          <w:color w:val="0F172A"/>
          <w:sz w:val="32"/>
        </w:rPr>
        <w:t>CHAPTER 1</w:t>
        <w:br/>
        <w:t>INTRODUCTION</w:t>
      </w:r>
    </w:p>
    <w:p>
      <w:pPr>
        <w:keepNext/>
        <w:spacing w:before="280" w:after="120"/>
        <w:jc w:val="left"/>
      </w:pPr>
      <w:r>
        <w:rPr>
          <w:rFonts w:ascii="Times New Roman" w:hAnsi="Times New Roman"/>
          <w:b/>
          <w:color w:val="1E3A8A"/>
          <w:sz w:val="28"/>
        </w:rPr>
        <w:t>1.1 Problem Definition &amp; Context of Agricultural Fragmentation</w:t>
      </w:r>
    </w:p>
    <w:p>
      <w:pPr>
        <w:spacing w:before="0" w:after="120" w:line="360" w:lineRule="auto"/>
        <w:jc w:val="both"/>
      </w:pPr>
      <w:r>
        <w:rPr>
          <w:rFonts w:ascii="Times New Roman" w:hAnsi="Times New Roman"/>
          <w:sz w:val="24"/>
        </w:rPr>
        <w:t>Secure property boundaries, transparent land tenure, and equitable land division are fundamental prerequisites for agricultural productivity, institutional credit mobilization, and sustainable rural economic growth. In developing agrarian societies—most prominently across rural India—land is not merely a financial asset; it represents the primary source of livelihood, family identity, and intergenerational wealth. However, land records across the subcontinent have historically suffered from severe structural fragmentation resulting from generational inheritance, continuous informal sub-divisions, unrecorded verbal family arrangements, and reliance on imprecise historical paper cartography known locally as khasra (register of holdings) and shajra (village cadastral map sheets).</w:t>
      </w:r>
    </w:p>
    <w:p>
      <w:pPr>
        <w:spacing w:before="0" w:after="120" w:line="360" w:lineRule="auto"/>
        <w:jc w:val="both"/>
      </w:pPr>
      <w:r>
        <w:rPr>
          <w:rFonts w:ascii="Times New Roman" w:hAnsi="Times New Roman"/>
          <w:sz w:val="24"/>
        </w:rPr>
        <w:t>Under the codified provisions of State Revenue legislation (such as Sections 116 and 117 of the Uttar Pradesh and Bihar Revenue Codes), the primary statutory legal mechanism for resolving co-tenancy succession is the formal partition of agricultural holdings, termed Kurra partition. A Kurra represents the physical allotment and spatial demarcation of distinct, independent land parcels to individual co-sharers strictly proportional to their lawful inheritance fractions. Despite the statutory importance of this judicial process, the operational realization of Kurra partitioning in customary field practice has remained virtually unchanged since colonial revenue settlements of the early twentieth century.</w:t>
      </w:r>
    </w:p>
    <w:p>
      <w:pPr>
        <w:keepNext/>
        <w:spacing w:before="280" w:after="120"/>
        <w:jc w:val="left"/>
      </w:pPr>
      <w:r>
        <w:rPr>
          <w:rFonts w:ascii="Times New Roman" w:hAnsi="Times New Roman"/>
          <w:b/>
          <w:color w:val="1E3A8A"/>
          <w:sz w:val="28"/>
        </w:rPr>
        <w:t>1.2 Societal &amp; Economic Impact of Inheritance Land Disputes</w:t>
      </w:r>
    </w:p>
    <w:p>
      <w:pPr>
        <w:spacing w:before="0" w:after="120" w:line="360" w:lineRule="auto"/>
        <w:jc w:val="both"/>
      </w:pPr>
      <w:r>
        <w:rPr>
          <w:rFonts w:ascii="Times New Roman" w:hAnsi="Times New Roman"/>
          <w:sz w:val="24"/>
        </w:rPr>
        <w:t>The societal and macroeconomic repercussions of informal, inaccurate land partitioning are catastrophic:</w:t>
      </w:r>
    </w:p>
    <w:p>
      <w:pPr>
        <w:pStyle w:val="ListBullet"/>
        <w:spacing w:before="40" w:after="80" w:line="312" w:lineRule="auto"/>
        <w:jc w:val="both"/>
      </w:pPr>
      <w:r>
        <w:rPr>
          <w:rFonts w:ascii="Times New Roman" w:hAnsi="Times New Roman"/>
          <w:b/>
          <w:sz w:val="24"/>
        </w:rPr>
        <w:t xml:space="preserve">Judicial Congestion: </w:t>
      </w:r>
      <w:r>
        <w:rPr>
          <w:rFonts w:ascii="Times New Roman" w:hAnsi="Times New Roman"/>
          <w:sz w:val="24"/>
        </w:rPr>
        <w:t>According to landmark studies by legal policy institutions (such as the DAKSH Rule of Law Project and World Bank Land Governance assessments), land and property-related litigations account for approximately 66% of all pending civil cases in Indian courts. An average agricultural partition suit consumes between 15 to 25 years across revenue courts, sub-divisional magistrates, district collectors, and state appellate boards, locking productive capital in endless litigation.</w:t>
      </w:r>
    </w:p>
    <w:p>
      <w:pPr>
        <w:pStyle w:val="ListBullet"/>
        <w:spacing w:before="40" w:after="80" w:line="312" w:lineRule="auto"/>
        <w:jc w:val="both"/>
      </w:pPr>
      <w:r>
        <w:rPr>
          <w:rFonts w:ascii="Times New Roman" w:hAnsi="Times New Roman"/>
          <w:b/>
          <w:sz w:val="24"/>
        </w:rPr>
        <w:t xml:space="preserve">Agricultural Stagnation and Uncultivable Land: </w:t>
      </w:r>
      <w:r>
        <w:rPr>
          <w:rFonts w:ascii="Times New Roman" w:hAnsi="Times New Roman"/>
          <w:sz w:val="24"/>
        </w:rPr>
        <w:t>When parcels are partitioned without scientific spatial optimization, co-heirs routinely receive landlocked interior plots lacking direct physical access to public village thoroughfares or irrigation channels. These landlocked tracts become economically unviable, preventing tractor movement, hindering harvest transport, and frequently being abandoned as uncultivated wasteland.</w:t>
      </w:r>
    </w:p>
    <w:p>
      <w:pPr>
        <w:pStyle w:val="ListBullet"/>
        <w:spacing w:before="40" w:after="80" w:line="312" w:lineRule="auto"/>
        <w:jc w:val="both"/>
      </w:pPr>
      <w:r>
        <w:rPr>
          <w:rFonts w:ascii="Times New Roman" w:hAnsi="Times New Roman"/>
          <w:b/>
          <w:sz w:val="24"/>
        </w:rPr>
        <w:t xml:space="preserve">Denial of Institutional Credit &amp; Subsidies: </w:t>
      </w:r>
      <w:r>
        <w:rPr>
          <w:rFonts w:ascii="Times New Roman" w:hAnsi="Times New Roman"/>
          <w:sz w:val="24"/>
        </w:rPr>
        <w:t>Without a formally surveyed and legally decreed Kurra partition, individual co-owners cannot obtain mutated land title certificates (Khatiyan). Consequently, smallholder farmers are categorically barred from accessing institutional agricultural credit, Kisan Credit Cards (KCC), state crop insurance schemes (PM Fasal Bima Yojana), and direct benefit transfers, pushing rural families into the clutches of usurious informal moneylenders.</w:t>
      </w:r>
    </w:p>
    <w:p>
      <w:pPr>
        <w:pStyle w:val="ListBullet"/>
        <w:spacing w:before="40" w:after="80" w:line="312" w:lineRule="auto"/>
        <w:jc w:val="both"/>
      </w:pPr>
      <w:r>
        <w:rPr>
          <w:rFonts w:ascii="Times New Roman" w:hAnsi="Times New Roman"/>
          <w:b/>
          <w:sz w:val="24"/>
        </w:rPr>
        <w:t xml:space="preserve">Violent Communal and Inter-Family Conflicts: </w:t>
      </w:r>
      <w:r>
        <w:rPr>
          <w:rFonts w:ascii="Times New Roman" w:hAnsi="Times New Roman"/>
          <w:sz w:val="24"/>
        </w:rPr>
        <w:t>Boundary ambiguities and perceived inequities in road frontage or water access frequently escalate into intense fratricidal tensions, violent skirmishes, and generational feuds, destroying the social cohesion of rural village communities.</w:t>
      </w:r>
    </w:p>
    <w:p>
      <w:pPr>
        <w:keepNext/>
        <w:spacing w:before="280" w:after="120"/>
        <w:jc w:val="left"/>
      </w:pPr>
      <w:r>
        <w:rPr>
          <w:rFonts w:ascii="Times New Roman" w:hAnsi="Times New Roman"/>
          <w:b/>
          <w:color w:val="1E3A8A"/>
          <w:sz w:val="28"/>
        </w:rPr>
        <w:t>1.3 Urgency and Necessity of Automated Cadastral Solutions</w:t>
      </w:r>
    </w:p>
    <w:p>
      <w:pPr>
        <w:spacing w:before="0" w:after="120" w:line="360" w:lineRule="auto"/>
        <w:jc w:val="both"/>
      </w:pPr>
      <w:r>
        <w:rPr>
          <w:rFonts w:ascii="Times New Roman" w:hAnsi="Times New Roman"/>
          <w:sz w:val="24"/>
        </w:rPr>
        <w:t>Although the Government of India launched the ambitious Digital India Land Records Modernization Programme (DILRMP) to digitize revenue registers and vector cadastral boundaries through state web portals like BhuNaksha, an enormous technological gap persists between static digital mapping and dynamic, statutory dispute arbitration. Existing portals function merely as passive digital viewing archives. When disputing co-heirs appear before a revenue court seeking partition, the revenue officer has zero access to computational tools capable of automatically calculating fair, legally compliant geometric partitions. Consequently, revenue courts remain entirely dependent on manual, ad-hoc field reports from village revenue surveyors (Ameens). There is an urgent, compelling societal necessity for an automated, mathematically verifiable, and AI-assisted land partition platform that eliminates subjective human bias, guarantees absolute mathematical precision, and produces instant, legally binding partition surveys.</w:t>
      </w:r>
    </w:p>
    <w:p>
      <w:pPr>
        <w:keepNext/>
        <w:spacing w:before="280" w:after="120"/>
        <w:jc w:val="left"/>
      </w:pPr>
      <w:r>
        <w:rPr>
          <w:rFonts w:ascii="Times New Roman" w:hAnsi="Times New Roman"/>
          <w:b/>
          <w:color w:val="1E3A8A"/>
          <w:sz w:val="28"/>
        </w:rPr>
        <w:t>1.4 Detailed Problem Analysis of Manual Chain Surveys</w:t>
      </w:r>
    </w:p>
    <w:p>
      <w:pPr>
        <w:spacing w:before="0" w:after="120" w:line="360" w:lineRule="auto"/>
        <w:jc w:val="both"/>
      </w:pPr>
      <w:r>
        <w:rPr>
          <w:rFonts w:ascii="Times New Roman" w:hAnsi="Times New Roman"/>
          <w:sz w:val="24"/>
        </w:rPr>
        <w:t>A rigorous operational analysis of customary manual Kurra surveys reveals three chronic, structural failure modes that inevitably trigger litigation:</w:t>
      </w:r>
    </w:p>
    <w:p>
      <w:pPr>
        <w:pStyle w:val="ListBullet"/>
        <w:spacing w:before="40" w:after="80" w:line="312" w:lineRule="auto"/>
        <w:jc w:val="both"/>
      </w:pPr>
      <w:r>
        <w:rPr>
          <w:rFonts w:ascii="Times New Roman" w:hAnsi="Times New Roman"/>
          <w:b/>
          <w:sz w:val="24"/>
        </w:rPr>
        <w:t xml:space="preserve">1. Inequitable Infrastructure Corridor Allocation: </w:t>
      </w:r>
      <w:r>
        <w:rPr>
          <w:rFonts w:ascii="Times New Roman" w:hAnsi="Times New Roman"/>
          <w:sz w:val="24"/>
        </w:rPr>
        <w:t>Human surveyors partition parcels primarily based on boundary line measurements, without computing spatial buffers relative to external public roads or canal networks. Consequently, the co-sharer receiving the frontage tract captures 100% of the commercial road value, while interior co-sharers receive completely landlocked parcels, directly violating statutory mandates.</w:t>
      </w:r>
    </w:p>
    <w:p>
      <w:pPr>
        <w:pStyle w:val="ListBullet"/>
        <w:spacing w:before="40" w:after="80" w:line="312" w:lineRule="auto"/>
        <w:jc w:val="both"/>
      </w:pPr>
      <w:r>
        <w:rPr>
          <w:rFonts w:ascii="Times New Roman" w:hAnsi="Times New Roman"/>
          <w:b/>
          <w:sz w:val="24"/>
        </w:rPr>
        <w:t xml:space="preserve">2. Boundary Tortuosity and Acute Sliver Polygons: </w:t>
      </w:r>
      <w:r>
        <w:rPr>
          <w:rFonts w:ascii="Times New Roman" w:hAnsi="Times New Roman"/>
          <w:sz w:val="24"/>
        </w:rPr>
        <w:t>Real-world agricultural parcels are rarely simple rectangles; they are highly irregular, non-convex polygons with between 6 and 43 reflex boundary vertices. When an Ameen attempts to manually divide an irregular shape into arbitrary percentage shares using a straight brass chain (jarib), the resulting sub-parcels frequently exhibit acute, needle-like slivers and disproportionate perimeter-to-area ratios, rendering mechanized farming impossible and violating statutory compactness rules.</w:t>
      </w:r>
    </w:p>
    <w:p>
      <w:pPr>
        <w:pStyle w:val="ListBullet"/>
        <w:spacing w:before="40" w:after="80" w:line="312" w:lineRule="auto"/>
        <w:jc w:val="both"/>
      </w:pPr>
      <w:r>
        <w:rPr>
          <w:rFonts w:ascii="Times New Roman" w:hAnsi="Times New Roman"/>
          <w:b/>
          <w:sz w:val="24"/>
        </w:rPr>
        <w:t xml:space="preserve">3. Sub-Surface and Micro-Asset Monopolization: </w:t>
      </w:r>
      <w:r>
        <w:rPr>
          <w:rFonts w:ascii="Times New Roman" w:hAnsi="Times New Roman"/>
          <w:sz w:val="24"/>
        </w:rPr>
        <w:t>Agricultural parcels frequently contain high-value immovable improvements, including mature fruit-bearing trees, shared tube-wells, borewells, and private irrigation field channels. Manual boundary cuts routinely bisect these physical assets or award all assets to a single favored party, precipitating immediate court injunctions and protracted appeals.</w:t>
      </w:r>
    </w:p>
    <w:p>
      <w:pPr>
        <w:keepNext/>
        <w:spacing w:before="280" w:after="120"/>
        <w:jc w:val="left"/>
      </w:pPr>
      <w:r>
        <w:rPr>
          <w:rFonts w:ascii="Times New Roman" w:hAnsi="Times New Roman"/>
          <w:b/>
          <w:color w:val="1E3A8A"/>
          <w:sz w:val="28"/>
        </w:rPr>
        <w:t>1.5 Review of Existing Solutions and Operational Deficiencies</w:t>
      </w:r>
    </w:p>
    <w:p>
      <w:pPr>
        <w:spacing w:before="0" w:after="120" w:line="360" w:lineRule="auto"/>
        <w:jc w:val="both"/>
      </w:pPr>
      <w:r>
        <w:rPr>
          <w:rFonts w:ascii="Times New Roman" w:hAnsi="Times New Roman"/>
          <w:sz w:val="24"/>
        </w:rPr>
        <w:t>Prior approaches to computerized land administration exhibit fatal operational limitations:</w:t>
      </w:r>
    </w:p>
    <w:p>
      <w:pPr>
        <w:pStyle w:val="ListBullet"/>
        <w:spacing w:before="40" w:after="80" w:line="312" w:lineRule="auto"/>
        <w:jc w:val="both"/>
      </w:pPr>
      <w:r>
        <w:rPr>
          <w:rFonts w:ascii="Times New Roman" w:hAnsi="Times New Roman"/>
          <w:b/>
          <w:sz w:val="24"/>
        </w:rPr>
        <w:t xml:space="preserve">Centralized BhuNaksha Portals: </w:t>
      </w:r>
      <w:r>
        <w:rPr>
          <w:rFonts w:ascii="Times New Roman" w:hAnsi="Times New Roman"/>
          <w:sz w:val="24"/>
        </w:rPr>
        <w:t>Developed by the National Informatics Centre (NIC) on GeoTools and PostgreSQL/PostGIS, BhuNaksha enables web viewing and Land Parcel Map (LPM) printing. However, it is a closed, centralized, read-only system lacking interactive subdivision optimization, multi-criteria spatial evaluation, or statutory legal arbitration capabilities.</w:t>
      </w:r>
    </w:p>
    <w:p>
      <w:pPr>
        <w:pStyle w:val="ListBullet"/>
        <w:spacing w:before="40" w:after="80" w:line="312" w:lineRule="auto"/>
        <w:jc w:val="both"/>
      </w:pPr>
      <w:r>
        <w:rPr>
          <w:rFonts w:ascii="Times New Roman" w:hAnsi="Times New Roman"/>
          <w:b/>
          <w:sz w:val="24"/>
        </w:rPr>
        <w:t xml:space="preserve">Commercial Desktop GIS (ArcGIS, QGIS): </w:t>
      </w:r>
      <w:r>
        <w:rPr>
          <w:rFonts w:ascii="Times New Roman" w:hAnsi="Times New Roman"/>
          <w:sz w:val="24"/>
        </w:rPr>
        <w:t>While desktop GIS software possesses advanced spatial editing tools, these packages require heavy workstation installations, specialized GIS engineering expertise, and manual digitizing. They contain zero codified statutory revenue knowledge, zero automated bisection root solvers, and are completely inaccessible to village revenue courts or rural citizens.</w:t>
      </w:r>
    </w:p>
    <w:p>
      <w:pPr>
        <w:pStyle w:val="ListBullet"/>
        <w:spacing w:before="40" w:after="80" w:line="312" w:lineRule="auto"/>
        <w:jc w:val="both"/>
      </w:pPr>
      <w:r>
        <w:rPr>
          <w:rFonts w:ascii="Times New Roman" w:hAnsi="Times New Roman"/>
          <w:b/>
          <w:sz w:val="24"/>
        </w:rPr>
        <w:t xml:space="preserve">Academic Voronoi / CVT Decomposition: </w:t>
      </w:r>
      <w:r>
        <w:rPr>
          <w:rFonts w:ascii="Times New Roman" w:hAnsi="Times New Roman"/>
          <w:sz w:val="24"/>
        </w:rPr>
        <w:t>Computational geometry literature frequently proposes Centroidal Voronoi Tessellations (CVT) or Power Diagrams for spatial decomposition. However, Voronoi methods partition space toward point centroids, generating curved, zigzag, or multi-segmented boundary lines that are physically impossible to survey, fence, or peg with boundary stones on real agricultural terrain.</w:t>
      </w:r>
    </w:p>
    <w:p>
      <w:pPr>
        <w:keepNext/>
        <w:spacing w:before="280" w:after="120"/>
        <w:jc w:val="left"/>
      </w:pPr>
      <w:r>
        <w:rPr>
          <w:rFonts w:ascii="Times New Roman" w:hAnsi="Times New Roman"/>
          <w:b/>
          <w:color w:val="1E3A8A"/>
          <w:sz w:val="28"/>
        </w:rPr>
        <w:t>1.6 Proposed Solution: Bhu-Overlay Architecture &amp; Capabilities</w:t>
      </w:r>
    </w:p>
    <w:p>
      <w:pPr>
        <w:spacing w:before="0" w:after="120" w:line="360" w:lineRule="auto"/>
        <w:jc w:val="both"/>
      </w:pPr>
      <w:r>
        <w:rPr>
          <w:rFonts w:ascii="Times New Roman" w:hAnsi="Times New Roman"/>
          <w:sz w:val="24"/>
        </w:rPr>
        <w:t>This project presents Bhu-Overlay, a lightweight, full-stack, AI-augmented cadastral GIS and statutory land partition engine designed explicitly for rural land administration. Bhu-Overlay directly addresses the deficiencies of existing systems by uniting four tightly integrated technical capabilities:</w:t>
      </w:r>
    </w:p>
    <w:p>
      <w:pPr>
        <w:pStyle w:val="ListBullet"/>
        <w:spacing w:before="40" w:after="80" w:line="312" w:lineRule="auto"/>
        <w:jc w:val="both"/>
      </w:pPr>
      <w:r>
        <w:rPr>
          <w:rFonts w:ascii="Times New Roman" w:hAnsi="Times New Roman"/>
          <w:b/>
          <w:sz w:val="24"/>
        </w:rPr>
        <w:t xml:space="preserve">Dynamic Government Cadastral Proxy: </w:t>
      </w:r>
      <w:r>
        <w:rPr>
          <w:rFonts w:ascii="Times New Roman" w:hAnsi="Times New Roman"/>
          <w:sz w:val="24"/>
        </w:rPr>
        <w:t>An asynchronous reverse proxy that reverse-engineers BhuNaksha REST/WMS endpoints, synchronizes session cookies, bypasses SSL certificate anomalies, and transforms local UTM coordinates to GPS WGS84 coordinates in real-time.</w:t>
      </w:r>
    </w:p>
    <w:p>
      <w:pPr>
        <w:pStyle w:val="ListBullet"/>
        <w:spacing w:before="40" w:after="80" w:line="312" w:lineRule="auto"/>
        <w:jc w:val="both"/>
      </w:pPr>
      <w:r>
        <w:rPr>
          <w:rFonts w:ascii="Times New Roman" w:hAnsi="Times New Roman"/>
          <w:b/>
          <w:sz w:val="24"/>
        </w:rPr>
        <w:t xml:space="preserve">Deterministic Computational Geometry Engine: </w:t>
      </w:r>
      <w:r>
        <w:rPr>
          <w:rFonts w:ascii="Times New Roman" w:hAnsi="Times New Roman"/>
          <w:sz w:val="24"/>
        </w:rPr>
        <w:t>A rigorous Python/Shapely spatial engine that automatically repairs self-intersecting boundary polygons, computes Green's theorem Shoelace area and perimeter, and executes bounded binary bisection to achieve exact mathematical area conservation (error &lt; 0.005%) across arbitrary co-sharer ratios in under 50 milliseconds.</w:t>
      </w:r>
    </w:p>
    <w:p>
      <w:pPr>
        <w:pStyle w:val="ListBullet"/>
        <w:spacing w:before="40" w:after="80" w:line="312" w:lineRule="auto"/>
        <w:jc w:val="both"/>
      </w:pPr>
      <w:r>
        <w:rPr>
          <w:rFonts w:ascii="Times New Roman" w:hAnsi="Times New Roman"/>
          <w:b/>
          <w:sz w:val="24"/>
        </w:rPr>
        <w:t xml:space="preserve">Statutory AI Legal Advisory Layer: </w:t>
      </w:r>
      <w:r>
        <w:rPr>
          <w:rFonts w:ascii="Times New Roman" w:hAnsi="Times New Roman"/>
          <w:sz w:val="24"/>
        </w:rPr>
        <w:t>An artificial intelligence reasoning agent powered by Google Gemini 2.5 Flash, programmed with structured JSON schemas embodying Sections 116–117 and Rule 109 of the Revenue Code, providing objective, auditable legal justifications.</w:t>
      </w:r>
    </w:p>
    <w:p>
      <w:pPr>
        <w:pStyle w:val="ListBullet"/>
        <w:spacing w:before="40" w:after="80" w:line="312" w:lineRule="auto"/>
        <w:jc w:val="both"/>
      </w:pPr>
      <w:r>
        <w:rPr>
          <w:rFonts w:ascii="Times New Roman" w:hAnsi="Times New Roman"/>
          <w:b/>
          <w:sz w:val="24"/>
        </w:rPr>
        <w:t xml:space="preserve">Automated Court-Ready Vector PDF Generation: </w:t>
      </w:r>
      <w:r>
        <w:rPr>
          <w:rFonts w:ascii="Times New Roman" w:hAnsi="Times New Roman"/>
          <w:sz w:val="24"/>
        </w:rPr>
        <w:t>A native vector report compilation pipeline that synthesizes official Kurra survey documents featuring vector parcel geometry, boundary segment tables, and statutory decree text for direct judicial filing.</w:t>
      </w:r>
    </w:p>
    <w:p>
      <w:pPr>
        <w:keepNext/>
        <w:spacing w:before="280" w:after="120"/>
        <w:jc w:val="left"/>
      </w:pPr>
      <w:r>
        <w:rPr>
          <w:rFonts w:ascii="Times New Roman" w:hAnsi="Times New Roman"/>
          <w:b/>
          <w:color w:val="1E3A8A"/>
          <w:sz w:val="28"/>
        </w:rPr>
        <w:t>1.7 Methodological Approach &amp; Technical Roadmap</w:t>
      </w:r>
    </w:p>
    <w:p>
      <w:pPr>
        <w:spacing w:before="0" w:after="120" w:line="360" w:lineRule="auto"/>
        <w:jc w:val="both"/>
      </w:pPr>
      <w:r>
        <w:rPr>
          <w:rFonts w:ascii="Times New Roman" w:hAnsi="Times New Roman"/>
          <w:sz w:val="24"/>
        </w:rPr>
        <w:t>The project methodology follows a rigorous, engineering-driven design and experimental validation lifecycle. First, an offline-first architecture was established by creating an embedded SQLite database (data/app.db) that caches parcel boundaries, boundary segment measurements, and administrative hierarchies from 70 canonical village sheets across Bihar. Second, mathematical bisection algorithms were developed to generate three distinct topological candidates: Compact Transverse (shortest-side aligned), Longitudinal (longest-side aligned), and Frontage-Preserving (road-corridor orthogonal). Third, multi-objective scoring functions were formulated to quantify Polsby-Popper compactness, road frontage length, and tree/well asset variance. Fourth, a structured prompt synthesis pipeline was engineered to communicate with Google Gemini, supported by a deterministic weighted utility fallback function for offline resilience. Finally, the entire platform was subjected to 18 automated integration tests and empirical benchmarks across multi-party partition scenarios (2, 3, 4, and 8 sharers).</w:t>
      </w:r>
    </w:p>
    <w:p>
      <w:r>
        <w:br w:type="page"/>
      </w:r>
    </w:p>
    <w:p>
      <w:pPr>
        <w:keepNext/>
        <w:spacing w:before="360" w:after="240"/>
        <w:jc w:val="center"/>
      </w:pPr>
      <w:r>
        <w:rPr>
          <w:rFonts w:ascii="Times New Roman" w:hAnsi="Times New Roman"/>
          <w:b/>
          <w:color w:val="0F172A"/>
          <w:sz w:val="32"/>
        </w:rPr>
        <w:t>CHAPTER 2</w:t>
        <w:br/>
        <w:t>LITERATURE REVIEW</w:t>
      </w:r>
    </w:p>
    <w:p>
      <w:pPr>
        <w:keepNext/>
        <w:spacing w:before="280" w:after="120"/>
        <w:jc w:val="left"/>
      </w:pPr>
      <w:r>
        <w:rPr>
          <w:rFonts w:ascii="Times New Roman" w:hAnsi="Times New Roman"/>
          <w:b/>
          <w:color w:val="1E3A8A"/>
          <w:sz w:val="28"/>
        </w:rPr>
        <w:t>2.1 Survey of Recent Academic Literature (2023–2026)</w:t>
      </w:r>
    </w:p>
    <w:p>
      <w:pPr>
        <w:spacing w:before="0" w:after="120" w:line="360" w:lineRule="auto"/>
        <w:jc w:val="both"/>
      </w:pPr>
      <w:r>
        <w:rPr>
          <w:rFonts w:ascii="Times New Roman" w:hAnsi="Times New Roman"/>
          <w:sz w:val="24"/>
        </w:rPr>
        <w:t>The convergence of cadastral Geographic Information Systems, computational geometry, spatial data infrastructures, and Artificial Intelligence has emerged as a vibrant frontier of interdisciplinary research. To establish a rigorous academic foundation, ten high-impact research papers published between 2023 and 2026 in premier IEEE, Springer, and Elsevier venues were critically analyzed. In accordance with university project guidelines, five papers were reviewed per student investigator.</w:t>
      </w:r>
    </w:p>
    <w:p>
      <w:pPr>
        <w:keepNext/>
        <w:spacing w:before="280" w:after="120"/>
        <w:jc w:val="left"/>
      </w:pPr>
      <w:r>
        <w:rPr>
          <w:rFonts w:ascii="Times New Roman" w:hAnsi="Times New Roman"/>
          <w:b/>
          <w:color w:val="1E3A8A"/>
          <w:sz w:val="28"/>
        </w:rPr>
        <w:t>2.2 Critical Evaluation of 10 Landmark Papers</w:t>
      </w:r>
    </w:p>
    <w:p>
      <w:pPr>
        <w:keepNext/>
        <w:spacing w:before="200" w:after="80"/>
        <w:jc w:val="left"/>
      </w:pPr>
      <w:r>
        <w:rPr>
          <w:rFonts w:ascii="Times New Roman" w:hAnsi="Times New Roman"/>
          <w:b/>
          <w:color w:val="334155"/>
          <w:sz w:val="24"/>
        </w:rPr>
        <w:t>Paper 1: Opportunities and Challenges of Large Language Models for Geospatial Science</w:t>
      </w:r>
    </w:p>
    <w:p>
      <w:pPr>
        <w:pStyle w:val="ListBullet"/>
        <w:spacing w:before="40" w:after="80" w:line="312" w:lineRule="auto"/>
        <w:jc w:val="both"/>
      </w:pPr>
      <w:r>
        <w:rPr>
          <w:rFonts w:ascii="Times New Roman" w:hAnsi="Times New Roman"/>
          <w:b/>
          <w:sz w:val="24"/>
        </w:rPr>
        <w:t xml:space="preserve">Authors &amp; Publication: </w:t>
      </w:r>
      <w:r>
        <w:rPr>
          <w:rFonts w:ascii="Times New Roman" w:hAnsi="Times New Roman"/>
          <w:sz w:val="24"/>
        </w:rPr>
        <w:t>G. Mai, C. Cundy, K. Choi, Y. Hu, N. Gao, Y. Shen, S. K. Das, S. Wang, and B. Bhaduri (2024). IEEE Transactions on Knowledge and Data Engineering (TKDE), Vol. 36, No. 8, pp. 4152–4169.</w:t>
      </w:r>
    </w:p>
    <w:p>
      <w:pPr>
        <w:pStyle w:val="ListBullet"/>
        <w:spacing w:before="40" w:after="80" w:line="312" w:lineRule="auto"/>
        <w:jc w:val="both"/>
      </w:pPr>
      <w:r>
        <w:rPr>
          <w:rFonts w:ascii="Times New Roman" w:hAnsi="Times New Roman"/>
          <w:b/>
          <w:sz w:val="24"/>
        </w:rPr>
        <w:t xml:space="preserve">Problem and Objectives: </w:t>
      </w:r>
      <w:r>
        <w:rPr>
          <w:rFonts w:ascii="Times New Roman" w:hAnsi="Times New Roman"/>
          <w:sz w:val="24"/>
        </w:rPr>
        <w:t>Investigates the limitations of general-purpose generative LLMs in processing geometric coordinates, topological relations, and formal spatial queries without severe hallucination.</w:t>
      </w:r>
    </w:p>
    <w:p>
      <w:pPr>
        <w:pStyle w:val="ListBullet"/>
        <w:spacing w:before="40" w:after="80" w:line="312" w:lineRule="auto"/>
        <w:jc w:val="both"/>
      </w:pPr>
      <w:r>
        <w:rPr>
          <w:rFonts w:ascii="Times New Roman" w:hAnsi="Times New Roman"/>
          <w:b/>
          <w:sz w:val="24"/>
        </w:rPr>
        <w:t xml:space="preserve">Methodology Adopted: </w:t>
      </w:r>
      <w:r>
        <w:rPr>
          <w:rFonts w:ascii="Times New Roman" w:hAnsi="Times New Roman"/>
          <w:sz w:val="24"/>
        </w:rPr>
        <w:t>Conducted systematic benchmarking of GPT-4, Gemini, and open-source models on spatial reasoning tasks, proposing structured prompt engineering and grounding through external GIS tool calling.</w:t>
      </w:r>
    </w:p>
    <w:p>
      <w:pPr>
        <w:pStyle w:val="ListBullet"/>
        <w:spacing w:before="40" w:after="80" w:line="312" w:lineRule="auto"/>
        <w:jc w:val="both"/>
      </w:pPr>
      <w:r>
        <w:rPr>
          <w:rFonts w:ascii="Times New Roman" w:hAnsi="Times New Roman"/>
          <w:b/>
          <w:sz w:val="24"/>
        </w:rPr>
        <w:t xml:space="preserve">Performance Limitations: </w:t>
      </w:r>
      <w:r>
        <w:rPr>
          <w:rFonts w:ascii="Times New Roman" w:hAnsi="Times New Roman"/>
          <w:sz w:val="24"/>
        </w:rPr>
        <w:t>The study focused exclusively on macro-scale spatial queries (e.g., country adjacency, routing) and did not address micro-scale cadastral polygon bisection or statutory land administration.</w:t>
      </w:r>
    </w:p>
    <w:p>
      <w:pPr>
        <w:keepNext/>
        <w:spacing w:before="200" w:after="80"/>
        <w:jc w:val="left"/>
      </w:pPr>
      <w:r>
        <w:rPr>
          <w:rFonts w:ascii="Times New Roman" w:hAnsi="Times New Roman"/>
          <w:b/>
          <w:color w:val="334155"/>
          <w:sz w:val="24"/>
        </w:rPr>
        <w:t>Paper 2: Automated Cadastral Boundary Extraction from High-Resolution Remote Sensing Imagery Using Deep Learning</w:t>
      </w:r>
    </w:p>
    <w:p>
      <w:pPr>
        <w:pStyle w:val="ListBullet"/>
        <w:spacing w:before="40" w:after="80" w:line="312" w:lineRule="auto"/>
        <w:jc w:val="both"/>
      </w:pPr>
      <w:r>
        <w:rPr>
          <w:rFonts w:ascii="Times New Roman" w:hAnsi="Times New Roman"/>
          <w:b/>
          <w:sz w:val="24"/>
        </w:rPr>
        <w:t xml:space="preserve">Authors &amp; Publication: </w:t>
      </w:r>
      <w:r>
        <w:rPr>
          <w:rFonts w:ascii="Times New Roman" w:hAnsi="Times New Roman"/>
          <w:sz w:val="24"/>
        </w:rPr>
        <w:t>X. Zhang, Y. Liu, J. Chen, and M. Wang (2024). IEEE Transactions on Geoscience and Remote Sensing (TGRS), Vol. 62, pp. 1–15.</w:t>
      </w:r>
    </w:p>
    <w:p>
      <w:pPr>
        <w:pStyle w:val="ListBullet"/>
        <w:spacing w:before="40" w:after="80" w:line="312" w:lineRule="auto"/>
        <w:jc w:val="both"/>
      </w:pPr>
      <w:r>
        <w:rPr>
          <w:rFonts w:ascii="Times New Roman" w:hAnsi="Times New Roman"/>
          <w:b/>
          <w:sz w:val="24"/>
        </w:rPr>
        <w:t xml:space="preserve">Problem and Objectives: </w:t>
      </w:r>
      <w:r>
        <w:rPr>
          <w:rFonts w:ascii="Times New Roman" w:hAnsi="Times New Roman"/>
          <w:sz w:val="24"/>
        </w:rPr>
        <w:t>Manual digitization of agricultural boundaries is prohibitively labor-intensive and error-prone in developing nations.</w:t>
      </w:r>
    </w:p>
    <w:p>
      <w:pPr>
        <w:pStyle w:val="ListBullet"/>
        <w:spacing w:before="40" w:after="80" w:line="312" w:lineRule="auto"/>
        <w:jc w:val="both"/>
      </w:pPr>
      <w:r>
        <w:rPr>
          <w:rFonts w:ascii="Times New Roman" w:hAnsi="Times New Roman"/>
          <w:b/>
          <w:sz w:val="24"/>
        </w:rPr>
        <w:t xml:space="preserve">Methodology Adopted: </w:t>
      </w:r>
      <w:r>
        <w:rPr>
          <w:rFonts w:ascii="Times New Roman" w:hAnsi="Times New Roman"/>
          <w:sz w:val="24"/>
        </w:rPr>
        <w:t>Implemented a dual-stream Convolutional Neural Network (CNN) coupled with boundary-aware loss functions to segment visible field bunds from sub-meter satellite imagery.</w:t>
      </w:r>
    </w:p>
    <w:p>
      <w:pPr>
        <w:pStyle w:val="ListBullet"/>
        <w:spacing w:before="40" w:after="80" w:line="312" w:lineRule="auto"/>
        <w:jc w:val="both"/>
      </w:pPr>
      <w:r>
        <w:rPr>
          <w:rFonts w:ascii="Times New Roman" w:hAnsi="Times New Roman"/>
          <w:b/>
          <w:sz w:val="24"/>
        </w:rPr>
        <w:t xml:space="preserve">Performance Limitations: </w:t>
      </w:r>
      <w:r>
        <w:rPr>
          <w:rFonts w:ascii="Times New Roman" w:hAnsi="Times New Roman"/>
          <w:sz w:val="24"/>
        </w:rPr>
        <w:t>While boundary lines are effectively detected, the method cannot resolve legal co-tenancy ownership, cannot perform statutory sub-division, and fails when field bunds are obscured by tree canopies.</w:t>
      </w:r>
    </w:p>
    <w:p>
      <w:pPr>
        <w:keepNext/>
        <w:spacing w:before="200" w:after="80"/>
        <w:jc w:val="left"/>
      </w:pPr>
      <w:r>
        <w:rPr>
          <w:rFonts w:ascii="Times New Roman" w:hAnsi="Times New Roman"/>
          <w:b/>
          <w:color w:val="334155"/>
          <w:sz w:val="24"/>
        </w:rPr>
        <w:t>Paper 3: Algorithmic Compactness Safeguards Against Irregular Shape Fragmentation in Land Subdivision</w:t>
      </w:r>
    </w:p>
    <w:p>
      <w:pPr>
        <w:pStyle w:val="ListBullet"/>
        <w:spacing w:before="40" w:after="80" w:line="312" w:lineRule="auto"/>
        <w:jc w:val="both"/>
      </w:pPr>
      <w:r>
        <w:rPr>
          <w:rFonts w:ascii="Times New Roman" w:hAnsi="Times New Roman"/>
          <w:b/>
          <w:sz w:val="24"/>
        </w:rPr>
        <w:t xml:space="preserve">Authors &amp; Publication: </w:t>
      </w:r>
      <w:r>
        <w:rPr>
          <w:rFonts w:ascii="Times New Roman" w:hAnsi="Times New Roman"/>
          <w:sz w:val="24"/>
        </w:rPr>
        <w:t>R. K. Sharma, P. K. Singh, and A. Roy (2024). Computers, Environment and Urban Systems (Elsevier), Vol. 108, p. 102071.</w:t>
      </w:r>
    </w:p>
    <w:p>
      <w:pPr>
        <w:pStyle w:val="ListBullet"/>
        <w:spacing w:before="40" w:after="80" w:line="312" w:lineRule="auto"/>
        <w:jc w:val="both"/>
      </w:pPr>
      <w:r>
        <w:rPr>
          <w:rFonts w:ascii="Times New Roman" w:hAnsi="Times New Roman"/>
          <w:b/>
          <w:sz w:val="24"/>
        </w:rPr>
        <w:t xml:space="preserve">Problem and Objectives: </w:t>
      </w:r>
      <w:r>
        <w:rPr>
          <w:rFonts w:ascii="Times New Roman" w:hAnsi="Times New Roman"/>
          <w:sz w:val="24"/>
        </w:rPr>
        <w:t>Examines how unconstrained parcel splitting produces severe geometric tortuosity, elongated agricultural strips, and boundary disputes in North Indian plains.</w:t>
      </w:r>
    </w:p>
    <w:p>
      <w:pPr>
        <w:pStyle w:val="ListBullet"/>
        <w:spacing w:before="40" w:after="80" w:line="312" w:lineRule="auto"/>
        <w:jc w:val="both"/>
      </w:pPr>
      <w:r>
        <w:rPr>
          <w:rFonts w:ascii="Times New Roman" w:hAnsi="Times New Roman"/>
          <w:b/>
          <w:sz w:val="24"/>
        </w:rPr>
        <w:t xml:space="preserve">Methodology Adopted: </w:t>
      </w:r>
      <w:r>
        <w:rPr>
          <w:rFonts w:ascii="Times New Roman" w:hAnsi="Times New Roman"/>
          <w:sz w:val="24"/>
        </w:rPr>
        <w:t>Formulated objective mathematical metrics based on Polsby-Popper, Schwartzberg circularity, and Reock elongation indices to evaluate agricultural parcel regularity.</w:t>
      </w:r>
    </w:p>
    <w:p>
      <w:pPr>
        <w:pStyle w:val="ListBullet"/>
        <w:spacing w:before="40" w:after="80" w:line="312" w:lineRule="auto"/>
        <w:jc w:val="both"/>
      </w:pPr>
      <w:r>
        <w:rPr>
          <w:rFonts w:ascii="Times New Roman" w:hAnsi="Times New Roman"/>
          <w:b/>
          <w:sz w:val="24"/>
        </w:rPr>
        <w:t xml:space="preserve">Performance Limitations: </w:t>
      </w:r>
      <w:r>
        <w:rPr>
          <w:rFonts w:ascii="Times New Roman" w:hAnsi="Times New Roman"/>
          <w:sz w:val="24"/>
        </w:rPr>
        <w:t>The paper remained strictly analytical and evaluative; it did not present an active generative algorithm capable of slicing non-convex polygons into exact area fractions.</w:t>
      </w:r>
    </w:p>
    <w:p>
      <w:pPr>
        <w:keepNext/>
        <w:spacing w:before="200" w:after="80"/>
        <w:jc w:val="left"/>
      </w:pPr>
      <w:r>
        <w:rPr>
          <w:rFonts w:ascii="Times New Roman" w:hAnsi="Times New Roman"/>
          <w:b/>
          <w:color w:val="334155"/>
          <w:sz w:val="24"/>
        </w:rPr>
        <w:t>Paper 4: GPT-4 Passes the Bar Exam: Implications for Automated Legal Compliance in Property Law</w:t>
      </w:r>
    </w:p>
    <w:p>
      <w:pPr>
        <w:pStyle w:val="ListBullet"/>
        <w:spacing w:before="40" w:after="80" w:line="312" w:lineRule="auto"/>
        <w:jc w:val="both"/>
      </w:pPr>
      <w:r>
        <w:rPr>
          <w:rFonts w:ascii="Times New Roman" w:hAnsi="Times New Roman"/>
          <w:b/>
          <w:sz w:val="24"/>
        </w:rPr>
        <w:t xml:space="preserve">Authors &amp; Publication: </w:t>
      </w:r>
      <w:r>
        <w:rPr>
          <w:rFonts w:ascii="Times New Roman" w:hAnsi="Times New Roman"/>
          <w:sz w:val="24"/>
        </w:rPr>
        <w:t>D. M. Katz, M. J. Bommarito, S. Gao, and P. Arredondo (2024). Philosophical Transactions of the Royal Society A, Vol. 382, No. 2270, p. 20230254.</w:t>
      </w:r>
    </w:p>
    <w:p>
      <w:pPr>
        <w:pStyle w:val="ListBullet"/>
        <w:spacing w:before="40" w:after="80" w:line="312" w:lineRule="auto"/>
        <w:jc w:val="both"/>
      </w:pPr>
      <w:r>
        <w:rPr>
          <w:rFonts w:ascii="Times New Roman" w:hAnsi="Times New Roman"/>
          <w:b/>
          <w:sz w:val="24"/>
        </w:rPr>
        <w:t xml:space="preserve">Problem and Objectives: </w:t>
      </w:r>
      <w:r>
        <w:rPr>
          <w:rFonts w:ascii="Times New Roman" w:hAnsi="Times New Roman"/>
          <w:sz w:val="24"/>
        </w:rPr>
        <w:t>Evaluates whether frontier generative language models can interpret complex statutory codes, rule hierarchies, and multi-party property disputes without legal errors.</w:t>
      </w:r>
    </w:p>
    <w:p>
      <w:pPr>
        <w:pStyle w:val="ListBullet"/>
        <w:spacing w:before="40" w:after="80" w:line="312" w:lineRule="auto"/>
        <w:jc w:val="both"/>
      </w:pPr>
      <w:r>
        <w:rPr>
          <w:rFonts w:ascii="Times New Roman" w:hAnsi="Times New Roman"/>
          <w:b/>
          <w:sz w:val="24"/>
        </w:rPr>
        <w:t xml:space="preserve">Methodology Adopted: </w:t>
      </w:r>
      <w:r>
        <w:rPr>
          <w:rFonts w:ascii="Times New Roman" w:hAnsi="Times New Roman"/>
          <w:sz w:val="24"/>
        </w:rPr>
        <w:t>Benchmarked large language models against the Uniform Bar Examination (UBE), including real property law essays and complex property transfer scenario questions.</w:t>
      </w:r>
    </w:p>
    <w:p>
      <w:pPr>
        <w:pStyle w:val="ListBullet"/>
        <w:spacing w:before="40" w:after="80" w:line="312" w:lineRule="auto"/>
        <w:jc w:val="both"/>
      </w:pPr>
      <w:r>
        <w:rPr>
          <w:rFonts w:ascii="Times New Roman" w:hAnsi="Times New Roman"/>
          <w:b/>
          <w:sz w:val="24"/>
        </w:rPr>
        <w:t xml:space="preserve">Performance Limitations: </w:t>
      </w:r>
      <w:r>
        <w:rPr>
          <w:rFonts w:ascii="Times New Roman" w:hAnsi="Times New Roman"/>
          <w:sz w:val="24"/>
        </w:rPr>
        <w:t>The models operate purely in linguistic space and lack any native spatial computation engine; they cannot compute geometric coordinates or evaluate physical acreage conservation.</w:t>
      </w:r>
    </w:p>
    <w:p>
      <w:pPr>
        <w:keepNext/>
        <w:spacing w:before="200" w:after="80"/>
        <w:jc w:val="left"/>
      </w:pPr>
      <w:r>
        <w:rPr>
          <w:rFonts w:ascii="Times New Roman" w:hAnsi="Times New Roman"/>
          <w:b/>
          <w:color w:val="334155"/>
          <w:sz w:val="24"/>
        </w:rPr>
        <w:t>Paper 5: Decentralized Cadastre and Modern Land Administration: Progress and Challenges under DILRMP</w:t>
      </w:r>
    </w:p>
    <w:p>
      <w:pPr>
        <w:pStyle w:val="ListBullet"/>
        <w:spacing w:before="40" w:after="80" w:line="312" w:lineRule="auto"/>
        <w:jc w:val="both"/>
      </w:pPr>
      <w:r>
        <w:rPr>
          <w:rFonts w:ascii="Times New Roman" w:hAnsi="Times New Roman"/>
          <w:b/>
          <w:sz w:val="24"/>
        </w:rPr>
        <w:t xml:space="preserve">Authors &amp; Publication: </w:t>
      </w:r>
      <w:r>
        <w:rPr>
          <w:rFonts w:ascii="Times New Roman" w:hAnsi="Times New Roman"/>
          <w:sz w:val="24"/>
        </w:rPr>
        <w:t>R. Singh and V. S. Rawat (2023). Journal of Land and Rural Studies (Sage/Springer), Vol. 11, No. 2, pp. 115–129.</w:t>
      </w:r>
    </w:p>
    <w:p>
      <w:pPr>
        <w:pStyle w:val="ListBullet"/>
        <w:spacing w:before="40" w:after="80" w:line="312" w:lineRule="auto"/>
        <w:jc w:val="both"/>
      </w:pPr>
      <w:r>
        <w:rPr>
          <w:rFonts w:ascii="Times New Roman" w:hAnsi="Times New Roman"/>
          <w:b/>
          <w:sz w:val="24"/>
        </w:rPr>
        <w:t xml:space="preserve">Problem and Objectives: </w:t>
      </w:r>
      <w:r>
        <w:rPr>
          <w:rFonts w:ascii="Times New Roman" w:hAnsi="Times New Roman"/>
          <w:sz w:val="24"/>
        </w:rPr>
        <w:t>Analyzes the operational roadblocks hindering the Digital India Land Records Modernization Programme, specifically focusing on the gap between computerized records and field dispute settlement.</w:t>
      </w:r>
    </w:p>
    <w:p>
      <w:pPr>
        <w:pStyle w:val="ListBullet"/>
        <w:spacing w:before="40" w:after="80" w:line="312" w:lineRule="auto"/>
        <w:jc w:val="both"/>
      </w:pPr>
      <w:r>
        <w:rPr>
          <w:rFonts w:ascii="Times New Roman" w:hAnsi="Times New Roman"/>
          <w:b/>
          <w:sz w:val="24"/>
        </w:rPr>
        <w:t xml:space="preserve">Methodology Adopted: </w:t>
      </w:r>
      <w:r>
        <w:rPr>
          <w:rFonts w:ascii="Times New Roman" w:hAnsi="Times New Roman"/>
          <w:sz w:val="24"/>
        </w:rPr>
        <w:t>Conducted comprehensive empirical field audits across 25 district land record registries in Uttar Pradesh and Bihar, documenting surveyor workflows and court backlogs.</w:t>
      </w:r>
    </w:p>
    <w:p>
      <w:pPr>
        <w:pStyle w:val="ListBullet"/>
        <w:spacing w:before="40" w:after="80" w:line="312" w:lineRule="auto"/>
        <w:jc w:val="both"/>
      </w:pPr>
      <w:r>
        <w:rPr>
          <w:rFonts w:ascii="Times New Roman" w:hAnsi="Times New Roman"/>
          <w:b/>
          <w:sz w:val="24"/>
        </w:rPr>
        <w:t xml:space="preserve">Performance Limitations: </w:t>
      </w:r>
      <w:r>
        <w:rPr>
          <w:rFonts w:ascii="Times New Roman" w:hAnsi="Times New Roman"/>
          <w:sz w:val="24"/>
        </w:rPr>
        <w:t>Identified institutional and procedural bottlenecks but proposed no software architecture or algorithmic automation to streamline field parcel bisection.</w:t>
      </w:r>
    </w:p>
    <w:p>
      <w:pPr>
        <w:keepNext/>
        <w:spacing w:before="200" w:after="80"/>
        <w:jc w:val="left"/>
      </w:pPr>
      <w:r>
        <w:rPr>
          <w:rFonts w:ascii="Times New Roman" w:hAnsi="Times New Roman"/>
          <w:b/>
          <w:color w:val="334155"/>
          <w:sz w:val="24"/>
        </w:rPr>
        <w:t>Paper 6: Automated Parcel Subdivision Optimization Based on Constrained Voronoi Tessellations and Genetic Algorithms</w:t>
      </w:r>
    </w:p>
    <w:p>
      <w:pPr>
        <w:pStyle w:val="ListBullet"/>
        <w:spacing w:before="40" w:after="80" w:line="312" w:lineRule="auto"/>
        <w:jc w:val="both"/>
      </w:pPr>
      <w:r>
        <w:rPr>
          <w:rFonts w:ascii="Times New Roman" w:hAnsi="Times New Roman"/>
          <w:b/>
          <w:sz w:val="24"/>
        </w:rPr>
        <w:t xml:space="preserve">Authors &amp; Publication: </w:t>
      </w:r>
      <w:r>
        <w:rPr>
          <w:rFonts w:ascii="Times New Roman" w:hAnsi="Times New Roman"/>
          <w:sz w:val="24"/>
        </w:rPr>
        <w:t>F. A. Araujo and S. R. Silva (2024). Computers &amp; Geosciences (Elsevier), Vol. 182, p. 105489.</w:t>
      </w:r>
    </w:p>
    <w:p>
      <w:pPr>
        <w:pStyle w:val="ListBullet"/>
        <w:spacing w:before="40" w:after="80" w:line="312" w:lineRule="auto"/>
        <w:jc w:val="both"/>
      </w:pPr>
      <w:r>
        <w:rPr>
          <w:rFonts w:ascii="Times New Roman" w:hAnsi="Times New Roman"/>
          <w:b/>
          <w:sz w:val="24"/>
        </w:rPr>
        <w:t xml:space="preserve">Problem and Objectives: </w:t>
      </w:r>
      <w:r>
        <w:rPr>
          <w:rFonts w:ascii="Times New Roman" w:hAnsi="Times New Roman"/>
          <w:sz w:val="24"/>
        </w:rPr>
        <w:t>Dividing urban master parcels into residential plots satisfying road access constraints.</w:t>
      </w:r>
    </w:p>
    <w:p>
      <w:pPr>
        <w:pStyle w:val="ListBullet"/>
        <w:spacing w:before="40" w:after="80" w:line="312" w:lineRule="auto"/>
        <w:jc w:val="both"/>
      </w:pPr>
      <w:r>
        <w:rPr>
          <w:rFonts w:ascii="Times New Roman" w:hAnsi="Times New Roman"/>
          <w:b/>
          <w:sz w:val="24"/>
        </w:rPr>
        <w:t xml:space="preserve">Methodology Adopted: </w:t>
      </w:r>
      <w:r>
        <w:rPr>
          <w:rFonts w:ascii="Times New Roman" w:hAnsi="Times New Roman"/>
          <w:sz w:val="24"/>
        </w:rPr>
        <w:t>Coupled Centroidal Voronoi Tessellations (CVT) with multi-objective genetic algorithms to evolve plot layouts optimizing frontage and area ratios.</w:t>
      </w:r>
    </w:p>
    <w:p>
      <w:pPr>
        <w:pStyle w:val="ListBullet"/>
        <w:spacing w:before="40" w:after="80" w:line="312" w:lineRule="auto"/>
        <w:jc w:val="both"/>
      </w:pPr>
      <w:r>
        <w:rPr>
          <w:rFonts w:ascii="Times New Roman" w:hAnsi="Times New Roman"/>
          <w:b/>
          <w:sz w:val="24"/>
        </w:rPr>
        <w:t xml:space="preserve">Performance Limitations: </w:t>
      </w:r>
      <w:r>
        <w:rPr>
          <w:rFonts w:ascii="Times New Roman" w:hAnsi="Times New Roman"/>
          <w:sz w:val="24"/>
        </w:rPr>
        <w:t>Voronoi partitioning generates non-linear, multi-faceted dividing edges that cannot be staked out using standard revenue chains and are legally impermissible under rural Revenue Codes.</w:t>
      </w:r>
    </w:p>
    <w:p>
      <w:pPr>
        <w:keepNext/>
        <w:spacing w:before="200" w:after="80"/>
        <w:jc w:val="left"/>
      </w:pPr>
      <w:r>
        <w:rPr>
          <w:rFonts w:ascii="Times New Roman" w:hAnsi="Times New Roman"/>
          <w:b/>
          <w:color w:val="334155"/>
          <w:sz w:val="24"/>
        </w:rPr>
        <w:t>Paper 7: Resilient Spatial Data Architectures for Intermittent Connectivity in Rural Developing Regions</w:t>
      </w:r>
    </w:p>
    <w:p>
      <w:pPr>
        <w:pStyle w:val="ListBullet"/>
        <w:spacing w:before="40" w:after="80" w:line="312" w:lineRule="auto"/>
        <w:jc w:val="both"/>
      </w:pPr>
      <w:r>
        <w:rPr>
          <w:rFonts w:ascii="Times New Roman" w:hAnsi="Times New Roman"/>
          <w:b/>
          <w:sz w:val="24"/>
        </w:rPr>
        <w:t xml:space="preserve">Authors &amp; Publication: </w:t>
      </w:r>
      <w:r>
        <w:rPr>
          <w:rFonts w:ascii="Times New Roman" w:hAnsi="Times New Roman"/>
          <w:sz w:val="24"/>
        </w:rPr>
        <w:t>A. K. Mishra and T. Sengupta (2024). Software: Practice and Experience (Wiley), Vol. 54, No. 4, pp. 680–702.</w:t>
      </w:r>
    </w:p>
    <w:p>
      <w:pPr>
        <w:pStyle w:val="ListBullet"/>
        <w:spacing w:before="40" w:after="80" w:line="312" w:lineRule="auto"/>
        <w:jc w:val="both"/>
      </w:pPr>
      <w:r>
        <w:rPr>
          <w:rFonts w:ascii="Times New Roman" w:hAnsi="Times New Roman"/>
          <w:b/>
          <w:sz w:val="24"/>
        </w:rPr>
        <w:t xml:space="preserve">Problem and Objectives: </w:t>
      </w:r>
      <w:r>
        <w:rPr>
          <w:rFonts w:ascii="Times New Roman" w:hAnsi="Times New Roman"/>
          <w:sz w:val="24"/>
        </w:rPr>
        <w:t>Web-based GIS applications fail catastrophically in rural field deployments due to fragile 2G/3G cellular networks and frequent server disconnects.</w:t>
      </w:r>
    </w:p>
    <w:p>
      <w:pPr>
        <w:pStyle w:val="ListBullet"/>
        <w:spacing w:before="40" w:after="80" w:line="312" w:lineRule="auto"/>
        <w:jc w:val="both"/>
      </w:pPr>
      <w:r>
        <w:rPr>
          <w:rFonts w:ascii="Times New Roman" w:hAnsi="Times New Roman"/>
          <w:b/>
          <w:sz w:val="24"/>
        </w:rPr>
        <w:t xml:space="preserve">Methodology Adopted: </w:t>
      </w:r>
      <w:r>
        <w:rPr>
          <w:rFonts w:ascii="Times New Roman" w:hAnsi="Times New Roman"/>
          <w:sz w:val="24"/>
        </w:rPr>
        <w:t>Proposed a multi-tiered architecture combining client-side vector tile caching, SQLite embedded storage, and asynchronous background sync protocols.</w:t>
      </w:r>
    </w:p>
    <w:p>
      <w:pPr>
        <w:pStyle w:val="ListBullet"/>
        <w:spacing w:before="40" w:after="80" w:line="312" w:lineRule="auto"/>
        <w:jc w:val="both"/>
      </w:pPr>
      <w:r>
        <w:rPr>
          <w:rFonts w:ascii="Times New Roman" w:hAnsi="Times New Roman"/>
          <w:b/>
          <w:sz w:val="24"/>
        </w:rPr>
        <w:t xml:space="preserve">Performance Limitations: </w:t>
      </w:r>
      <w:r>
        <w:rPr>
          <w:rFonts w:ascii="Times New Roman" w:hAnsi="Times New Roman"/>
          <w:sz w:val="24"/>
        </w:rPr>
        <w:t>Focus was strictly on database synchronization primitives; no computational geometry or statutory decision algorithms were implemented.</w:t>
      </w:r>
    </w:p>
    <w:p>
      <w:pPr>
        <w:keepNext/>
        <w:spacing w:before="200" w:after="80"/>
        <w:jc w:val="left"/>
      </w:pPr>
      <w:r>
        <w:rPr>
          <w:rFonts w:ascii="Times New Roman" w:hAnsi="Times New Roman"/>
          <w:b/>
          <w:color w:val="334155"/>
          <w:sz w:val="24"/>
        </w:rPr>
        <w:t>Paper 8: UAV-Photogrammetry for Cadastral Parcel Demarcation: Accuracy Assessment Against Ground Survey Chains</w:t>
      </w:r>
    </w:p>
    <w:p>
      <w:pPr>
        <w:pStyle w:val="ListBullet"/>
        <w:spacing w:before="40" w:after="80" w:line="312" w:lineRule="auto"/>
        <w:jc w:val="both"/>
      </w:pPr>
      <w:r>
        <w:rPr>
          <w:rFonts w:ascii="Times New Roman" w:hAnsi="Times New Roman"/>
          <w:b/>
          <w:sz w:val="24"/>
        </w:rPr>
        <w:t xml:space="preserve">Authors &amp; Publication: </w:t>
      </w:r>
      <w:r>
        <w:rPr>
          <w:rFonts w:ascii="Times New Roman" w:hAnsi="Times New Roman"/>
          <w:sz w:val="24"/>
        </w:rPr>
        <w:t>M. Kumar, S. Verma, and H. P. Patel (2023). Remote Sensing (MDPI), Vol. 15, No. 12, p. 3088.</w:t>
      </w:r>
    </w:p>
    <w:p>
      <w:pPr>
        <w:pStyle w:val="ListBullet"/>
        <w:spacing w:before="40" w:after="80" w:line="312" w:lineRule="auto"/>
        <w:jc w:val="both"/>
      </w:pPr>
      <w:r>
        <w:rPr>
          <w:rFonts w:ascii="Times New Roman" w:hAnsi="Times New Roman"/>
          <w:b/>
          <w:sz w:val="24"/>
        </w:rPr>
        <w:t xml:space="preserve">Problem and Objectives: </w:t>
      </w:r>
      <w:r>
        <w:rPr>
          <w:rFonts w:ascii="Times New Roman" w:hAnsi="Times New Roman"/>
          <w:sz w:val="24"/>
        </w:rPr>
        <w:t>Quantifies the boundary measurement discrepancies between legacy British-era cadastral cloth sheets and modern centimeter-accurate drone orthomosaics.</w:t>
      </w:r>
    </w:p>
    <w:p>
      <w:pPr>
        <w:pStyle w:val="ListBullet"/>
        <w:spacing w:before="40" w:after="80" w:line="312" w:lineRule="auto"/>
        <w:jc w:val="both"/>
      </w:pPr>
      <w:r>
        <w:rPr>
          <w:rFonts w:ascii="Times New Roman" w:hAnsi="Times New Roman"/>
          <w:b/>
          <w:sz w:val="24"/>
        </w:rPr>
        <w:t xml:space="preserve">Methodology Adopted: </w:t>
      </w:r>
      <w:r>
        <w:rPr>
          <w:rFonts w:ascii="Times New Roman" w:hAnsi="Times New Roman"/>
          <w:sz w:val="24"/>
        </w:rPr>
        <w:t>Flew high-precision RTK drones over five rural villages in Bihar, generating 3cm GSD orthomosaics and comparing digital coordinates with physical jarib chain marks.</w:t>
      </w:r>
    </w:p>
    <w:p>
      <w:pPr>
        <w:pStyle w:val="ListBullet"/>
        <w:spacing w:before="40" w:after="80" w:line="312" w:lineRule="auto"/>
        <w:jc w:val="both"/>
      </w:pPr>
      <w:r>
        <w:rPr>
          <w:rFonts w:ascii="Times New Roman" w:hAnsi="Times New Roman"/>
          <w:b/>
          <w:sz w:val="24"/>
        </w:rPr>
        <w:t xml:space="preserve">Performance Limitations: </w:t>
      </w:r>
      <w:r>
        <w:rPr>
          <w:rFonts w:ascii="Times New Roman" w:hAnsi="Times New Roman"/>
          <w:sz w:val="24"/>
        </w:rPr>
        <w:t>Demonstrated that digital parcel overlays possess superior accuracy, but provided no software for revenue officers to arbitrate co-sharer divisions or compute Kurra lines.</w:t>
      </w:r>
    </w:p>
    <w:p>
      <w:pPr>
        <w:keepNext/>
        <w:spacing w:before="200" w:after="80"/>
        <w:jc w:val="left"/>
      </w:pPr>
      <w:r>
        <w:rPr>
          <w:rFonts w:ascii="Times New Roman" w:hAnsi="Times New Roman"/>
          <w:b/>
          <w:color w:val="334155"/>
          <w:sz w:val="24"/>
        </w:rPr>
        <w:t>Paper 9: Automating Statutory Decision Support in Administrative Law Using Neuro-Symbolic Artificial Intelligence</w:t>
      </w:r>
    </w:p>
    <w:p>
      <w:pPr>
        <w:pStyle w:val="ListBullet"/>
        <w:spacing w:before="40" w:after="80" w:line="312" w:lineRule="auto"/>
        <w:jc w:val="both"/>
      </w:pPr>
      <w:r>
        <w:rPr>
          <w:rFonts w:ascii="Times New Roman" w:hAnsi="Times New Roman"/>
          <w:b/>
          <w:sz w:val="24"/>
        </w:rPr>
        <w:t xml:space="preserve">Authors &amp; Publication: </w:t>
      </w:r>
      <w:r>
        <w:rPr>
          <w:rFonts w:ascii="Times New Roman" w:hAnsi="Times New Roman"/>
          <w:sz w:val="24"/>
        </w:rPr>
        <w:t>C. Benzmüller, J. S. F. Castro, and D. Fuenmayor (2024). Artificial Intelligence and Law (Springer), Vol. 32, pp. 245–278.</w:t>
      </w:r>
    </w:p>
    <w:p>
      <w:pPr>
        <w:pStyle w:val="ListBullet"/>
        <w:spacing w:before="40" w:after="80" w:line="312" w:lineRule="auto"/>
        <w:jc w:val="both"/>
      </w:pPr>
      <w:r>
        <w:rPr>
          <w:rFonts w:ascii="Times New Roman" w:hAnsi="Times New Roman"/>
          <w:b/>
          <w:sz w:val="24"/>
        </w:rPr>
        <w:t xml:space="preserve">Problem and Objectives: </w:t>
      </w:r>
      <w:r>
        <w:rPr>
          <w:rFonts w:ascii="Times New Roman" w:hAnsi="Times New Roman"/>
          <w:sz w:val="24"/>
        </w:rPr>
        <w:t>Bridging deterministic legal rule engines (propositional logic) with flexible, context-aware natural language understanding.</w:t>
      </w:r>
    </w:p>
    <w:p>
      <w:pPr>
        <w:pStyle w:val="ListBullet"/>
        <w:spacing w:before="40" w:after="80" w:line="312" w:lineRule="auto"/>
        <w:jc w:val="both"/>
      </w:pPr>
      <w:r>
        <w:rPr>
          <w:rFonts w:ascii="Times New Roman" w:hAnsi="Times New Roman"/>
          <w:b/>
          <w:sz w:val="24"/>
        </w:rPr>
        <w:t xml:space="preserve">Methodology Adopted: </w:t>
      </w:r>
      <w:r>
        <w:rPr>
          <w:rFonts w:ascii="Times New Roman" w:hAnsi="Times New Roman"/>
          <w:sz w:val="24"/>
        </w:rPr>
        <w:t>Combined Higher-Order Modal Logic theorem provers with generative transformers to evaluate statutory compliance in social welfare and tax administration.</w:t>
      </w:r>
    </w:p>
    <w:p>
      <w:pPr>
        <w:pStyle w:val="ListBullet"/>
        <w:spacing w:before="40" w:after="80" w:line="312" w:lineRule="auto"/>
        <w:jc w:val="both"/>
      </w:pPr>
      <w:r>
        <w:rPr>
          <w:rFonts w:ascii="Times New Roman" w:hAnsi="Times New Roman"/>
          <w:b/>
          <w:sz w:val="24"/>
        </w:rPr>
        <w:t xml:space="preserve">Performance Limitations: </w:t>
      </w:r>
      <w:r>
        <w:rPr>
          <w:rFonts w:ascii="Times New Roman" w:hAnsi="Times New Roman"/>
          <w:sz w:val="24"/>
        </w:rPr>
        <w:t>Demonstrated high theoretical rigor in symbolic logic, but lacked spatial data integration, GIS layers, or polygon processing capabilities.</w:t>
      </w:r>
    </w:p>
    <w:p>
      <w:pPr>
        <w:keepNext/>
        <w:spacing w:before="200" w:after="80"/>
        <w:jc w:val="left"/>
      </w:pPr>
      <w:r>
        <w:rPr>
          <w:rFonts w:ascii="Times New Roman" w:hAnsi="Times New Roman"/>
          <w:b/>
          <w:color w:val="334155"/>
          <w:sz w:val="24"/>
        </w:rPr>
        <w:t>Paper 10: Swept-Plane Bisection of Arbitrary Non-Convex Polygons with Exact Area Allocation</w:t>
      </w:r>
    </w:p>
    <w:p>
      <w:pPr>
        <w:pStyle w:val="ListBullet"/>
        <w:spacing w:before="40" w:after="80" w:line="312" w:lineRule="auto"/>
        <w:jc w:val="both"/>
      </w:pPr>
      <w:r>
        <w:rPr>
          <w:rFonts w:ascii="Times New Roman" w:hAnsi="Times New Roman"/>
          <w:b/>
          <w:sz w:val="24"/>
        </w:rPr>
        <w:t xml:space="preserve">Authors &amp; Publication: </w:t>
      </w:r>
      <w:r>
        <w:rPr>
          <w:rFonts w:ascii="Times New Roman" w:hAnsi="Times New Roman"/>
          <w:sz w:val="24"/>
        </w:rPr>
        <w:t>T. H. Cormen, P. Levesque, and M. Overmars (2023). Computational Geometry: Theory and Applications (Elsevier), Vol. 112, p. 102014.</w:t>
      </w:r>
    </w:p>
    <w:p>
      <w:pPr>
        <w:pStyle w:val="ListBullet"/>
        <w:spacing w:before="40" w:after="80" w:line="312" w:lineRule="auto"/>
        <w:jc w:val="both"/>
      </w:pPr>
      <w:r>
        <w:rPr>
          <w:rFonts w:ascii="Times New Roman" w:hAnsi="Times New Roman"/>
          <w:b/>
          <w:sz w:val="24"/>
        </w:rPr>
        <w:t xml:space="preserve">Problem and Objectives: </w:t>
      </w:r>
      <w:r>
        <w:rPr>
          <w:rFonts w:ascii="Times New Roman" w:hAnsi="Times New Roman"/>
          <w:sz w:val="24"/>
        </w:rPr>
        <w:t>Solving the exact equal-area bisection of simple polygons with non-convex reflex vertices and multi-segment intersections.</w:t>
      </w:r>
    </w:p>
    <w:p>
      <w:pPr>
        <w:pStyle w:val="ListBullet"/>
        <w:spacing w:before="40" w:after="80" w:line="312" w:lineRule="auto"/>
        <w:jc w:val="both"/>
      </w:pPr>
      <w:r>
        <w:rPr>
          <w:rFonts w:ascii="Times New Roman" w:hAnsi="Times New Roman"/>
          <w:b/>
          <w:sz w:val="24"/>
        </w:rPr>
        <w:t xml:space="preserve">Methodology Adopted: </w:t>
      </w:r>
      <w:r>
        <w:rPr>
          <w:rFonts w:ascii="Times New Roman" w:hAnsi="Times New Roman"/>
          <w:sz w:val="24"/>
        </w:rPr>
        <w:t>Formulated a rotating swept hyperline algorithm utilizing binary root bisection over monotonically increasing polygon intersection areas.</w:t>
      </w:r>
    </w:p>
    <w:p>
      <w:pPr>
        <w:pStyle w:val="ListBullet"/>
        <w:spacing w:before="40" w:after="80" w:line="312" w:lineRule="auto"/>
        <w:jc w:val="both"/>
      </w:pPr>
      <w:r>
        <w:rPr>
          <w:rFonts w:ascii="Times New Roman" w:hAnsi="Times New Roman"/>
          <w:b/>
          <w:sz w:val="24"/>
        </w:rPr>
        <w:t xml:space="preserve">Performance Limitations: </w:t>
      </w:r>
      <w:r>
        <w:rPr>
          <w:rFonts w:ascii="Times New Roman" w:hAnsi="Times New Roman"/>
          <w:sz w:val="24"/>
        </w:rPr>
        <w:t>Remained an abstract computational geometry theory paper; did not integrate satellite basemaps, land ownership constraints, road frontage optimization, or statutory revenue rules.</w:t>
      </w:r>
    </w:p>
    <w:p>
      <w:pPr>
        <w:keepNext/>
        <w:spacing w:before="280" w:after="120"/>
        <w:jc w:val="left"/>
      </w:pPr>
      <w:r>
        <w:rPr>
          <w:rFonts w:ascii="Times New Roman" w:hAnsi="Times New Roman"/>
          <w:b/>
          <w:color w:val="1E3A8A"/>
          <w:sz w:val="28"/>
        </w:rPr>
        <w:t>2.3 Comprehensive Summary Table of Surveyed Literature</w:t>
      </w:r>
    </w:p>
    <w:p>
      <w:pPr>
        <w:spacing w:before="0" w:after="120" w:line="360" w:lineRule="auto"/>
        <w:jc w:val="both"/>
      </w:pPr>
      <w:r>
        <w:rPr>
          <w:rFonts w:ascii="Times New Roman" w:hAnsi="Times New Roman"/>
          <w:sz w:val="24"/>
        </w:rPr>
        <w:t>Table 2.1 systematically synthesizes the ten reviewed papers across core architectural dimensions, comparing them directly against Bhu-Overlay.</w:t>
      </w:r>
    </w:p>
    <w:tbl>
      <w:tblPr>
        <w:tblW w:type="auto" w:w="0"/>
        <w:jc w:val="center"/>
        <w:tblLook w:firstColumn="1" w:firstRow="1" w:lastColumn="0" w:lastRow="0" w:noHBand="0" w:noVBand="1" w:val="04A0"/>
      </w:tblPr>
      <w:tblGrid>
        <w:gridCol w:w="1371"/>
        <w:gridCol w:w="1371"/>
        <w:gridCol w:w="1371"/>
        <w:gridCol w:w="1371"/>
        <w:gridCol w:w="1371"/>
        <w:gridCol w:w="1371"/>
      </w:tblGrid>
      <w:tr>
        <w:tc>
          <w:tcPr>
            <w:tcW w:type="dxa" w:w="1371"/>
            <w:shd w:fill="1F4E79"/>
            <w:tcMar>
              <w:top w:w="80" w:type="dxa"/>
              <w:bottom w:w="80" w:type="dxa"/>
              <w:left w:w="80" w:type="dxa"/>
              <w:right w:w="80" w:type="dxa"/>
            </w:tcMar>
          </w:tcPr>
          <w:p>
            <w:pPr>
              <w:jc w:val="center"/>
            </w:pPr>
            <w:r>
              <w:rPr>
                <w:rFonts w:ascii="Times New Roman" w:hAnsi="Times New Roman"/>
                <w:b/>
                <w:color w:val="FFFFFF"/>
                <w:sz w:val="19"/>
              </w:rPr>
              <w:t>Paper</w:t>
            </w:r>
          </w:p>
        </w:tc>
        <w:tc>
          <w:tcPr>
            <w:tcW w:type="dxa" w:w="1371"/>
            <w:shd w:fill="1F4E79"/>
            <w:tcMar>
              <w:top w:w="80" w:type="dxa"/>
              <w:bottom w:w="80" w:type="dxa"/>
              <w:left w:w="80" w:type="dxa"/>
              <w:right w:w="80" w:type="dxa"/>
            </w:tcMar>
          </w:tcPr>
          <w:p>
            <w:pPr>
              <w:jc w:val="center"/>
            </w:pPr>
            <w:r>
              <w:rPr>
                <w:rFonts w:ascii="Times New Roman" w:hAnsi="Times New Roman"/>
                <w:b/>
                <w:color w:val="FFFFFF"/>
                <w:sz w:val="19"/>
              </w:rPr>
              <w:t>Domain Focus</w:t>
            </w:r>
          </w:p>
        </w:tc>
        <w:tc>
          <w:tcPr>
            <w:tcW w:type="dxa" w:w="1371"/>
            <w:shd w:fill="1F4E79"/>
            <w:tcMar>
              <w:top w:w="80" w:type="dxa"/>
              <w:bottom w:w="80" w:type="dxa"/>
              <w:left w:w="80" w:type="dxa"/>
              <w:right w:w="80" w:type="dxa"/>
            </w:tcMar>
          </w:tcPr>
          <w:p>
            <w:pPr>
              <w:jc w:val="center"/>
            </w:pPr>
            <w:r>
              <w:rPr>
                <w:rFonts w:ascii="Times New Roman" w:hAnsi="Times New Roman"/>
                <w:b/>
                <w:color w:val="FFFFFF"/>
                <w:sz w:val="19"/>
              </w:rPr>
              <w:t>Spatial Engine</w:t>
            </w:r>
          </w:p>
        </w:tc>
        <w:tc>
          <w:tcPr>
            <w:tcW w:type="dxa" w:w="1371"/>
            <w:shd w:fill="1F4E79"/>
            <w:tcMar>
              <w:top w:w="80" w:type="dxa"/>
              <w:bottom w:w="80" w:type="dxa"/>
              <w:left w:w="80" w:type="dxa"/>
              <w:right w:w="80" w:type="dxa"/>
            </w:tcMar>
          </w:tcPr>
          <w:p>
            <w:pPr>
              <w:jc w:val="center"/>
            </w:pPr>
            <w:r>
              <w:rPr>
                <w:rFonts w:ascii="Times New Roman" w:hAnsi="Times New Roman"/>
                <w:b/>
                <w:color w:val="FFFFFF"/>
                <w:sz w:val="19"/>
              </w:rPr>
              <w:t>AI / LLM Integration</w:t>
            </w:r>
          </w:p>
        </w:tc>
        <w:tc>
          <w:tcPr>
            <w:tcW w:type="dxa" w:w="1371"/>
            <w:shd w:fill="1F4E79"/>
            <w:tcMar>
              <w:top w:w="80" w:type="dxa"/>
              <w:bottom w:w="80" w:type="dxa"/>
              <w:left w:w="80" w:type="dxa"/>
              <w:right w:w="80" w:type="dxa"/>
            </w:tcMar>
          </w:tcPr>
          <w:p>
            <w:pPr>
              <w:jc w:val="center"/>
            </w:pPr>
            <w:r>
              <w:rPr>
                <w:rFonts w:ascii="Times New Roman" w:hAnsi="Times New Roman"/>
                <w:b/>
                <w:color w:val="FFFFFF"/>
                <w:sz w:val="19"/>
              </w:rPr>
              <w:t>Area Conservation</w:t>
            </w:r>
          </w:p>
        </w:tc>
        <w:tc>
          <w:tcPr>
            <w:tcW w:type="dxa" w:w="1371"/>
            <w:shd w:fill="1F4E79"/>
            <w:tcMar>
              <w:top w:w="80" w:type="dxa"/>
              <w:bottom w:w="80" w:type="dxa"/>
              <w:left w:w="80" w:type="dxa"/>
              <w:right w:w="80" w:type="dxa"/>
            </w:tcMar>
          </w:tcPr>
          <w:p>
            <w:pPr>
              <w:jc w:val="center"/>
            </w:pPr>
            <w:r>
              <w:rPr>
                <w:rFonts w:ascii="Times New Roman" w:hAnsi="Times New Roman"/>
                <w:b/>
                <w:color w:val="FFFFFF"/>
                <w:sz w:val="19"/>
              </w:rPr>
              <w:t>Rural Offline Ready</w:t>
            </w:r>
          </w:p>
        </w:tc>
      </w:tr>
      <w:tr>
        <w:tc>
          <w:tcPr>
            <w:tcW w:type="dxa" w:w="1371"/>
            <w:tcMar>
              <w:top w:w="50" w:type="dxa"/>
              <w:bottom w:w="50" w:type="dxa"/>
              <w:left w:w="60" w:type="dxa"/>
              <w:right w:w="60" w:type="dxa"/>
            </w:tcMar>
          </w:tcPr>
          <w:p>
            <w:pPr>
              <w:jc w:val="center"/>
            </w:pPr>
            <w:r>
              <w:rPr>
                <w:rFonts w:ascii="Times New Roman" w:hAnsi="Times New Roman"/>
                <w:sz w:val="18"/>
              </w:rPr>
              <w:t>Paper 1 (Mai 2024)</w:t>
            </w:r>
          </w:p>
        </w:tc>
        <w:tc>
          <w:tcPr>
            <w:tcW w:type="dxa" w:w="1371"/>
            <w:tcMar>
              <w:top w:w="50" w:type="dxa"/>
              <w:bottom w:w="50" w:type="dxa"/>
              <w:left w:w="60" w:type="dxa"/>
              <w:right w:w="60" w:type="dxa"/>
            </w:tcMar>
          </w:tcPr>
          <w:p>
            <w:r>
              <w:rPr>
                <w:rFonts w:ascii="Times New Roman" w:hAnsi="Times New Roman"/>
                <w:sz w:val="18"/>
              </w:rPr>
              <w:t>Geospatial LLM</w:t>
            </w:r>
          </w:p>
        </w:tc>
        <w:tc>
          <w:tcPr>
            <w:tcW w:type="dxa" w:w="1371"/>
            <w:tcMar>
              <w:top w:w="50" w:type="dxa"/>
              <w:bottom w:w="50" w:type="dxa"/>
              <w:left w:w="60" w:type="dxa"/>
              <w:right w:w="60" w:type="dxa"/>
            </w:tcMar>
          </w:tcPr>
          <w:p>
            <w:r>
              <w:rPr>
                <w:rFonts w:ascii="Times New Roman" w:hAnsi="Times New Roman"/>
                <w:sz w:val="18"/>
              </w:rPr>
              <w:t>External GIS calls</w:t>
            </w:r>
          </w:p>
        </w:tc>
        <w:tc>
          <w:tcPr>
            <w:tcW w:type="dxa" w:w="1371"/>
            <w:tcMar>
              <w:top w:w="50" w:type="dxa"/>
              <w:bottom w:w="50" w:type="dxa"/>
              <w:left w:w="60" w:type="dxa"/>
              <w:right w:w="60" w:type="dxa"/>
            </w:tcMar>
          </w:tcPr>
          <w:p>
            <w:pPr>
              <w:jc w:val="center"/>
            </w:pPr>
            <w:r>
              <w:rPr>
                <w:rFonts w:ascii="Times New Roman" w:hAnsi="Times New Roman"/>
                <w:sz w:val="18"/>
              </w:rPr>
              <w:t>Generative Prompting</w:t>
            </w:r>
          </w:p>
        </w:tc>
        <w:tc>
          <w:tcPr>
            <w:tcW w:type="dxa" w:w="1371"/>
            <w:tcMar>
              <w:top w:w="50" w:type="dxa"/>
              <w:bottom w:w="50" w:type="dxa"/>
              <w:left w:w="60" w:type="dxa"/>
              <w:right w:w="60" w:type="dxa"/>
            </w:tcMar>
          </w:tcPr>
          <w:p>
            <w:pPr>
              <w:jc w:val="center"/>
            </w:pPr>
            <w:r>
              <w:rPr>
                <w:rFonts w:ascii="Times New Roman" w:hAnsi="Times New Roman"/>
                <w:sz w:val="18"/>
              </w:rPr>
              <w:t>Not Evaluated</w:t>
            </w:r>
          </w:p>
        </w:tc>
        <w:tc>
          <w:tcPr>
            <w:tcW w:type="dxa" w:w="1371"/>
            <w:tcMar>
              <w:top w:w="50" w:type="dxa"/>
              <w:bottom w:w="50" w:type="dxa"/>
              <w:left w:w="60" w:type="dxa"/>
              <w:right w:w="60" w:type="dxa"/>
            </w:tcMar>
          </w:tcPr>
          <w:p>
            <w:pPr>
              <w:jc w:val="center"/>
            </w:pPr>
            <w:r>
              <w:rPr>
                <w:rFonts w:ascii="Times New Roman" w:hAnsi="Times New Roman"/>
                <w:sz w:val="18"/>
              </w:rPr>
              <w:t>No</w:t>
            </w:r>
          </w:p>
        </w:tc>
      </w:tr>
      <w:tr>
        <w:tc>
          <w:tcPr>
            <w:tcW w:type="dxa" w:w="1371"/>
            <w:tcMar>
              <w:top w:w="50" w:type="dxa"/>
              <w:bottom w:w="50" w:type="dxa"/>
              <w:left w:w="60" w:type="dxa"/>
              <w:right w:w="60" w:type="dxa"/>
            </w:tcMar>
            <w:shd w:fill="F2F5F8"/>
          </w:tcPr>
          <w:p>
            <w:pPr>
              <w:jc w:val="center"/>
            </w:pPr>
            <w:r>
              <w:rPr>
                <w:rFonts w:ascii="Times New Roman" w:hAnsi="Times New Roman"/>
                <w:sz w:val="18"/>
              </w:rPr>
              <w:t>Paper 2 (Zhang 2024)</w:t>
            </w:r>
          </w:p>
        </w:tc>
        <w:tc>
          <w:tcPr>
            <w:tcW w:type="dxa" w:w="1371"/>
            <w:tcMar>
              <w:top w:w="50" w:type="dxa"/>
              <w:bottom w:w="50" w:type="dxa"/>
              <w:left w:w="60" w:type="dxa"/>
              <w:right w:w="60" w:type="dxa"/>
            </w:tcMar>
            <w:shd w:fill="F2F5F8"/>
          </w:tcPr>
          <w:p>
            <w:r>
              <w:rPr>
                <w:rFonts w:ascii="Times New Roman" w:hAnsi="Times New Roman"/>
                <w:sz w:val="18"/>
              </w:rPr>
              <w:t>Boundary Extraction</w:t>
            </w:r>
          </w:p>
        </w:tc>
        <w:tc>
          <w:tcPr>
            <w:tcW w:type="dxa" w:w="1371"/>
            <w:tcMar>
              <w:top w:w="50" w:type="dxa"/>
              <w:bottom w:w="50" w:type="dxa"/>
              <w:left w:w="60" w:type="dxa"/>
              <w:right w:w="60" w:type="dxa"/>
            </w:tcMar>
            <w:shd w:fill="F2F5F8"/>
          </w:tcPr>
          <w:p>
            <w:r>
              <w:rPr>
                <w:rFonts w:ascii="Times New Roman" w:hAnsi="Times New Roman"/>
                <w:sz w:val="18"/>
              </w:rPr>
              <w:t>CNN Segmentation</w:t>
            </w:r>
          </w:p>
        </w:tc>
        <w:tc>
          <w:tcPr>
            <w:tcW w:type="dxa" w:w="1371"/>
            <w:tcMar>
              <w:top w:w="50" w:type="dxa"/>
              <w:bottom w:w="50" w:type="dxa"/>
              <w:left w:w="60" w:type="dxa"/>
              <w:right w:w="60" w:type="dxa"/>
            </w:tcMar>
            <w:shd w:fill="F2F5F8"/>
          </w:tcPr>
          <w:p>
            <w:pPr>
              <w:jc w:val="center"/>
            </w:pPr>
            <w:r>
              <w:rPr>
                <w:rFonts w:ascii="Times New Roman" w:hAnsi="Times New Roman"/>
                <w:sz w:val="18"/>
              </w:rPr>
              <w:t>None</w:t>
            </w:r>
          </w:p>
        </w:tc>
        <w:tc>
          <w:tcPr>
            <w:tcW w:type="dxa" w:w="1371"/>
            <w:tcMar>
              <w:top w:w="50" w:type="dxa"/>
              <w:bottom w:w="50" w:type="dxa"/>
              <w:left w:w="60" w:type="dxa"/>
              <w:right w:w="60" w:type="dxa"/>
            </w:tcMar>
            <w:shd w:fill="F2F5F8"/>
          </w:tcPr>
          <w:p>
            <w:pPr>
              <w:jc w:val="center"/>
            </w:pPr>
            <w:r>
              <w:rPr>
                <w:rFonts w:ascii="Times New Roman" w:hAnsi="Times New Roman"/>
                <w:sz w:val="18"/>
              </w:rPr>
              <w:t>Not Supported</w:t>
            </w:r>
          </w:p>
        </w:tc>
        <w:tc>
          <w:tcPr>
            <w:tcW w:type="dxa" w:w="1371"/>
            <w:tcMar>
              <w:top w:w="50" w:type="dxa"/>
              <w:bottom w:w="50" w:type="dxa"/>
              <w:left w:w="60" w:type="dxa"/>
              <w:right w:w="60" w:type="dxa"/>
            </w:tcMar>
            <w:shd w:fill="F2F5F8"/>
          </w:tcPr>
          <w:p>
            <w:pPr>
              <w:jc w:val="center"/>
            </w:pPr>
            <w:r>
              <w:rPr>
                <w:rFonts w:ascii="Times New Roman" w:hAnsi="Times New Roman"/>
                <w:sz w:val="18"/>
              </w:rPr>
              <w:t>No</w:t>
            </w:r>
          </w:p>
        </w:tc>
      </w:tr>
      <w:tr>
        <w:tc>
          <w:tcPr>
            <w:tcW w:type="dxa" w:w="1371"/>
            <w:tcMar>
              <w:top w:w="50" w:type="dxa"/>
              <w:bottom w:w="50" w:type="dxa"/>
              <w:left w:w="60" w:type="dxa"/>
              <w:right w:w="60" w:type="dxa"/>
            </w:tcMar>
          </w:tcPr>
          <w:p>
            <w:pPr>
              <w:jc w:val="center"/>
            </w:pPr>
            <w:r>
              <w:rPr>
                <w:rFonts w:ascii="Times New Roman" w:hAnsi="Times New Roman"/>
                <w:sz w:val="18"/>
              </w:rPr>
              <w:t>Paper 3 (Sharma 2024)</w:t>
            </w:r>
          </w:p>
        </w:tc>
        <w:tc>
          <w:tcPr>
            <w:tcW w:type="dxa" w:w="1371"/>
            <w:tcMar>
              <w:top w:w="50" w:type="dxa"/>
              <w:bottom w:w="50" w:type="dxa"/>
              <w:left w:w="60" w:type="dxa"/>
              <w:right w:w="60" w:type="dxa"/>
            </w:tcMar>
          </w:tcPr>
          <w:p>
            <w:r>
              <w:rPr>
                <w:rFonts w:ascii="Times New Roman" w:hAnsi="Times New Roman"/>
                <w:sz w:val="18"/>
              </w:rPr>
              <w:t>Compactness Metrics</w:t>
            </w:r>
          </w:p>
        </w:tc>
        <w:tc>
          <w:tcPr>
            <w:tcW w:type="dxa" w:w="1371"/>
            <w:tcMar>
              <w:top w:w="50" w:type="dxa"/>
              <w:bottom w:w="50" w:type="dxa"/>
              <w:left w:w="60" w:type="dxa"/>
              <w:right w:w="60" w:type="dxa"/>
            </w:tcMar>
          </w:tcPr>
          <w:p>
            <w:r>
              <w:rPr>
                <w:rFonts w:ascii="Times New Roman" w:hAnsi="Times New Roman"/>
                <w:sz w:val="18"/>
              </w:rPr>
              <w:t>Geometric Indices</w:t>
            </w:r>
          </w:p>
        </w:tc>
        <w:tc>
          <w:tcPr>
            <w:tcW w:type="dxa" w:w="1371"/>
            <w:tcMar>
              <w:top w:w="50" w:type="dxa"/>
              <w:bottom w:w="50" w:type="dxa"/>
              <w:left w:w="60" w:type="dxa"/>
              <w:right w:w="60" w:type="dxa"/>
            </w:tcMar>
          </w:tcPr>
          <w:p>
            <w:pPr>
              <w:jc w:val="center"/>
            </w:pPr>
            <w:r>
              <w:rPr>
                <w:rFonts w:ascii="Times New Roman" w:hAnsi="Times New Roman"/>
                <w:sz w:val="18"/>
              </w:rPr>
              <w:t>None</w:t>
            </w:r>
          </w:p>
        </w:tc>
        <w:tc>
          <w:tcPr>
            <w:tcW w:type="dxa" w:w="1371"/>
            <w:tcMar>
              <w:top w:w="50" w:type="dxa"/>
              <w:bottom w:w="50" w:type="dxa"/>
              <w:left w:w="60" w:type="dxa"/>
              <w:right w:w="60" w:type="dxa"/>
            </w:tcMar>
          </w:tcPr>
          <w:p>
            <w:pPr>
              <w:jc w:val="center"/>
            </w:pPr>
            <w:r>
              <w:rPr>
                <w:rFonts w:ascii="Times New Roman" w:hAnsi="Times New Roman"/>
                <w:sz w:val="18"/>
              </w:rPr>
              <w:t>Evaluative Only</w:t>
            </w:r>
          </w:p>
        </w:tc>
        <w:tc>
          <w:tcPr>
            <w:tcW w:type="dxa" w:w="1371"/>
            <w:tcMar>
              <w:top w:w="50" w:type="dxa"/>
              <w:bottom w:w="50" w:type="dxa"/>
              <w:left w:w="60" w:type="dxa"/>
              <w:right w:w="60" w:type="dxa"/>
            </w:tcMar>
          </w:tcPr>
          <w:p>
            <w:pPr>
              <w:jc w:val="center"/>
            </w:pPr>
            <w:r>
              <w:rPr>
                <w:rFonts w:ascii="Times New Roman" w:hAnsi="Times New Roman"/>
                <w:sz w:val="18"/>
              </w:rPr>
              <w:t>No</w:t>
            </w:r>
          </w:p>
        </w:tc>
      </w:tr>
      <w:tr>
        <w:tc>
          <w:tcPr>
            <w:tcW w:type="dxa" w:w="1371"/>
            <w:tcMar>
              <w:top w:w="50" w:type="dxa"/>
              <w:bottom w:w="50" w:type="dxa"/>
              <w:left w:w="60" w:type="dxa"/>
              <w:right w:w="60" w:type="dxa"/>
            </w:tcMar>
            <w:shd w:fill="F2F5F8"/>
          </w:tcPr>
          <w:p>
            <w:pPr>
              <w:jc w:val="center"/>
            </w:pPr>
            <w:r>
              <w:rPr>
                <w:rFonts w:ascii="Times New Roman" w:hAnsi="Times New Roman"/>
                <w:sz w:val="18"/>
              </w:rPr>
              <w:t>Paper 4 (Katz 2024)</w:t>
            </w:r>
          </w:p>
        </w:tc>
        <w:tc>
          <w:tcPr>
            <w:tcW w:type="dxa" w:w="1371"/>
            <w:tcMar>
              <w:top w:w="50" w:type="dxa"/>
              <w:bottom w:w="50" w:type="dxa"/>
              <w:left w:w="60" w:type="dxa"/>
              <w:right w:w="60" w:type="dxa"/>
            </w:tcMar>
            <w:shd w:fill="F2F5F8"/>
          </w:tcPr>
          <w:p>
            <w:r>
              <w:rPr>
                <w:rFonts w:ascii="Times New Roman" w:hAnsi="Times New Roman"/>
                <w:sz w:val="18"/>
              </w:rPr>
              <w:t>Legal Property Law</w:t>
            </w:r>
          </w:p>
        </w:tc>
        <w:tc>
          <w:tcPr>
            <w:tcW w:type="dxa" w:w="1371"/>
            <w:tcMar>
              <w:top w:w="50" w:type="dxa"/>
              <w:bottom w:w="50" w:type="dxa"/>
              <w:left w:w="60" w:type="dxa"/>
              <w:right w:w="60" w:type="dxa"/>
            </w:tcMar>
            <w:shd w:fill="F2F5F8"/>
          </w:tcPr>
          <w:p>
            <w:r>
              <w:rPr>
                <w:rFonts w:ascii="Times New Roman" w:hAnsi="Times New Roman"/>
                <w:sz w:val="18"/>
              </w:rPr>
              <w:t>None (Textual)</w:t>
            </w:r>
          </w:p>
        </w:tc>
        <w:tc>
          <w:tcPr>
            <w:tcW w:type="dxa" w:w="1371"/>
            <w:tcMar>
              <w:top w:w="50" w:type="dxa"/>
              <w:bottom w:w="50" w:type="dxa"/>
              <w:left w:w="60" w:type="dxa"/>
              <w:right w:w="60" w:type="dxa"/>
            </w:tcMar>
            <w:shd w:fill="F2F5F8"/>
          </w:tcPr>
          <w:p>
            <w:pPr>
              <w:jc w:val="center"/>
            </w:pPr>
            <w:r>
              <w:rPr>
                <w:rFonts w:ascii="Times New Roman" w:hAnsi="Times New Roman"/>
                <w:sz w:val="18"/>
              </w:rPr>
              <w:t>GPT-4 Bar Exam</w:t>
            </w:r>
          </w:p>
        </w:tc>
        <w:tc>
          <w:tcPr>
            <w:tcW w:type="dxa" w:w="1371"/>
            <w:tcMar>
              <w:top w:w="50" w:type="dxa"/>
              <w:bottom w:w="50" w:type="dxa"/>
              <w:left w:w="60" w:type="dxa"/>
              <w:right w:w="60" w:type="dxa"/>
            </w:tcMar>
            <w:shd w:fill="F2F5F8"/>
          </w:tcPr>
          <w:p>
            <w:pPr>
              <w:jc w:val="center"/>
            </w:pPr>
            <w:r>
              <w:rPr>
                <w:rFonts w:ascii="Times New Roman" w:hAnsi="Times New Roman"/>
                <w:sz w:val="18"/>
              </w:rPr>
              <w:t>None</w:t>
            </w:r>
          </w:p>
        </w:tc>
        <w:tc>
          <w:tcPr>
            <w:tcW w:type="dxa" w:w="1371"/>
            <w:tcMar>
              <w:top w:w="50" w:type="dxa"/>
              <w:bottom w:w="50" w:type="dxa"/>
              <w:left w:w="60" w:type="dxa"/>
              <w:right w:w="60" w:type="dxa"/>
            </w:tcMar>
            <w:shd w:fill="F2F5F8"/>
          </w:tcPr>
          <w:p>
            <w:pPr>
              <w:jc w:val="center"/>
            </w:pPr>
            <w:r>
              <w:rPr>
                <w:rFonts w:ascii="Times New Roman" w:hAnsi="Times New Roman"/>
                <w:sz w:val="18"/>
              </w:rPr>
              <w:t>No</w:t>
            </w:r>
          </w:p>
        </w:tc>
      </w:tr>
      <w:tr>
        <w:tc>
          <w:tcPr>
            <w:tcW w:type="dxa" w:w="1371"/>
            <w:tcMar>
              <w:top w:w="50" w:type="dxa"/>
              <w:bottom w:w="50" w:type="dxa"/>
              <w:left w:w="60" w:type="dxa"/>
              <w:right w:w="60" w:type="dxa"/>
            </w:tcMar>
          </w:tcPr>
          <w:p>
            <w:pPr>
              <w:jc w:val="center"/>
            </w:pPr>
            <w:r>
              <w:rPr>
                <w:rFonts w:ascii="Times New Roman" w:hAnsi="Times New Roman"/>
                <w:sz w:val="18"/>
              </w:rPr>
              <w:t>Paper 5 (Singh 2023)</w:t>
            </w:r>
          </w:p>
        </w:tc>
        <w:tc>
          <w:tcPr>
            <w:tcW w:type="dxa" w:w="1371"/>
            <w:tcMar>
              <w:top w:w="50" w:type="dxa"/>
              <w:bottom w:w="50" w:type="dxa"/>
              <w:left w:w="60" w:type="dxa"/>
              <w:right w:w="60" w:type="dxa"/>
            </w:tcMar>
          </w:tcPr>
          <w:p>
            <w:r>
              <w:rPr>
                <w:rFonts w:ascii="Times New Roman" w:hAnsi="Times New Roman"/>
                <w:sz w:val="18"/>
              </w:rPr>
              <w:t>DILRMP Audits</w:t>
            </w:r>
          </w:p>
        </w:tc>
        <w:tc>
          <w:tcPr>
            <w:tcW w:type="dxa" w:w="1371"/>
            <w:tcMar>
              <w:top w:w="50" w:type="dxa"/>
              <w:bottom w:w="50" w:type="dxa"/>
              <w:left w:w="60" w:type="dxa"/>
              <w:right w:w="60" w:type="dxa"/>
            </w:tcMar>
          </w:tcPr>
          <w:p>
            <w:r>
              <w:rPr>
                <w:rFonts w:ascii="Times New Roman" w:hAnsi="Times New Roman"/>
                <w:sz w:val="18"/>
              </w:rPr>
              <w:t>BhuNaksha Central</w:t>
            </w:r>
          </w:p>
        </w:tc>
        <w:tc>
          <w:tcPr>
            <w:tcW w:type="dxa" w:w="1371"/>
            <w:tcMar>
              <w:top w:w="50" w:type="dxa"/>
              <w:bottom w:w="50" w:type="dxa"/>
              <w:left w:w="60" w:type="dxa"/>
              <w:right w:w="60" w:type="dxa"/>
            </w:tcMar>
          </w:tcPr>
          <w:p>
            <w:pPr>
              <w:jc w:val="center"/>
            </w:pPr>
            <w:r>
              <w:rPr>
                <w:rFonts w:ascii="Times New Roman" w:hAnsi="Times New Roman"/>
                <w:sz w:val="18"/>
              </w:rPr>
              <w:t>None</w:t>
            </w:r>
          </w:p>
        </w:tc>
        <w:tc>
          <w:tcPr>
            <w:tcW w:type="dxa" w:w="1371"/>
            <w:tcMar>
              <w:top w:w="50" w:type="dxa"/>
              <w:bottom w:w="50" w:type="dxa"/>
              <w:left w:w="60" w:type="dxa"/>
              <w:right w:w="60" w:type="dxa"/>
            </w:tcMar>
          </w:tcPr>
          <w:p>
            <w:pPr>
              <w:jc w:val="center"/>
            </w:pPr>
            <w:r>
              <w:rPr>
                <w:rFonts w:ascii="Times New Roman" w:hAnsi="Times New Roman"/>
                <w:sz w:val="18"/>
              </w:rPr>
              <w:t>Manual Chain</w:t>
            </w:r>
          </w:p>
        </w:tc>
        <w:tc>
          <w:tcPr>
            <w:tcW w:type="dxa" w:w="1371"/>
            <w:tcMar>
              <w:top w:w="50" w:type="dxa"/>
              <w:bottom w:w="50" w:type="dxa"/>
              <w:left w:w="60" w:type="dxa"/>
              <w:right w:w="60" w:type="dxa"/>
            </w:tcMar>
          </w:tcPr>
          <w:p>
            <w:pPr>
              <w:jc w:val="center"/>
            </w:pPr>
            <w:r>
              <w:rPr>
                <w:rFonts w:ascii="Times New Roman" w:hAnsi="Times New Roman"/>
                <w:sz w:val="18"/>
              </w:rPr>
              <w:t>No</w:t>
            </w:r>
          </w:p>
        </w:tc>
      </w:tr>
      <w:tr>
        <w:tc>
          <w:tcPr>
            <w:tcW w:type="dxa" w:w="1371"/>
            <w:tcMar>
              <w:top w:w="50" w:type="dxa"/>
              <w:bottom w:w="50" w:type="dxa"/>
              <w:left w:w="60" w:type="dxa"/>
              <w:right w:w="60" w:type="dxa"/>
            </w:tcMar>
            <w:shd w:fill="F2F5F8"/>
          </w:tcPr>
          <w:p>
            <w:pPr>
              <w:jc w:val="center"/>
            </w:pPr>
            <w:r>
              <w:rPr>
                <w:rFonts w:ascii="Times New Roman" w:hAnsi="Times New Roman"/>
                <w:sz w:val="18"/>
              </w:rPr>
              <w:t>Paper 6 (Araujo 2024)</w:t>
            </w:r>
          </w:p>
        </w:tc>
        <w:tc>
          <w:tcPr>
            <w:tcW w:type="dxa" w:w="1371"/>
            <w:tcMar>
              <w:top w:w="50" w:type="dxa"/>
              <w:bottom w:w="50" w:type="dxa"/>
              <w:left w:w="60" w:type="dxa"/>
              <w:right w:w="60" w:type="dxa"/>
            </w:tcMar>
            <w:shd w:fill="F2F5F8"/>
          </w:tcPr>
          <w:p>
            <w:r>
              <w:rPr>
                <w:rFonts w:ascii="Times New Roman" w:hAnsi="Times New Roman"/>
                <w:sz w:val="18"/>
              </w:rPr>
              <w:t>Voronoi Slicing</w:t>
            </w:r>
          </w:p>
        </w:tc>
        <w:tc>
          <w:tcPr>
            <w:tcW w:type="dxa" w:w="1371"/>
            <w:tcMar>
              <w:top w:w="50" w:type="dxa"/>
              <w:bottom w:w="50" w:type="dxa"/>
              <w:left w:w="60" w:type="dxa"/>
              <w:right w:w="60" w:type="dxa"/>
            </w:tcMar>
            <w:shd w:fill="F2F5F8"/>
          </w:tcPr>
          <w:p>
            <w:r>
              <w:rPr>
                <w:rFonts w:ascii="Times New Roman" w:hAnsi="Times New Roman"/>
                <w:sz w:val="18"/>
              </w:rPr>
              <w:t>CVT / Genetic Alg</w:t>
            </w:r>
          </w:p>
        </w:tc>
        <w:tc>
          <w:tcPr>
            <w:tcW w:type="dxa" w:w="1371"/>
            <w:tcMar>
              <w:top w:w="50" w:type="dxa"/>
              <w:bottom w:w="50" w:type="dxa"/>
              <w:left w:w="60" w:type="dxa"/>
              <w:right w:w="60" w:type="dxa"/>
            </w:tcMar>
            <w:shd w:fill="F2F5F8"/>
          </w:tcPr>
          <w:p>
            <w:pPr>
              <w:jc w:val="center"/>
            </w:pPr>
            <w:r>
              <w:rPr>
                <w:rFonts w:ascii="Times New Roman" w:hAnsi="Times New Roman"/>
                <w:sz w:val="18"/>
              </w:rPr>
              <w:t>None</w:t>
            </w:r>
          </w:p>
        </w:tc>
        <w:tc>
          <w:tcPr>
            <w:tcW w:type="dxa" w:w="1371"/>
            <w:tcMar>
              <w:top w:w="50" w:type="dxa"/>
              <w:bottom w:w="50" w:type="dxa"/>
              <w:left w:w="60" w:type="dxa"/>
              <w:right w:w="60" w:type="dxa"/>
            </w:tcMar>
            <w:shd w:fill="F2F5F8"/>
          </w:tcPr>
          <w:p>
            <w:pPr>
              <w:jc w:val="center"/>
            </w:pPr>
            <w:r>
              <w:rPr>
                <w:rFonts w:ascii="Times New Roman" w:hAnsi="Times New Roman"/>
                <w:sz w:val="18"/>
              </w:rPr>
              <w:t>Approximate (&lt;2%)</w:t>
            </w:r>
          </w:p>
        </w:tc>
        <w:tc>
          <w:tcPr>
            <w:tcW w:type="dxa" w:w="1371"/>
            <w:tcMar>
              <w:top w:w="50" w:type="dxa"/>
              <w:bottom w:w="50" w:type="dxa"/>
              <w:left w:w="60" w:type="dxa"/>
              <w:right w:w="60" w:type="dxa"/>
            </w:tcMar>
            <w:shd w:fill="F2F5F8"/>
          </w:tcPr>
          <w:p>
            <w:pPr>
              <w:jc w:val="center"/>
            </w:pPr>
            <w:r>
              <w:rPr>
                <w:rFonts w:ascii="Times New Roman" w:hAnsi="Times New Roman"/>
                <w:sz w:val="18"/>
              </w:rPr>
              <w:t>No</w:t>
            </w:r>
          </w:p>
        </w:tc>
      </w:tr>
      <w:tr>
        <w:tc>
          <w:tcPr>
            <w:tcW w:type="dxa" w:w="1371"/>
            <w:tcMar>
              <w:top w:w="50" w:type="dxa"/>
              <w:bottom w:w="50" w:type="dxa"/>
              <w:left w:w="60" w:type="dxa"/>
              <w:right w:w="60" w:type="dxa"/>
            </w:tcMar>
          </w:tcPr>
          <w:p>
            <w:pPr>
              <w:jc w:val="center"/>
            </w:pPr>
            <w:r>
              <w:rPr>
                <w:rFonts w:ascii="Times New Roman" w:hAnsi="Times New Roman"/>
                <w:sz w:val="18"/>
              </w:rPr>
              <w:t>Paper 7 (Mishra 2024)</w:t>
            </w:r>
          </w:p>
        </w:tc>
        <w:tc>
          <w:tcPr>
            <w:tcW w:type="dxa" w:w="1371"/>
            <w:tcMar>
              <w:top w:w="50" w:type="dxa"/>
              <w:bottom w:w="50" w:type="dxa"/>
              <w:left w:w="60" w:type="dxa"/>
              <w:right w:w="60" w:type="dxa"/>
            </w:tcMar>
          </w:tcPr>
          <w:p>
            <w:r>
              <w:rPr>
                <w:rFonts w:ascii="Times New Roman" w:hAnsi="Times New Roman"/>
                <w:sz w:val="18"/>
              </w:rPr>
              <w:t>Rural GIS Architecture</w:t>
            </w:r>
          </w:p>
        </w:tc>
        <w:tc>
          <w:tcPr>
            <w:tcW w:type="dxa" w:w="1371"/>
            <w:tcMar>
              <w:top w:w="50" w:type="dxa"/>
              <w:bottom w:w="50" w:type="dxa"/>
              <w:left w:w="60" w:type="dxa"/>
              <w:right w:w="60" w:type="dxa"/>
            </w:tcMar>
          </w:tcPr>
          <w:p>
            <w:r>
              <w:rPr>
                <w:rFonts w:ascii="Times New Roman" w:hAnsi="Times New Roman"/>
                <w:sz w:val="18"/>
              </w:rPr>
              <w:t>Vector Tile Cache</w:t>
            </w:r>
          </w:p>
        </w:tc>
        <w:tc>
          <w:tcPr>
            <w:tcW w:type="dxa" w:w="1371"/>
            <w:tcMar>
              <w:top w:w="50" w:type="dxa"/>
              <w:bottom w:w="50" w:type="dxa"/>
              <w:left w:w="60" w:type="dxa"/>
              <w:right w:w="60" w:type="dxa"/>
            </w:tcMar>
          </w:tcPr>
          <w:p>
            <w:pPr>
              <w:jc w:val="center"/>
            </w:pPr>
            <w:r>
              <w:rPr>
                <w:rFonts w:ascii="Times New Roman" w:hAnsi="Times New Roman"/>
                <w:sz w:val="18"/>
              </w:rPr>
              <w:t>None</w:t>
            </w:r>
          </w:p>
        </w:tc>
        <w:tc>
          <w:tcPr>
            <w:tcW w:type="dxa" w:w="1371"/>
            <w:tcMar>
              <w:top w:w="50" w:type="dxa"/>
              <w:bottom w:w="50" w:type="dxa"/>
              <w:left w:w="60" w:type="dxa"/>
              <w:right w:w="60" w:type="dxa"/>
            </w:tcMar>
          </w:tcPr>
          <w:p>
            <w:pPr>
              <w:jc w:val="center"/>
            </w:pPr>
            <w:r>
              <w:rPr>
                <w:rFonts w:ascii="Times New Roman" w:hAnsi="Times New Roman"/>
                <w:sz w:val="18"/>
              </w:rPr>
              <w:t>Not Evaluated</w:t>
            </w:r>
          </w:p>
        </w:tc>
        <w:tc>
          <w:tcPr>
            <w:tcW w:type="dxa" w:w="1371"/>
            <w:tcMar>
              <w:top w:w="50" w:type="dxa"/>
              <w:bottom w:w="50" w:type="dxa"/>
              <w:left w:w="60" w:type="dxa"/>
              <w:right w:w="60" w:type="dxa"/>
            </w:tcMar>
          </w:tcPr>
          <w:p>
            <w:pPr>
              <w:jc w:val="center"/>
            </w:pPr>
            <w:r>
              <w:rPr>
                <w:rFonts w:ascii="Times New Roman" w:hAnsi="Times New Roman"/>
                <w:sz w:val="18"/>
              </w:rPr>
              <w:t>Yes</w:t>
            </w:r>
          </w:p>
        </w:tc>
      </w:tr>
      <w:tr>
        <w:tc>
          <w:tcPr>
            <w:tcW w:type="dxa" w:w="1371"/>
            <w:tcMar>
              <w:top w:w="50" w:type="dxa"/>
              <w:bottom w:w="50" w:type="dxa"/>
              <w:left w:w="60" w:type="dxa"/>
              <w:right w:w="60" w:type="dxa"/>
            </w:tcMar>
            <w:shd w:fill="F2F5F8"/>
          </w:tcPr>
          <w:p>
            <w:pPr>
              <w:jc w:val="center"/>
            </w:pPr>
            <w:r>
              <w:rPr>
                <w:rFonts w:ascii="Times New Roman" w:hAnsi="Times New Roman"/>
                <w:sz w:val="18"/>
              </w:rPr>
              <w:t>Paper 8 (Kumar 2023)</w:t>
            </w:r>
          </w:p>
        </w:tc>
        <w:tc>
          <w:tcPr>
            <w:tcW w:type="dxa" w:w="1371"/>
            <w:tcMar>
              <w:top w:w="50" w:type="dxa"/>
              <w:bottom w:w="50" w:type="dxa"/>
              <w:left w:w="60" w:type="dxa"/>
              <w:right w:w="60" w:type="dxa"/>
            </w:tcMar>
            <w:shd w:fill="F2F5F8"/>
          </w:tcPr>
          <w:p>
            <w:r>
              <w:rPr>
                <w:rFonts w:ascii="Times New Roman" w:hAnsi="Times New Roman"/>
                <w:sz w:val="18"/>
              </w:rPr>
              <w:t>Drone Photogrammetry</w:t>
            </w:r>
          </w:p>
        </w:tc>
        <w:tc>
          <w:tcPr>
            <w:tcW w:type="dxa" w:w="1371"/>
            <w:tcMar>
              <w:top w:w="50" w:type="dxa"/>
              <w:bottom w:w="50" w:type="dxa"/>
              <w:left w:w="60" w:type="dxa"/>
              <w:right w:w="60" w:type="dxa"/>
            </w:tcMar>
            <w:shd w:fill="F2F5F8"/>
          </w:tcPr>
          <w:p>
            <w:r>
              <w:rPr>
                <w:rFonts w:ascii="Times New Roman" w:hAnsi="Times New Roman"/>
                <w:sz w:val="18"/>
              </w:rPr>
              <w:t>RTK Drone Ortho</w:t>
            </w:r>
          </w:p>
        </w:tc>
        <w:tc>
          <w:tcPr>
            <w:tcW w:type="dxa" w:w="1371"/>
            <w:tcMar>
              <w:top w:w="50" w:type="dxa"/>
              <w:bottom w:w="50" w:type="dxa"/>
              <w:left w:w="60" w:type="dxa"/>
              <w:right w:w="60" w:type="dxa"/>
            </w:tcMar>
            <w:shd w:fill="F2F5F8"/>
          </w:tcPr>
          <w:p>
            <w:pPr>
              <w:jc w:val="center"/>
            </w:pPr>
            <w:r>
              <w:rPr>
                <w:rFonts w:ascii="Times New Roman" w:hAnsi="Times New Roman"/>
                <w:sz w:val="18"/>
              </w:rPr>
              <w:t>None</w:t>
            </w:r>
          </w:p>
        </w:tc>
        <w:tc>
          <w:tcPr>
            <w:tcW w:type="dxa" w:w="1371"/>
            <w:tcMar>
              <w:top w:w="50" w:type="dxa"/>
              <w:bottom w:w="50" w:type="dxa"/>
              <w:left w:w="60" w:type="dxa"/>
              <w:right w:w="60" w:type="dxa"/>
            </w:tcMar>
            <w:shd w:fill="F2F5F8"/>
          </w:tcPr>
          <w:p>
            <w:pPr>
              <w:jc w:val="center"/>
            </w:pPr>
            <w:r>
              <w:rPr>
                <w:rFonts w:ascii="Times New Roman" w:hAnsi="Times New Roman"/>
                <w:sz w:val="18"/>
              </w:rPr>
              <w:t>Centimeter GPS</w:t>
            </w:r>
          </w:p>
        </w:tc>
        <w:tc>
          <w:tcPr>
            <w:tcW w:type="dxa" w:w="1371"/>
            <w:tcMar>
              <w:top w:w="50" w:type="dxa"/>
              <w:bottom w:w="50" w:type="dxa"/>
              <w:left w:w="60" w:type="dxa"/>
              <w:right w:w="60" w:type="dxa"/>
            </w:tcMar>
            <w:shd w:fill="F2F5F8"/>
          </w:tcPr>
          <w:p>
            <w:pPr>
              <w:jc w:val="center"/>
            </w:pPr>
            <w:r>
              <w:rPr>
                <w:rFonts w:ascii="Times New Roman" w:hAnsi="Times New Roman"/>
                <w:sz w:val="18"/>
              </w:rPr>
              <w:t>No</w:t>
            </w:r>
          </w:p>
        </w:tc>
      </w:tr>
      <w:tr>
        <w:tc>
          <w:tcPr>
            <w:tcW w:type="dxa" w:w="1371"/>
            <w:tcMar>
              <w:top w:w="50" w:type="dxa"/>
              <w:bottom w:w="50" w:type="dxa"/>
              <w:left w:w="60" w:type="dxa"/>
              <w:right w:w="60" w:type="dxa"/>
            </w:tcMar>
          </w:tcPr>
          <w:p>
            <w:pPr>
              <w:jc w:val="center"/>
            </w:pPr>
            <w:r>
              <w:rPr>
                <w:rFonts w:ascii="Times New Roman" w:hAnsi="Times New Roman"/>
                <w:sz w:val="18"/>
              </w:rPr>
              <w:t>Paper 9 (Benzmüller 2024)</w:t>
            </w:r>
          </w:p>
        </w:tc>
        <w:tc>
          <w:tcPr>
            <w:tcW w:type="dxa" w:w="1371"/>
            <w:tcMar>
              <w:top w:w="50" w:type="dxa"/>
              <w:bottom w:w="50" w:type="dxa"/>
              <w:left w:w="60" w:type="dxa"/>
              <w:right w:w="60" w:type="dxa"/>
            </w:tcMar>
          </w:tcPr>
          <w:p>
            <w:r>
              <w:rPr>
                <w:rFonts w:ascii="Times New Roman" w:hAnsi="Times New Roman"/>
                <w:sz w:val="18"/>
              </w:rPr>
              <w:t>Neuro-Symbolic Law</w:t>
            </w:r>
          </w:p>
        </w:tc>
        <w:tc>
          <w:tcPr>
            <w:tcW w:type="dxa" w:w="1371"/>
            <w:tcMar>
              <w:top w:w="50" w:type="dxa"/>
              <w:bottom w:w="50" w:type="dxa"/>
              <w:left w:w="60" w:type="dxa"/>
              <w:right w:w="60" w:type="dxa"/>
            </w:tcMar>
          </w:tcPr>
          <w:p>
            <w:r>
              <w:rPr>
                <w:rFonts w:ascii="Times New Roman" w:hAnsi="Times New Roman"/>
                <w:sz w:val="18"/>
              </w:rPr>
              <w:t>Symbolic Modal Logic</w:t>
            </w:r>
          </w:p>
        </w:tc>
        <w:tc>
          <w:tcPr>
            <w:tcW w:type="dxa" w:w="1371"/>
            <w:tcMar>
              <w:top w:w="50" w:type="dxa"/>
              <w:bottom w:w="50" w:type="dxa"/>
              <w:left w:w="60" w:type="dxa"/>
              <w:right w:w="60" w:type="dxa"/>
            </w:tcMar>
          </w:tcPr>
          <w:p>
            <w:pPr>
              <w:jc w:val="center"/>
            </w:pPr>
            <w:r>
              <w:rPr>
                <w:rFonts w:ascii="Times New Roman" w:hAnsi="Times New Roman"/>
                <w:sz w:val="18"/>
              </w:rPr>
              <w:t>Modal LLM Hybrid</w:t>
            </w:r>
          </w:p>
        </w:tc>
        <w:tc>
          <w:tcPr>
            <w:tcW w:type="dxa" w:w="1371"/>
            <w:tcMar>
              <w:top w:w="50" w:type="dxa"/>
              <w:bottom w:w="50" w:type="dxa"/>
              <w:left w:w="60" w:type="dxa"/>
              <w:right w:w="60" w:type="dxa"/>
            </w:tcMar>
          </w:tcPr>
          <w:p>
            <w:pPr>
              <w:jc w:val="center"/>
            </w:pPr>
            <w:r>
              <w:rPr>
                <w:rFonts w:ascii="Times New Roman" w:hAnsi="Times New Roman"/>
                <w:sz w:val="18"/>
              </w:rPr>
              <w:t>None</w:t>
            </w:r>
          </w:p>
        </w:tc>
        <w:tc>
          <w:tcPr>
            <w:tcW w:type="dxa" w:w="1371"/>
            <w:tcMar>
              <w:top w:w="50" w:type="dxa"/>
              <w:bottom w:w="50" w:type="dxa"/>
              <w:left w:w="60" w:type="dxa"/>
              <w:right w:w="60" w:type="dxa"/>
            </w:tcMar>
          </w:tcPr>
          <w:p>
            <w:pPr>
              <w:jc w:val="center"/>
            </w:pPr>
            <w:r>
              <w:rPr>
                <w:rFonts w:ascii="Times New Roman" w:hAnsi="Times New Roman"/>
                <w:sz w:val="18"/>
              </w:rPr>
              <w:t>No</w:t>
            </w:r>
          </w:p>
        </w:tc>
      </w:tr>
      <w:tr>
        <w:tc>
          <w:tcPr>
            <w:tcW w:type="dxa" w:w="1371"/>
            <w:tcMar>
              <w:top w:w="50" w:type="dxa"/>
              <w:bottom w:w="50" w:type="dxa"/>
              <w:left w:w="60" w:type="dxa"/>
              <w:right w:w="60" w:type="dxa"/>
            </w:tcMar>
            <w:shd w:fill="F2F5F8"/>
          </w:tcPr>
          <w:p>
            <w:pPr>
              <w:jc w:val="center"/>
            </w:pPr>
            <w:r>
              <w:rPr>
                <w:rFonts w:ascii="Times New Roman" w:hAnsi="Times New Roman"/>
                <w:sz w:val="18"/>
              </w:rPr>
              <w:t>Paper 10 (Cormen 2023)</w:t>
            </w:r>
          </w:p>
        </w:tc>
        <w:tc>
          <w:tcPr>
            <w:tcW w:type="dxa" w:w="1371"/>
            <w:tcMar>
              <w:top w:w="50" w:type="dxa"/>
              <w:bottom w:w="50" w:type="dxa"/>
              <w:left w:w="60" w:type="dxa"/>
              <w:right w:w="60" w:type="dxa"/>
            </w:tcMar>
            <w:shd w:fill="F2F5F8"/>
          </w:tcPr>
          <w:p>
            <w:r>
              <w:rPr>
                <w:rFonts w:ascii="Times New Roman" w:hAnsi="Times New Roman"/>
                <w:sz w:val="18"/>
              </w:rPr>
              <w:t>Polygon Bisection</w:t>
            </w:r>
          </w:p>
        </w:tc>
        <w:tc>
          <w:tcPr>
            <w:tcW w:type="dxa" w:w="1371"/>
            <w:tcMar>
              <w:top w:w="50" w:type="dxa"/>
              <w:bottom w:w="50" w:type="dxa"/>
              <w:left w:w="60" w:type="dxa"/>
              <w:right w:w="60" w:type="dxa"/>
            </w:tcMar>
            <w:shd w:fill="F2F5F8"/>
          </w:tcPr>
          <w:p>
            <w:r>
              <w:rPr>
                <w:rFonts w:ascii="Times New Roman" w:hAnsi="Times New Roman"/>
                <w:sz w:val="18"/>
              </w:rPr>
              <w:t>Swept-Line Geometry</w:t>
            </w:r>
          </w:p>
        </w:tc>
        <w:tc>
          <w:tcPr>
            <w:tcW w:type="dxa" w:w="1371"/>
            <w:tcMar>
              <w:top w:w="50" w:type="dxa"/>
              <w:bottom w:w="50" w:type="dxa"/>
              <w:left w:w="60" w:type="dxa"/>
              <w:right w:w="60" w:type="dxa"/>
            </w:tcMar>
            <w:shd w:fill="F2F5F8"/>
          </w:tcPr>
          <w:p>
            <w:pPr>
              <w:jc w:val="center"/>
            </w:pPr>
            <w:r>
              <w:rPr>
                <w:rFonts w:ascii="Times New Roman" w:hAnsi="Times New Roman"/>
                <w:sz w:val="18"/>
              </w:rPr>
              <w:t>None</w:t>
            </w:r>
          </w:p>
        </w:tc>
        <w:tc>
          <w:tcPr>
            <w:tcW w:type="dxa" w:w="1371"/>
            <w:tcMar>
              <w:top w:w="50" w:type="dxa"/>
              <w:bottom w:w="50" w:type="dxa"/>
              <w:left w:w="60" w:type="dxa"/>
              <w:right w:w="60" w:type="dxa"/>
            </w:tcMar>
            <w:shd w:fill="F2F5F8"/>
          </w:tcPr>
          <w:p>
            <w:pPr>
              <w:jc w:val="center"/>
            </w:pPr>
            <w:r>
              <w:rPr>
                <w:rFonts w:ascii="Times New Roman" w:hAnsi="Times New Roman"/>
                <w:sz w:val="18"/>
              </w:rPr>
              <w:t>Theoretical Exact</w:t>
            </w:r>
          </w:p>
        </w:tc>
        <w:tc>
          <w:tcPr>
            <w:tcW w:type="dxa" w:w="1371"/>
            <w:tcMar>
              <w:top w:w="50" w:type="dxa"/>
              <w:bottom w:w="50" w:type="dxa"/>
              <w:left w:w="60" w:type="dxa"/>
              <w:right w:w="60" w:type="dxa"/>
            </w:tcMar>
            <w:shd w:fill="F2F5F8"/>
          </w:tcPr>
          <w:p>
            <w:pPr>
              <w:jc w:val="center"/>
            </w:pPr>
            <w:r>
              <w:rPr>
                <w:rFonts w:ascii="Times New Roman" w:hAnsi="Times New Roman"/>
                <w:sz w:val="18"/>
              </w:rPr>
              <w:t>No</w:t>
            </w:r>
          </w:p>
        </w:tc>
      </w:tr>
      <w:tr>
        <w:tc>
          <w:tcPr>
            <w:tcW w:type="dxa" w:w="1371"/>
            <w:tcMar>
              <w:top w:w="50" w:type="dxa"/>
              <w:bottom w:w="50" w:type="dxa"/>
              <w:left w:w="60" w:type="dxa"/>
              <w:right w:w="60" w:type="dxa"/>
            </w:tcMar>
            <w:shd w:fill="D9E1F2"/>
          </w:tcPr>
          <w:p>
            <w:pPr>
              <w:jc w:val="center"/>
            </w:pPr>
            <w:r>
              <w:rPr>
                <w:rFonts w:ascii="Times New Roman" w:hAnsi="Times New Roman"/>
                <w:b/>
                <w:sz w:val="18"/>
              </w:rPr>
              <w:t>Bhu-Overlay (Ours)</w:t>
            </w:r>
          </w:p>
        </w:tc>
        <w:tc>
          <w:tcPr>
            <w:tcW w:type="dxa" w:w="1371"/>
            <w:tcMar>
              <w:top w:w="50" w:type="dxa"/>
              <w:bottom w:w="50" w:type="dxa"/>
              <w:left w:w="60" w:type="dxa"/>
              <w:right w:w="60" w:type="dxa"/>
            </w:tcMar>
            <w:shd w:fill="D9E1F2"/>
          </w:tcPr>
          <w:p>
            <w:r>
              <w:rPr>
                <w:rFonts w:ascii="Times New Roman" w:hAnsi="Times New Roman"/>
                <w:b/>
                <w:sz w:val="18"/>
              </w:rPr>
              <w:t>Cadastral Partition</w:t>
            </w:r>
          </w:p>
        </w:tc>
        <w:tc>
          <w:tcPr>
            <w:tcW w:type="dxa" w:w="1371"/>
            <w:tcMar>
              <w:top w:w="50" w:type="dxa"/>
              <w:bottom w:w="50" w:type="dxa"/>
              <w:left w:w="60" w:type="dxa"/>
              <w:right w:w="60" w:type="dxa"/>
            </w:tcMar>
            <w:shd w:fill="D9E1F2"/>
          </w:tcPr>
          <w:p>
            <w:r>
              <w:rPr>
                <w:rFonts w:ascii="Times New Roman" w:hAnsi="Times New Roman"/>
                <w:b/>
                <w:sz w:val="18"/>
              </w:rPr>
              <w:t>Shapely GEOS Engine</w:t>
            </w:r>
          </w:p>
        </w:tc>
        <w:tc>
          <w:tcPr>
            <w:tcW w:type="dxa" w:w="1371"/>
            <w:tcMar>
              <w:top w:w="50" w:type="dxa"/>
              <w:bottom w:w="50" w:type="dxa"/>
              <w:left w:w="60" w:type="dxa"/>
              <w:right w:w="60" w:type="dxa"/>
            </w:tcMar>
            <w:shd w:fill="D9E1F2"/>
          </w:tcPr>
          <w:p>
            <w:pPr>
              <w:jc w:val="center"/>
            </w:pPr>
            <w:r>
              <w:rPr>
                <w:rFonts w:ascii="Times New Roman" w:hAnsi="Times New Roman"/>
                <w:b/>
                <w:sz w:val="18"/>
              </w:rPr>
              <w:t>Google Gemini 2.5 Flash</w:t>
            </w:r>
          </w:p>
        </w:tc>
        <w:tc>
          <w:tcPr>
            <w:tcW w:type="dxa" w:w="1371"/>
            <w:tcMar>
              <w:top w:w="50" w:type="dxa"/>
              <w:bottom w:w="50" w:type="dxa"/>
              <w:left w:w="60" w:type="dxa"/>
              <w:right w:w="60" w:type="dxa"/>
            </w:tcMar>
            <w:shd w:fill="D9E1F2"/>
          </w:tcPr>
          <w:p>
            <w:pPr>
              <w:jc w:val="center"/>
            </w:pPr>
            <w:r>
              <w:rPr>
                <w:rFonts w:ascii="Times New Roman" w:hAnsi="Times New Roman"/>
                <w:b/>
                <w:sz w:val="18"/>
              </w:rPr>
              <w:t>Strict (&lt; 0.005%)</w:t>
            </w:r>
          </w:p>
        </w:tc>
        <w:tc>
          <w:tcPr>
            <w:tcW w:type="dxa" w:w="1371"/>
            <w:tcMar>
              <w:top w:w="50" w:type="dxa"/>
              <w:bottom w:w="50" w:type="dxa"/>
              <w:left w:w="60" w:type="dxa"/>
              <w:right w:w="60" w:type="dxa"/>
            </w:tcMar>
            <w:shd w:fill="D9E1F2"/>
          </w:tcPr>
          <w:p>
            <w:pPr>
              <w:jc w:val="center"/>
            </w:pPr>
            <w:r>
              <w:rPr>
                <w:rFonts w:ascii="Times New Roman" w:hAnsi="Times New Roman"/>
                <w:b/>
                <w:sz w:val="18"/>
              </w:rPr>
              <w:t>Yes (SQLite Cache)</w:t>
            </w:r>
          </w:p>
        </w:tc>
      </w:tr>
    </w:tbl>
    <w:p>
      <w:pPr>
        <w:keepNext/>
        <w:spacing w:before="280" w:after="120"/>
        <w:jc w:val="left"/>
      </w:pPr>
      <w:r>
        <w:rPr>
          <w:rFonts w:ascii="Times New Roman" w:hAnsi="Times New Roman"/>
          <w:b/>
          <w:color w:val="1E3A8A"/>
          <w:sz w:val="28"/>
        </w:rPr>
        <w:t>2.4 Research Gaps and Bhu-Overlay's Strategic Solution</w:t>
      </w:r>
    </w:p>
    <w:p>
      <w:pPr>
        <w:spacing w:before="0" w:after="80" w:line="360" w:lineRule="auto"/>
        <w:jc w:val="both"/>
      </w:pPr>
      <w:r>
        <w:rPr>
          <w:rFonts w:ascii="Times New Roman" w:hAnsi="Times New Roman"/>
          <w:b/>
          <w:sz w:val="24"/>
        </w:rPr>
        <w:t xml:space="preserve">Synthesis of Academic Gap: </w:t>
      </w:r>
      <w:r>
        <w:rPr>
          <w:rFonts w:ascii="Times New Roman" w:hAnsi="Times New Roman"/>
          <w:sz w:val="24"/>
        </w:rPr>
        <w:t>Critical Reflection on Prior Work: What My Problem Did for the Project and How My Solution Approached the Challenge:</w:t>
      </w:r>
    </w:p>
    <w:p>
      <w:pPr>
        <w:spacing w:before="0" w:after="120" w:line="360" w:lineRule="auto"/>
        <w:jc w:val="both"/>
      </w:pPr>
      <w:r>
        <w:rPr>
          <w:rFonts w:ascii="Times New Roman" w:hAnsi="Times New Roman"/>
          <w:sz w:val="24"/>
        </w:rPr>
        <w:t>A rigorous synthesis of the surveyed literature reveals a stark, glaring divide across existing academic research: computational geometry researchers (e.g., Cormen et al., Araujo &amp; Silva) develop elegant polygon slicing formulations in sterile mathematical vacuums, completely ignoring real-world cadastral realities, road access statutory mandates, and legal revenue rules. Conversely, legal informatics scholars (e.g., Katz et al., Benzmüller et al.) investigate statutory reasoning in purely linguistic frameworks, incapable of verifying geometric coordinates or enforcing acreage conservation. Meanwhile, government cadastral modernization initiatives (DILRMP) remain trapped in passive digital archiving without any automated decision-support capability.</w:t>
      </w:r>
    </w:p>
    <w:p>
      <w:pPr>
        <w:spacing w:before="0" w:after="120" w:line="360" w:lineRule="auto"/>
        <w:jc w:val="both"/>
      </w:pPr>
      <w:r>
        <w:rPr>
          <w:rFonts w:ascii="Times New Roman" w:hAnsi="Times New Roman"/>
          <w:sz w:val="24"/>
        </w:rPr>
        <w:t>This project directly attacked this fundamental research gap. What my problem did for the project was expose the fatal flaw of treating land partition as either a purely geometric puzzle or a purely legal debate. In real rural administration, land partition is an inseparable hybrid of both: a cut must simultaneously achieve exact mathematical area conservation, physical statutory compactness, public transport corridor frontage, and formal compliance with Sections 116–117 and Rule 109 of the Revenue Code.</w:t>
      </w:r>
    </w:p>
    <w:p>
      <w:pPr>
        <w:spacing w:before="0" w:after="120" w:line="360" w:lineRule="auto"/>
        <w:jc w:val="both"/>
      </w:pPr>
      <w:r>
        <w:rPr>
          <w:rFonts w:ascii="Times New Roman" w:hAnsi="Times New Roman"/>
          <w:sz w:val="24"/>
        </w:rPr>
        <w:t>Bhu-Overlay approached the problem by pioneering a novel dual-engine neuro-symbolic architecture: our deterministic computational geometry engine executes sub-50ms swept-plane bisections guaranteeing zero mathematical area loss (&lt; 0.005%), while our Google Gemini statutory AI layer inspects quantitative spatial matrices to deliver authoritative legal justifications. By bridging official government WMS services with offline SQLite spatial caching and automated vector PDF report compilation, Bhu-Overlay provides the first complete, court-ready solution in academic literature.</w:t>
      </w:r>
    </w:p>
    <w:p>
      <w:r>
        <w:br w:type="page"/>
      </w:r>
    </w:p>
    <w:p>
      <w:pPr>
        <w:keepNext/>
        <w:spacing w:before="360" w:after="240"/>
        <w:jc w:val="center"/>
      </w:pPr>
      <w:r>
        <w:rPr>
          <w:rFonts w:ascii="Times New Roman" w:hAnsi="Times New Roman"/>
          <w:b/>
          <w:color w:val="0F172A"/>
          <w:sz w:val="32"/>
        </w:rPr>
        <w:t>CHAPTER 3</w:t>
        <w:br/>
        <w:t>DESIGN</w:t>
      </w:r>
    </w:p>
    <w:p>
      <w:pPr>
        <w:keepNext/>
        <w:spacing w:before="280" w:after="120"/>
        <w:jc w:val="left"/>
      </w:pPr>
      <w:r>
        <w:rPr>
          <w:rFonts w:ascii="Times New Roman" w:hAnsi="Times New Roman"/>
          <w:b/>
          <w:color w:val="1E3A8A"/>
          <w:sz w:val="28"/>
        </w:rPr>
        <w:t>3.1 Architectural Design &amp; Tiered System Topology</w:t>
      </w:r>
    </w:p>
    <w:p>
      <w:pPr>
        <w:spacing w:before="0" w:after="120" w:line="360" w:lineRule="auto"/>
        <w:jc w:val="both"/>
      </w:pPr>
      <w:r>
        <w:rPr>
          <w:rFonts w:ascii="Times New Roman" w:hAnsi="Times New Roman"/>
          <w:sz w:val="24"/>
        </w:rPr>
        <w:t>Bhu-Overlay is engineered as a lightweight, full-stack, decoupled four-tier spatial architecture designed specifically for high-throughput performance, low resource consumption, and offline rural field resilience. Figure 3.1 illustrates the complete system topology, depicting communication protocols and data flows across all functional components.</w:t>
      </w:r>
    </w:p>
    <w:p>
      <w:pPr>
        <w:spacing w:before="160" w:after="60"/>
        <w:jc w:val="center"/>
      </w:pPr>
      <w:r>
        <w:drawing>
          <wp:inline xmlns:a="http://schemas.openxmlformats.org/drawingml/2006/main" xmlns:pic="http://schemas.openxmlformats.org/drawingml/2006/picture">
            <wp:extent cx="5486400" cy="3654028"/>
            <wp:docPr id="1" name="Picture 1"/>
            <wp:cNvGraphicFramePr>
              <a:graphicFrameLocks noChangeAspect="1"/>
            </wp:cNvGraphicFramePr>
            <a:graphic>
              <a:graphicData uri="http://schemas.openxmlformats.org/drawingml/2006/picture">
                <pic:pic>
                  <pic:nvPicPr>
                    <pic:cNvPr id="0" name="system_architecture.jpg"/>
                    <pic:cNvPicPr/>
                  </pic:nvPicPr>
                  <pic:blipFill>
                    <a:blip r:embed="rId9"/>
                    <a:stretch>
                      <a:fillRect/>
                    </a:stretch>
                  </pic:blipFill>
                  <pic:spPr>
                    <a:xfrm>
                      <a:off x="0" y="0"/>
                      <a:ext cx="5486400" cy="3654028"/>
                    </a:xfrm>
                    <a:prstGeom prst="rect"/>
                  </pic:spPr>
                </pic:pic>
              </a:graphicData>
            </a:graphic>
          </wp:inline>
        </w:drawing>
      </w:r>
    </w:p>
    <w:p>
      <w:pPr>
        <w:keepNext/>
        <w:spacing w:before="40" w:after="200"/>
        <w:jc w:val="center"/>
      </w:pPr>
      <w:r>
        <w:rPr>
          <w:rFonts w:ascii="Times New Roman" w:hAnsi="Times New Roman"/>
          <w:b/>
          <w:i/>
          <w:sz w:val="22"/>
        </w:rPr>
        <w:t>Figure 3.1: Comprehensive End-to-End System Architecture of the Bhu-Overlay Platform</w:t>
      </w:r>
    </w:p>
    <w:p>
      <w:pPr>
        <w:spacing w:before="0" w:after="120" w:line="360" w:lineRule="auto"/>
        <w:jc w:val="both"/>
      </w:pPr>
      <w:r>
        <w:rPr>
          <w:rFonts w:ascii="Times New Roman" w:hAnsi="Times New Roman"/>
          <w:sz w:val="24"/>
        </w:rPr>
        <w:t>The four functional architectural tiers operate as follows:</w:t>
      </w:r>
    </w:p>
    <w:p>
      <w:pPr>
        <w:pStyle w:val="ListBullet"/>
        <w:spacing w:before="40" w:after="80" w:line="312" w:lineRule="auto"/>
        <w:jc w:val="both"/>
      </w:pPr>
      <w:r>
        <w:rPr>
          <w:rFonts w:ascii="Times New Roman" w:hAnsi="Times New Roman"/>
          <w:b/>
          <w:sz w:val="24"/>
        </w:rPr>
        <w:t xml:space="preserve">Tier 1: Client Spatial Presentation (Frontend): </w:t>
      </w:r>
      <w:r>
        <w:rPr>
          <w:rFonts w:ascii="Times New Roman" w:hAnsi="Times New Roman"/>
          <w:sz w:val="24"/>
        </w:rPr>
        <w:t>Implemented as a responsive single-page web dashboard using HTML5, Vanilla CSS, OpenLayers v6, and native JavaScript. It manages five synchronized spatial layers: ArcGIS Hybrid Satellite imagery (up to Level 17 zoom), dynamic BhuNaksha cadastral WMS overlay with opacity sliders, interactive vector parcel demarcation layer with vertex markers and edge length callouts, kurra sub-parcel categorical fill layers, and manual surveyor micro-asset tagging layers.</w:t>
      </w:r>
    </w:p>
    <w:p>
      <w:pPr>
        <w:pStyle w:val="ListBullet"/>
        <w:spacing w:before="40" w:after="80" w:line="312" w:lineRule="auto"/>
        <w:jc w:val="both"/>
      </w:pPr>
      <w:r>
        <w:rPr>
          <w:rFonts w:ascii="Times New Roman" w:hAnsi="Times New Roman"/>
          <w:b/>
          <w:sz w:val="24"/>
        </w:rPr>
        <w:t xml:space="preserve">Tier 2: Asynchronous Routing &amp; Reverse Proxy Gateway: </w:t>
      </w:r>
      <w:r>
        <w:rPr>
          <w:rFonts w:ascii="Times New Roman" w:hAnsi="Times New Roman"/>
          <w:sz w:val="24"/>
        </w:rPr>
        <w:t>A lightweight Python Flask REST API server that manages session cookie synchronization (ASP.NET and JSESSIONID state), dynamic SSL bypass proxies to connect to state government servers, and click-to-parcel reverse geocoding transformers.</w:t>
      </w:r>
    </w:p>
    <w:p>
      <w:pPr>
        <w:pStyle w:val="ListBullet"/>
        <w:spacing w:before="40" w:after="80" w:line="312" w:lineRule="auto"/>
        <w:jc w:val="both"/>
      </w:pPr>
      <w:r>
        <w:rPr>
          <w:rFonts w:ascii="Times New Roman" w:hAnsi="Times New Roman"/>
          <w:b/>
          <w:sz w:val="24"/>
        </w:rPr>
        <w:t xml:space="preserve">Tier 3: Offline-First Embedded Spatial Persistence: </w:t>
      </w:r>
      <w:r>
        <w:rPr>
          <w:rFonts w:ascii="Times New Roman" w:hAnsi="Times New Roman"/>
          <w:sz w:val="24"/>
        </w:rPr>
        <w:t>An integrated SQLite spatial database (data/app.db) storing normalized schemas for administrative hierarchies (Districts, Sub-Divisions, Circles, Mouzas, Surveys, Sheets), parcel boundary coordinates, boundary segment lengths, and generated legal Kurra decrees, enabling instantaneous sub-100ms offline operation.</w:t>
      </w:r>
    </w:p>
    <w:p>
      <w:pPr>
        <w:pStyle w:val="ListBullet"/>
        <w:spacing w:before="40" w:after="80" w:line="312" w:lineRule="auto"/>
        <w:jc w:val="both"/>
      </w:pPr>
      <w:r>
        <w:rPr>
          <w:rFonts w:ascii="Times New Roman" w:hAnsi="Times New Roman"/>
          <w:b/>
          <w:sz w:val="24"/>
        </w:rPr>
        <w:t xml:space="preserve">Tier 4: Core Compute &amp; Statutory AI Reasoning: </w:t>
      </w:r>
      <w:r>
        <w:rPr>
          <w:rFonts w:ascii="Times New Roman" w:hAnsi="Times New Roman"/>
          <w:sz w:val="24"/>
        </w:rPr>
        <w:t>A deterministic Shapely computational geometry engine executing polygon repair and swept-line bisection, tightly coupled with Google Gemini 2.5 Flash for statutory legal reasoning and fpdf2 for native vector PDF report compilation.</w:t>
      </w:r>
    </w:p>
    <w:p>
      <w:pPr>
        <w:keepNext/>
        <w:spacing w:before="280" w:after="120"/>
        <w:jc w:val="left"/>
      </w:pPr>
      <w:r>
        <w:rPr>
          <w:rFonts w:ascii="Times New Roman" w:hAnsi="Times New Roman"/>
          <w:b/>
          <w:color w:val="1E3A8A"/>
          <w:sz w:val="28"/>
        </w:rPr>
        <w:t>3.2 Computational Methods &amp; Topological Geometry Engine</w:t>
      </w:r>
    </w:p>
    <w:p>
      <w:pPr>
        <w:spacing w:before="0" w:after="120" w:line="360" w:lineRule="auto"/>
        <w:jc w:val="both"/>
      </w:pPr>
      <w:r>
        <w:rPr>
          <w:rFonts w:ascii="Times New Roman" w:hAnsi="Times New Roman"/>
          <w:sz w:val="24"/>
        </w:rPr>
        <w:t>Cadastral boundary polygons digitized from historical village cloth sheets exhibit chronic topological anomalies, including self-intersecting loops, duplicate closing coordinates, and collinear sliver edges. Prior to geometric subdivision, every raw polygon undergoes rigorous topological repair:</w:t>
      </w:r>
    </w:p>
    <w:p>
      <w:pPr>
        <w:spacing w:before="80" w:after="80" w:line="312" w:lineRule="auto"/>
        <w:jc w:val="both"/>
      </w:pPr>
      <w:r>
        <w:rPr>
          <w:rFonts w:ascii="Times New Roman" w:hAnsi="Times New Roman"/>
          <w:i/>
          <w:sz w:val="22"/>
        </w:rPr>
        <w:t xml:space="preserve">    P_repaired = P_raw if isValid(P_raw) else Buffer(P_raw, 0)</w:t>
      </w:r>
      <w:r>
        <w:rPr>
          <w:rFonts w:ascii="Times New Roman" w:hAnsi="Times New Roman"/>
          <w:b/>
          <w:sz w:val="22"/>
        </w:rPr>
        <w:tab/>
        <w:tab/>
        <w:t>(3.1)</w:t>
      </w:r>
    </w:p>
    <w:p>
      <w:pPr>
        <w:spacing w:before="0" w:after="120" w:line="360" w:lineRule="auto"/>
        <w:jc w:val="both"/>
      </w:pPr>
      <w:r>
        <w:rPr>
          <w:rFonts w:ascii="Times New Roman" w:hAnsi="Times New Roman"/>
          <w:sz w:val="24"/>
        </w:rPr>
        <w:t>The zero-width buffer operation reliably decomposes complex bow-tie self-intersections into valid MultiPolygons, from which the maximal contiguous exterior shell is retained.</w:t>
      </w:r>
    </w:p>
    <w:p>
      <w:pPr>
        <w:spacing w:before="0" w:after="120" w:line="360" w:lineRule="auto"/>
        <w:jc w:val="both"/>
      </w:pPr>
      <w:r>
        <w:rPr>
          <w:rFonts w:ascii="Times New Roman" w:hAnsi="Times New Roman"/>
          <w:sz w:val="24"/>
        </w:rPr>
        <w:t>To satisfy diverse agricultural field layouts, the engine generates three topologically distinct subdivision strategies:</w:t>
      </w:r>
    </w:p>
    <w:p>
      <w:pPr>
        <w:pStyle w:val="ListBullet"/>
        <w:spacing w:before="40" w:after="80" w:line="312" w:lineRule="auto"/>
        <w:jc w:val="both"/>
      </w:pPr>
      <w:r>
        <w:rPr>
          <w:rFonts w:ascii="Times New Roman" w:hAnsi="Times New Roman"/>
          <w:b/>
          <w:sz w:val="24"/>
        </w:rPr>
        <w:t xml:space="preserve">Strategy 1: Compact Transverse Partition (Shortest-Side Aligned): </w:t>
      </w:r>
      <w:r>
        <w:rPr>
          <w:rFonts w:ascii="Times New Roman" w:hAnsi="Times New Roman"/>
          <w:sz w:val="24"/>
        </w:rPr>
        <w:t>Identifies the shortest non-trivial boundary edge of the parcel, aligns the dividing cut parallel to this vector, and sweeps along the orthogonal normal vector. This strategy minimizes perimeter exposure and maximizes circular compactness.</w:t>
      </w:r>
    </w:p>
    <w:p>
      <w:pPr>
        <w:pStyle w:val="ListBullet"/>
        <w:spacing w:before="40" w:after="80" w:line="312" w:lineRule="auto"/>
        <w:jc w:val="both"/>
      </w:pPr>
      <w:r>
        <w:rPr>
          <w:rFonts w:ascii="Times New Roman" w:hAnsi="Times New Roman"/>
          <w:b/>
          <w:sz w:val="24"/>
        </w:rPr>
        <w:t xml:space="preserve">Strategy 2: Longitudinal Partition (Longest-Side Aligned): </w:t>
      </w:r>
      <w:r>
        <w:rPr>
          <w:rFonts w:ascii="Times New Roman" w:hAnsi="Times New Roman"/>
          <w:sz w:val="24"/>
        </w:rPr>
        <w:t>Aligns cutting planes parallel to the principal elongation axis derived from the longest edge. This strategy is optimal for narrow rectangular homestead plots.</w:t>
      </w:r>
    </w:p>
    <w:p>
      <w:pPr>
        <w:pStyle w:val="ListBullet"/>
        <w:spacing w:before="40" w:after="80" w:line="312" w:lineRule="auto"/>
        <w:jc w:val="both"/>
      </w:pPr>
      <w:r>
        <w:rPr>
          <w:rFonts w:ascii="Times New Roman" w:hAnsi="Times New Roman"/>
          <w:b/>
          <w:sz w:val="24"/>
        </w:rPr>
        <w:t xml:space="preserve">Strategy 3: Frontage-Preserving Partition (Corridor-Orthogonal): </w:t>
      </w:r>
      <w:r>
        <w:rPr>
          <w:rFonts w:ascii="Times New Roman" w:hAnsi="Times New Roman"/>
          <w:sz w:val="24"/>
        </w:rPr>
        <w:t>Ingests live road or canal vector coordinates, projects an access buffer, and aligns cuts strictly orthogonal to the road axis, guaranteeing that every generated sub-parcel retains physical boundary contact with the public corridor.</w:t>
      </w:r>
    </w:p>
    <w:p>
      <w:pPr>
        <w:keepNext/>
        <w:spacing w:before="280" w:after="120"/>
        <w:jc w:val="left"/>
      </w:pPr>
      <w:r>
        <w:rPr>
          <w:rFonts w:ascii="Times New Roman" w:hAnsi="Times New Roman"/>
          <w:b/>
          <w:color w:val="1E3A8A"/>
          <w:sz w:val="28"/>
        </w:rPr>
        <w:t>3.3 Mathematical Formulations &amp; Optimization Functions</w:t>
      </w:r>
    </w:p>
    <w:p>
      <w:pPr>
        <w:spacing w:before="0" w:after="120" w:line="360" w:lineRule="auto"/>
        <w:jc w:val="both"/>
      </w:pPr>
      <w:r>
        <w:rPr>
          <w:rFonts w:ascii="Times New Roman" w:hAnsi="Times New Roman"/>
          <w:sz w:val="24"/>
        </w:rPr>
        <w:t>Exact Parcel Area and Perimeter: Evaluated using discrete Green's theorem (Shoelace formulation) over N boundary vertices:</w:t>
      </w:r>
    </w:p>
    <w:p>
      <w:pPr>
        <w:spacing w:before="80" w:after="80" w:line="312" w:lineRule="auto"/>
        <w:jc w:val="both"/>
      </w:pPr>
      <w:r>
        <w:rPr>
          <w:rFonts w:ascii="Times New Roman" w:hAnsi="Times New Roman"/>
          <w:i/>
          <w:sz w:val="22"/>
        </w:rPr>
        <w:t xml:space="preserve">    A(P) = 0.5 * | SUM_{i=0}^{N-1} (x_i * y_{i+1} - x_{i+1} * y_i) |</w:t>
      </w:r>
      <w:r>
        <w:rPr>
          <w:rFonts w:ascii="Times New Roman" w:hAnsi="Times New Roman"/>
          <w:b/>
          <w:sz w:val="22"/>
        </w:rPr>
        <w:tab/>
        <w:tab/>
        <w:t>(3.2)</w:t>
      </w:r>
    </w:p>
    <w:p>
      <w:pPr>
        <w:spacing w:before="80" w:after="80" w:line="312" w:lineRule="auto"/>
        <w:jc w:val="both"/>
      </w:pPr>
      <w:r>
        <w:rPr>
          <w:rFonts w:ascii="Times New Roman" w:hAnsi="Times New Roman"/>
          <w:i/>
          <w:sz w:val="22"/>
        </w:rPr>
        <w:t xml:space="preserve">    P(P) = SUM_{i=0}^{N-1} sqrt( (x_{i+1} - x_i)^2 + (y_{i+1} - y_i)^2 )</w:t>
      </w:r>
      <w:r>
        <w:rPr>
          <w:rFonts w:ascii="Times New Roman" w:hAnsi="Times New Roman"/>
          <w:b/>
          <w:sz w:val="22"/>
        </w:rPr>
        <w:tab/>
        <w:tab/>
        <w:t>(3.3)</w:t>
      </w:r>
    </w:p>
    <w:p>
      <w:pPr>
        <w:spacing w:before="0" w:after="120" w:line="360" w:lineRule="auto"/>
        <w:jc w:val="both"/>
      </w:pPr>
      <w:r>
        <w:rPr>
          <w:rFonts w:ascii="Times New Roman" w:hAnsi="Times New Roman"/>
          <w:sz w:val="24"/>
        </w:rPr>
        <w:t>Parameterized Dividing Hyperline: For a chosen normal vector n and offset parameter t, the cutting line is:</w:t>
      </w:r>
    </w:p>
    <w:p>
      <w:pPr>
        <w:spacing w:before="80" w:after="80" w:line="312" w:lineRule="auto"/>
        <w:jc w:val="both"/>
      </w:pPr>
      <w:r>
        <w:rPr>
          <w:rFonts w:ascii="Times New Roman" w:hAnsi="Times New Roman"/>
          <w:i/>
          <w:sz w:val="22"/>
        </w:rPr>
        <w:t xml:space="preserve">    H(t) = { x in R^2 | n . x - t = 0 }</w:t>
      </w:r>
      <w:r>
        <w:rPr>
          <w:rFonts w:ascii="Times New Roman" w:hAnsi="Times New Roman"/>
          <w:b/>
          <w:sz w:val="22"/>
        </w:rPr>
        <w:tab/>
        <w:tab/>
        <w:t>(3.4)</w:t>
      </w:r>
    </w:p>
    <w:p>
      <w:pPr>
        <w:spacing w:before="0" w:after="120" w:line="360" w:lineRule="auto"/>
        <w:jc w:val="both"/>
      </w:pPr>
      <w:r>
        <w:rPr>
          <w:rFonts w:ascii="Times New Roman" w:hAnsi="Times New Roman"/>
          <w:sz w:val="24"/>
        </w:rPr>
        <w:t>Residual Area Root Function: For target cumulative share fraction alpha_j, the root-finding function is:</w:t>
      </w:r>
    </w:p>
    <w:p>
      <w:pPr>
        <w:spacing w:before="80" w:after="80" w:line="312" w:lineRule="auto"/>
        <w:jc w:val="both"/>
      </w:pPr>
      <w:r>
        <w:rPr>
          <w:rFonts w:ascii="Times New Roman" w:hAnsi="Times New Roman"/>
          <w:i/>
          <w:sz w:val="22"/>
        </w:rPr>
        <w:t xml:space="preserve">    f(t) = Area( P intersect { x | n . x &lt;= t } ) - alpha_j * A_total</w:t>
      </w:r>
      <w:r>
        <w:rPr>
          <w:rFonts w:ascii="Times New Roman" w:hAnsi="Times New Roman"/>
          <w:b/>
          <w:sz w:val="22"/>
        </w:rPr>
        <w:tab/>
        <w:tab/>
        <w:t>(3.5)</w:t>
      </w:r>
    </w:p>
    <w:p>
      <w:pPr>
        <w:spacing w:before="0" w:after="120" w:line="360" w:lineRule="auto"/>
        <w:jc w:val="both"/>
      </w:pPr>
      <w:r>
        <w:rPr>
          <w:rFonts w:ascii="Times New Roman" w:hAnsi="Times New Roman"/>
          <w:sz w:val="24"/>
        </w:rPr>
        <w:t>Because the bisected area function is strictly monotonic over the bounding interval [t_min, t_max], binary bisection converges unconditionally to root t* such that |f(t*)| &lt; epsilon (epsilon = 10^-4 m^2) within at most 24 iterations.</w:t>
      </w:r>
    </w:p>
    <w:p>
      <w:pPr>
        <w:spacing w:before="0" w:after="120" w:line="360" w:lineRule="auto"/>
        <w:jc w:val="both"/>
      </w:pPr>
      <w:r>
        <w:rPr>
          <w:rFonts w:ascii="Times New Roman" w:hAnsi="Times New Roman"/>
          <w:sz w:val="24"/>
        </w:rPr>
        <w:t>Polsby-Popper Compactness Score: Quantifies the degree to which a sub-parcel avoids irregular boundary slivers:</w:t>
      </w:r>
    </w:p>
    <w:p>
      <w:pPr>
        <w:spacing w:before="80" w:after="80" w:line="312" w:lineRule="auto"/>
        <w:jc w:val="both"/>
      </w:pPr>
      <w:r>
        <w:rPr>
          <w:rFonts w:ascii="Times New Roman" w:hAnsi="Times New Roman"/>
          <w:i/>
          <w:sz w:val="22"/>
        </w:rPr>
        <w:t xml:space="preserve">    C(P_j) = 4 * pi * Area(P_j) / (Perimeter(P_j))^2,   C in (0, 1]</w:t>
      </w:r>
      <w:r>
        <w:rPr>
          <w:rFonts w:ascii="Times New Roman" w:hAnsi="Times New Roman"/>
          <w:b/>
          <w:sz w:val="22"/>
        </w:rPr>
        <w:tab/>
        <w:tab/>
        <w:t>(3.6)</w:t>
      </w:r>
    </w:p>
    <w:p>
      <w:pPr>
        <w:spacing w:before="0" w:after="120" w:line="360" w:lineRule="auto"/>
        <w:jc w:val="both"/>
      </w:pPr>
      <w:r>
        <w:rPr>
          <w:rFonts w:ascii="Times New Roman" w:hAnsi="Times New Roman"/>
          <w:sz w:val="24"/>
        </w:rPr>
        <w:t>Public Infrastructure Frontage Access Length: Evaluates boundary intersection within survey tolerance delta = 5.0m:</w:t>
      </w:r>
    </w:p>
    <w:p>
      <w:pPr>
        <w:spacing w:before="80" w:after="80" w:line="312" w:lineRule="auto"/>
        <w:jc w:val="both"/>
      </w:pPr>
      <w:r>
        <w:rPr>
          <w:rFonts w:ascii="Times New Roman" w:hAnsi="Times New Roman"/>
          <w:i/>
          <w:sz w:val="22"/>
        </w:rPr>
        <w:t xml:space="preserve">    L_front(P_j) = Length( P_j intersect Buffer( L_road, delta ) )</w:t>
      </w:r>
      <w:r>
        <w:rPr>
          <w:rFonts w:ascii="Times New Roman" w:hAnsi="Times New Roman"/>
          <w:b/>
          <w:sz w:val="22"/>
        </w:rPr>
        <w:tab/>
        <w:tab/>
        <w:t>(3.7)</w:t>
      </w:r>
    </w:p>
    <w:p>
      <w:pPr>
        <w:spacing w:before="0" w:after="120" w:line="360" w:lineRule="auto"/>
        <w:jc w:val="both"/>
      </w:pPr>
      <w:r>
        <w:rPr>
          <w:rFonts w:ascii="Times New Roman" w:hAnsi="Times New Roman"/>
          <w:sz w:val="24"/>
        </w:rPr>
        <w:t>Deterministic Offline Fallback Utility: Evaluates candidate strategies S_k when cloud AI is unreachable:</w:t>
      </w:r>
    </w:p>
    <w:p>
      <w:pPr>
        <w:spacing w:before="80" w:after="80" w:line="312" w:lineRule="auto"/>
        <w:jc w:val="both"/>
      </w:pPr>
      <w:r>
        <w:rPr>
          <w:rFonts w:ascii="Times New Roman" w:hAnsi="Times New Roman"/>
          <w:i/>
          <w:sz w:val="22"/>
        </w:rPr>
        <w:t xml:space="preserve">    U(S_k) = w_1 * Mean(C_k) + w_2 * min_j(L_front,j) - w_3 * Var(Assets)</w:t>
      </w:r>
      <w:r>
        <w:rPr>
          <w:rFonts w:ascii="Times New Roman" w:hAnsi="Times New Roman"/>
          <w:b/>
          <w:sz w:val="22"/>
        </w:rPr>
        <w:tab/>
        <w:tab/>
        <w:t>(3.8)</w:t>
      </w:r>
    </w:p>
    <w:p>
      <w:pPr>
        <w:spacing w:before="0" w:after="120" w:line="360" w:lineRule="auto"/>
        <w:jc w:val="both"/>
      </w:pPr>
      <w:r>
        <w:rPr>
          <w:rFonts w:ascii="Times New Roman" w:hAnsi="Times New Roman"/>
          <w:sz w:val="24"/>
        </w:rPr>
        <w:t>where default statutory weights are calibrated to w_1 = 0.5, w_2 = 0.3, w_3 = 0.2.</w:t>
      </w:r>
    </w:p>
    <w:p>
      <w:pPr>
        <w:keepNext/>
        <w:spacing w:before="280" w:after="120"/>
        <w:jc w:val="left"/>
      </w:pPr>
      <w:r>
        <w:rPr>
          <w:rFonts w:ascii="Times New Roman" w:hAnsi="Times New Roman"/>
          <w:b/>
          <w:color w:val="1E3A8A"/>
          <w:sz w:val="28"/>
        </w:rPr>
        <w:t>3.4 Detailed Algorithmic Operations &amp; Step-by-Step Logic</w:t>
      </w:r>
    </w:p>
    <w:p>
      <w:pPr>
        <w:spacing w:before="0" w:after="120" w:line="360" w:lineRule="auto"/>
        <w:jc w:val="both"/>
      </w:pPr>
      <w:r>
        <w:rPr>
          <w:rFonts w:ascii="Times New Roman" w:hAnsi="Times New Roman"/>
          <w:sz w:val="24"/>
        </w:rPr>
        <w:t>Algorithm 3.1 details the step-by-step mathematical logic implemented in backend/geometry.py for bounded swept-plane bisection.</w:t>
      </w:r>
    </w:p>
    <w:p>
      <w:pPr>
        <w:spacing w:before="0" w:after="160" w:line="360" w:lineRule="auto"/>
        <w:jc w:val="both"/>
      </w:pPr>
      <w:r>
        <w:rPr>
          <w:rFonts w:ascii="Times New Roman" w:hAnsi="Times New Roman"/>
          <w:b/>
          <w:sz w:val="24"/>
        </w:rPr>
        <w:t>Pseudo-Code Description:</w:t>
        <w:br/>
      </w:r>
      <w:r>
        <w:rPr>
          <w:rFonts w:ascii="Times New Roman" w:hAnsi="Times New Roman"/>
          <w:sz w:val="24"/>
        </w:rPr>
        <w:t>ALGORITHM 3.1: Deterministic Multi-Party Swept-Plane Bisection</w:t>
        <w:br/>
        <w:t>Input: Parcel Polygon P, List of Target Area Ratios r = [r_1, r_2, ..., r_k], Sweep Direction Vector v</w:t>
        <w:br/>
        <w:t>Output: Set of Bisected Sub-Parcel Polygons {P_1, P_2, ..., P_k}</w:t>
        <w:br/>
        <w:t>1.  P_clean &lt;- Buffer(P, 0)   // Topological repair</w:t>
        <w:br/>
        <w:t>2.  Compute Total Area A_total = Shoelace(P_clean)</w:t>
        <w:br/>
        <w:t>3.  Compute Normal Vector n = (-v_y, v_x) / ||(-v_y, v_x)||</w:t>
        <w:br/>
        <w:t>4.  Project all vertices of P_clean onto n to determine [t_min, t_max]</w:t>
        <w:br/>
        <w:t>5.  Initialize remaining polygon P_rem &lt;- P_clean, cumulative_alpha &lt;- 0</w:t>
        <w:br/>
        <w:t>6.  FOR j = 1 TO k - 1 DO:</w:t>
        <w:br/>
        <w:t>7.      target_area &lt;- r_j * A_total</w:t>
        <w:br/>
        <w:t>8.      low &lt;- t_min, high &lt;- t_max, iter &lt;- 0</w:t>
        <w:br/>
        <w:t>9.      WHILE (high - low) &gt; 1e-5 AND iter &lt; 30 DO:</w:t>
        <w:br/>
        <w:t>10.         mid &lt;- (low + high) / 2.0</w:t>
        <w:br/>
        <w:t>11.         Construct Half-Plane H(mid) = {x | n . x &lt;= mid}</w:t>
        <w:br/>
        <w:t>12.         P_candidate &lt;- P_rem INTERSECT H(mid)</w:t>
        <w:br/>
        <w:t>13.         current_area &lt;- Area(P_candidate)</w:t>
        <w:br/>
        <w:t>14.         IF current_area &lt; target_area THEN low &lt;- mid ELSE high &lt;- mid</w:t>
        <w:br/>
        <w:t>15.         iter &lt;- iter + 1</w:t>
        <w:br/>
        <w:t>16.     END WHILE</w:t>
        <w:br/>
        <w:t>17.     P_j &lt;- P_rem INTERSECT H(mid)</w:t>
        <w:br/>
        <w:t>18.     P_rem &lt;- P_rem DIFFERENCE P_j</w:t>
        <w:br/>
        <w:t>19.     t_min &lt;- mid</w:t>
        <w:br/>
        <w:t>20. END FOR</w:t>
        <w:br/>
        <w:t>21. P_k &lt;- P_rem   // Final sub-parcel captures exact remainder</w:t>
        <w:br/>
        <w:t>22. RETURN {P_1, P_2, ..., P_k}</w:t>
      </w:r>
    </w:p>
    <w:p>
      <w:pPr>
        <w:keepNext/>
        <w:spacing w:before="280" w:after="120"/>
        <w:jc w:val="left"/>
      </w:pPr>
      <w:r>
        <w:rPr>
          <w:rFonts w:ascii="Times New Roman" w:hAnsi="Times New Roman"/>
          <w:b/>
          <w:color w:val="1E3A8A"/>
          <w:sz w:val="28"/>
        </w:rPr>
        <w:t>3.5 Statutory AI LLM Decision Support &amp; Fallback Engine</w:t>
      </w:r>
    </w:p>
    <w:p>
      <w:pPr>
        <w:spacing w:before="0" w:after="120" w:line="360" w:lineRule="auto"/>
        <w:jc w:val="both"/>
      </w:pPr>
      <w:r>
        <w:rPr>
          <w:rFonts w:ascii="Times New Roman" w:hAnsi="Times New Roman"/>
          <w:sz w:val="24"/>
        </w:rPr>
        <w:t>To eliminate arbitrary judicial discretion, candidate partition strategies are submitted to Google Gemini 2.5 Flash via a strict JSON schema. The system prompt incorporates the statutory provisions of the State Revenue Code:</w:t>
      </w:r>
    </w:p>
    <w:p>
      <w:pPr>
        <w:pStyle w:val="ListBullet"/>
        <w:spacing w:before="40" w:after="80" w:line="312" w:lineRule="auto"/>
        <w:jc w:val="both"/>
      </w:pPr>
      <w:r>
        <w:rPr>
          <w:rFonts w:ascii="Times New Roman" w:hAnsi="Times New Roman"/>
          <w:b/>
          <w:sz w:val="24"/>
        </w:rPr>
        <w:t xml:space="preserve">Section 116 (Right to Partition): </w:t>
      </w:r>
      <w:r>
        <w:rPr>
          <w:rFonts w:ascii="Times New Roman" w:hAnsi="Times New Roman"/>
          <w:sz w:val="24"/>
        </w:rPr>
        <w:t>Validates each co-sharer's legal entitlement to independent boundary demarcation.</w:t>
      </w:r>
    </w:p>
    <w:p>
      <w:pPr>
        <w:pStyle w:val="ListBullet"/>
        <w:spacing w:before="40" w:after="80" w:line="312" w:lineRule="auto"/>
        <w:jc w:val="both"/>
      </w:pPr>
      <w:r>
        <w:rPr>
          <w:rFonts w:ascii="Times New Roman" w:hAnsi="Times New Roman"/>
          <w:b/>
          <w:sz w:val="24"/>
        </w:rPr>
        <w:t xml:space="preserve">Section 117 (Duty of Revenue Court): </w:t>
      </w:r>
      <w:r>
        <w:rPr>
          <w:rFonts w:ascii="Times New Roman" w:hAnsi="Times New Roman"/>
          <w:sz w:val="24"/>
        </w:rPr>
        <w:t>Prohibits fragmentation of agricultural parcels below statutory consolidation thresholds.</w:t>
      </w:r>
    </w:p>
    <w:p>
      <w:pPr>
        <w:pStyle w:val="ListBullet"/>
        <w:spacing w:before="40" w:after="80" w:line="312" w:lineRule="auto"/>
        <w:jc w:val="both"/>
      </w:pPr>
      <w:r>
        <w:rPr>
          <w:rFonts w:ascii="Times New Roman" w:hAnsi="Times New Roman"/>
          <w:b/>
          <w:sz w:val="24"/>
        </w:rPr>
        <w:t xml:space="preserve">Rule 109(b) (Compactness Statute): </w:t>
      </w:r>
      <w:r>
        <w:rPr>
          <w:rFonts w:ascii="Times New Roman" w:hAnsi="Times New Roman"/>
          <w:sz w:val="24"/>
        </w:rPr>
        <w:t>Mandates that sub-parcels must be as compact as practicable and prohibits irregular, tortuous strips.</w:t>
      </w:r>
    </w:p>
    <w:p>
      <w:pPr>
        <w:pStyle w:val="ListBullet"/>
        <w:spacing w:before="40" w:after="80" w:line="312" w:lineRule="auto"/>
        <w:jc w:val="both"/>
      </w:pPr>
      <w:r>
        <w:rPr>
          <w:rFonts w:ascii="Times New Roman" w:hAnsi="Times New Roman"/>
          <w:b/>
          <w:sz w:val="24"/>
        </w:rPr>
        <w:t xml:space="preserve">Rule 109(g) (Corridor &amp; Asset Protection): </w:t>
      </w:r>
      <w:r>
        <w:rPr>
          <w:rFonts w:ascii="Times New Roman" w:hAnsi="Times New Roman"/>
          <w:sz w:val="24"/>
        </w:rPr>
        <w:t>Requires that existing road corridors, field paths, and irrigation channels must remain accessible to all co-sharers or shared in common.</w:t>
      </w:r>
    </w:p>
    <w:p>
      <w:pPr>
        <w:spacing w:before="0" w:after="120" w:line="360" w:lineRule="auto"/>
        <w:jc w:val="both"/>
      </w:pPr>
      <w:r>
        <w:rPr>
          <w:rFonts w:ascii="Times New Roman" w:hAnsi="Times New Roman"/>
          <w:sz w:val="24"/>
        </w:rPr>
        <w:t>The model returns an auditable JSON payload containing the recommended strategy index, statutory justification citations, and operational caveats. When external internet connectivity is absent, the deterministic fallback selector (Equation 3.8) executes locally in SQLite, ensuring zero operational downtime.</w:t>
      </w:r>
    </w:p>
    <w:p>
      <w:r>
        <w:br w:type="page"/>
      </w:r>
    </w:p>
    <w:p>
      <w:pPr>
        <w:keepNext/>
        <w:spacing w:before="360" w:after="240"/>
        <w:jc w:val="center"/>
      </w:pPr>
      <w:r>
        <w:rPr>
          <w:rFonts w:ascii="Times New Roman" w:hAnsi="Times New Roman"/>
          <w:b/>
          <w:color w:val="0F172A"/>
          <w:sz w:val="32"/>
        </w:rPr>
        <w:t>CHAPTER 4</w:t>
        <w:br/>
        <w:t>RESULT AND ANALYSIS</w:t>
      </w:r>
    </w:p>
    <w:p>
      <w:pPr>
        <w:keepNext/>
        <w:spacing w:before="280" w:after="120"/>
        <w:jc w:val="left"/>
      </w:pPr>
      <w:r>
        <w:rPr>
          <w:rFonts w:ascii="Times New Roman" w:hAnsi="Times New Roman"/>
          <w:b/>
          <w:color w:val="1E3A8A"/>
          <w:sz w:val="28"/>
        </w:rPr>
        <w:t>4.1 Experimental Setup &amp; Workstation Specifications</w:t>
      </w:r>
    </w:p>
    <w:p>
      <w:pPr>
        <w:spacing w:before="0" w:after="120" w:line="360" w:lineRule="auto"/>
        <w:jc w:val="both"/>
      </w:pPr>
      <w:r>
        <w:rPr>
          <w:rFonts w:ascii="Times New Roman" w:hAnsi="Times New Roman"/>
          <w:sz w:val="24"/>
        </w:rPr>
        <w:t>All computational geometry benchmarks, AI prompt latency evaluations, database transaction verifications, and vector PDF compilation tests were conducted on a standardized high-performance engineering workstation. Table 4.1 documents the hardware and software configuration.</w:t>
      </w:r>
    </w:p>
    <w:tbl>
      <w:tblPr>
        <w:tblW w:type="auto" w:w="0"/>
        <w:jc w:val="center"/>
        <w:tblLook w:firstColumn="1" w:firstRow="1" w:lastColumn="0" w:lastRow="0" w:noHBand="0" w:noVBand="1" w:val="04A0"/>
      </w:tblPr>
      <w:tblGrid>
        <w:gridCol w:w="2741"/>
        <w:gridCol w:w="2741"/>
        <w:gridCol w:w="2741"/>
      </w:tblGrid>
      <w:tr>
        <w:tc>
          <w:tcPr>
            <w:tcW w:type="dxa" w:w="2741"/>
            <w:tcMar>
              <w:top w:w="60" w:type="dxa"/>
              <w:bottom w:w="60" w:type="dxa"/>
              <w:left w:w="80" w:type="dxa"/>
              <w:right w:w="80" w:type="dxa"/>
            </w:tcMar>
            <w:shd w:fill="1F4E79"/>
          </w:tcPr>
          <w:p>
            <w:pPr>
              <w:jc w:val="center"/>
            </w:pPr>
            <w:r>
              <w:rPr>
                <w:rFonts w:ascii="Times New Roman" w:hAnsi="Times New Roman"/>
                <w:b/>
                <w:color w:val="FFFFFF"/>
                <w:sz w:val="20"/>
              </w:rPr>
              <w:t>Component</w:t>
            </w:r>
          </w:p>
        </w:tc>
        <w:tc>
          <w:tcPr>
            <w:tcW w:type="dxa" w:w="2741"/>
            <w:tcMar>
              <w:top w:w="60" w:type="dxa"/>
              <w:bottom w:w="60" w:type="dxa"/>
              <w:left w:w="80" w:type="dxa"/>
              <w:right w:w="80" w:type="dxa"/>
            </w:tcMar>
            <w:shd w:fill="1F4E79"/>
          </w:tcPr>
          <w:p>
            <w:pPr>
              <w:jc w:val="center"/>
            </w:pPr>
            <w:r>
              <w:rPr>
                <w:rFonts w:ascii="Times New Roman" w:hAnsi="Times New Roman"/>
                <w:b/>
                <w:color w:val="FFFFFF"/>
                <w:sz w:val="20"/>
              </w:rPr>
              <w:t>Hardware Specification</w:t>
            </w:r>
          </w:p>
        </w:tc>
        <w:tc>
          <w:tcPr>
            <w:tcW w:type="dxa" w:w="2741"/>
            <w:tcMar>
              <w:top w:w="60" w:type="dxa"/>
              <w:bottom w:w="60" w:type="dxa"/>
              <w:left w:w="80" w:type="dxa"/>
              <w:right w:w="80" w:type="dxa"/>
            </w:tcMar>
            <w:shd w:fill="1F4E79"/>
          </w:tcPr>
          <w:p>
            <w:pPr>
              <w:jc w:val="center"/>
            </w:pPr>
            <w:r>
              <w:rPr>
                <w:rFonts w:ascii="Times New Roman" w:hAnsi="Times New Roman"/>
                <w:b/>
                <w:color w:val="FFFFFF"/>
                <w:sz w:val="20"/>
              </w:rPr>
              <w:t>Software Environment</w:t>
            </w:r>
          </w:p>
        </w:tc>
      </w:tr>
      <w:tr>
        <w:tc>
          <w:tcPr>
            <w:tcW w:type="dxa" w:w="2741"/>
            <w:tcMar>
              <w:top w:w="60" w:type="dxa"/>
              <w:bottom w:w="60" w:type="dxa"/>
              <w:left w:w="80" w:type="dxa"/>
              <w:right w:w="80" w:type="dxa"/>
            </w:tcMar>
            <w:shd w:fill="F2F5F8"/>
          </w:tcPr>
          <w:p>
            <w:pPr>
              <w:jc w:val="center"/>
            </w:pPr>
            <w:r>
              <w:rPr>
                <w:rFonts w:ascii="Times New Roman" w:hAnsi="Times New Roman"/>
                <w:sz w:val="20"/>
              </w:rPr>
              <w:t>Central Processor (CPU)</w:t>
            </w:r>
          </w:p>
        </w:tc>
        <w:tc>
          <w:tcPr>
            <w:tcW w:type="dxa" w:w="2741"/>
            <w:tcMar>
              <w:top w:w="60" w:type="dxa"/>
              <w:bottom w:w="60" w:type="dxa"/>
              <w:left w:w="80" w:type="dxa"/>
              <w:right w:w="80" w:type="dxa"/>
            </w:tcMar>
            <w:shd w:fill="F2F5F8"/>
          </w:tcPr>
          <w:p>
            <w:r>
              <w:rPr>
                <w:rFonts w:ascii="Times New Roman" w:hAnsi="Times New Roman"/>
                <w:sz w:val="20"/>
              </w:rPr>
              <w:t>Intel Core i7-12700H (14 Cores, 20 Threads, up to 4.7 GHz)</w:t>
            </w:r>
          </w:p>
        </w:tc>
        <w:tc>
          <w:tcPr>
            <w:tcW w:type="dxa" w:w="2741"/>
            <w:tcMar>
              <w:top w:w="60" w:type="dxa"/>
              <w:bottom w:w="60" w:type="dxa"/>
              <w:left w:w="80" w:type="dxa"/>
              <w:right w:w="80" w:type="dxa"/>
            </w:tcMar>
            <w:shd w:fill="F2F5F8"/>
          </w:tcPr>
          <w:p>
            <w:r>
              <w:rPr>
                <w:rFonts w:ascii="Times New Roman" w:hAnsi="Times New Roman"/>
                <w:sz w:val="20"/>
              </w:rPr>
              <w:t>Windows 11 Home 64-bit (Build 22631)</w:t>
            </w:r>
          </w:p>
        </w:tc>
      </w:tr>
      <w:tr>
        <w:tc>
          <w:tcPr>
            <w:tcW w:type="dxa" w:w="2741"/>
            <w:tcMar>
              <w:top w:w="60" w:type="dxa"/>
              <w:bottom w:w="60" w:type="dxa"/>
              <w:left w:w="80" w:type="dxa"/>
              <w:right w:w="80" w:type="dxa"/>
            </w:tcMar>
          </w:tcPr>
          <w:p>
            <w:pPr>
              <w:jc w:val="center"/>
            </w:pPr>
            <w:r>
              <w:rPr>
                <w:rFonts w:ascii="Times New Roman" w:hAnsi="Times New Roman"/>
                <w:sz w:val="20"/>
              </w:rPr>
              <w:t>System Memory (RAM)</w:t>
            </w:r>
          </w:p>
        </w:tc>
        <w:tc>
          <w:tcPr>
            <w:tcW w:type="dxa" w:w="2741"/>
            <w:tcMar>
              <w:top w:w="60" w:type="dxa"/>
              <w:bottom w:w="60" w:type="dxa"/>
              <w:left w:w="80" w:type="dxa"/>
              <w:right w:w="80" w:type="dxa"/>
            </w:tcMar>
          </w:tcPr>
          <w:p>
            <w:r>
              <w:rPr>
                <w:rFonts w:ascii="Times New Roman" w:hAnsi="Times New Roman"/>
                <w:sz w:val="20"/>
              </w:rPr>
              <w:t>16.0 GB DDR5 @ 4800 MHz (Dual Channel)</w:t>
            </w:r>
          </w:p>
        </w:tc>
        <w:tc>
          <w:tcPr>
            <w:tcW w:type="dxa" w:w="2741"/>
            <w:tcMar>
              <w:top w:w="60" w:type="dxa"/>
              <w:bottom w:w="60" w:type="dxa"/>
              <w:left w:w="80" w:type="dxa"/>
              <w:right w:w="80" w:type="dxa"/>
            </w:tcMar>
          </w:tcPr>
          <w:p>
            <w:r>
              <w:rPr>
                <w:rFonts w:ascii="Times New Roman" w:hAnsi="Times New Roman"/>
                <w:sz w:val="20"/>
              </w:rPr>
              <w:t>Python 3.11.9 (64-bit runtime)</w:t>
            </w:r>
          </w:p>
        </w:tc>
      </w:tr>
      <w:tr>
        <w:tc>
          <w:tcPr>
            <w:tcW w:type="dxa" w:w="2741"/>
            <w:tcMar>
              <w:top w:w="60" w:type="dxa"/>
              <w:bottom w:w="60" w:type="dxa"/>
              <w:left w:w="80" w:type="dxa"/>
              <w:right w:w="80" w:type="dxa"/>
            </w:tcMar>
            <w:shd w:fill="F2F5F8"/>
          </w:tcPr>
          <w:p>
            <w:pPr>
              <w:jc w:val="center"/>
            </w:pPr>
            <w:r>
              <w:rPr>
                <w:rFonts w:ascii="Times New Roman" w:hAnsi="Times New Roman"/>
                <w:sz w:val="20"/>
              </w:rPr>
              <w:t>Storage Subsystem</w:t>
            </w:r>
          </w:p>
        </w:tc>
        <w:tc>
          <w:tcPr>
            <w:tcW w:type="dxa" w:w="2741"/>
            <w:tcMar>
              <w:top w:w="60" w:type="dxa"/>
              <w:bottom w:w="60" w:type="dxa"/>
              <w:left w:w="80" w:type="dxa"/>
              <w:right w:w="80" w:type="dxa"/>
            </w:tcMar>
            <w:shd w:fill="F2F5F8"/>
          </w:tcPr>
          <w:p>
            <w:r>
              <w:rPr>
                <w:rFonts w:ascii="Times New Roman" w:hAnsi="Times New Roman"/>
                <w:sz w:val="20"/>
              </w:rPr>
              <w:t>1.0 TB NVMe PCIe 4.0 M.2 SSD (Read: 3500 MB/s)</w:t>
            </w:r>
          </w:p>
        </w:tc>
        <w:tc>
          <w:tcPr>
            <w:tcW w:type="dxa" w:w="2741"/>
            <w:tcMar>
              <w:top w:w="60" w:type="dxa"/>
              <w:bottom w:w="60" w:type="dxa"/>
              <w:left w:w="80" w:type="dxa"/>
              <w:right w:w="80" w:type="dxa"/>
            </w:tcMar>
            <w:shd w:fill="F2F5F8"/>
          </w:tcPr>
          <w:p>
            <w:r>
              <w:rPr>
                <w:rFonts w:ascii="Times New Roman" w:hAnsi="Times New Roman"/>
                <w:sz w:val="20"/>
              </w:rPr>
              <w:t>SQLite 3.42 (Local Spatial Persistence)</w:t>
            </w:r>
          </w:p>
        </w:tc>
      </w:tr>
      <w:tr>
        <w:tc>
          <w:tcPr>
            <w:tcW w:type="dxa" w:w="2741"/>
            <w:tcMar>
              <w:top w:w="60" w:type="dxa"/>
              <w:bottom w:w="60" w:type="dxa"/>
              <w:left w:w="80" w:type="dxa"/>
              <w:right w:w="80" w:type="dxa"/>
            </w:tcMar>
          </w:tcPr>
          <w:p>
            <w:pPr>
              <w:jc w:val="center"/>
            </w:pPr>
            <w:r>
              <w:rPr>
                <w:rFonts w:ascii="Times New Roman" w:hAnsi="Times New Roman"/>
                <w:sz w:val="20"/>
              </w:rPr>
              <w:t>GIS &amp; Geometry Engine</w:t>
            </w:r>
          </w:p>
        </w:tc>
        <w:tc>
          <w:tcPr>
            <w:tcW w:type="dxa" w:w="2741"/>
            <w:tcMar>
              <w:top w:w="60" w:type="dxa"/>
              <w:bottom w:w="60" w:type="dxa"/>
              <w:left w:w="80" w:type="dxa"/>
              <w:right w:w="80" w:type="dxa"/>
            </w:tcMar>
          </w:tcPr>
          <w:p>
            <w:r>
              <w:rPr>
                <w:rFonts w:ascii="Times New Roman" w:hAnsi="Times New Roman"/>
                <w:sz w:val="20"/>
              </w:rPr>
              <w:t>Dedicated GEOS 3.11.2 C++ Geometry Core</w:t>
            </w:r>
          </w:p>
        </w:tc>
        <w:tc>
          <w:tcPr>
            <w:tcW w:type="dxa" w:w="2741"/>
            <w:tcMar>
              <w:top w:w="60" w:type="dxa"/>
              <w:bottom w:w="60" w:type="dxa"/>
              <w:left w:w="80" w:type="dxa"/>
              <w:right w:w="80" w:type="dxa"/>
            </w:tcMar>
          </w:tcPr>
          <w:p>
            <w:r>
              <w:rPr>
                <w:rFonts w:ascii="Times New Roman" w:hAnsi="Times New Roman"/>
                <w:sz w:val="20"/>
              </w:rPr>
              <w:t>Shapely 2.0.4 &amp; PyProj 3.6.1</w:t>
            </w:r>
          </w:p>
        </w:tc>
      </w:tr>
      <w:tr>
        <w:tc>
          <w:tcPr>
            <w:tcW w:type="dxa" w:w="2741"/>
            <w:tcMar>
              <w:top w:w="60" w:type="dxa"/>
              <w:bottom w:w="60" w:type="dxa"/>
              <w:left w:w="80" w:type="dxa"/>
              <w:right w:w="80" w:type="dxa"/>
            </w:tcMar>
            <w:shd w:fill="F2F5F8"/>
          </w:tcPr>
          <w:p>
            <w:pPr>
              <w:jc w:val="center"/>
            </w:pPr>
            <w:r>
              <w:rPr>
                <w:rFonts w:ascii="Times New Roman" w:hAnsi="Times New Roman"/>
                <w:sz w:val="20"/>
              </w:rPr>
              <w:t>Web &amp; Proxy Framework</w:t>
            </w:r>
          </w:p>
        </w:tc>
        <w:tc>
          <w:tcPr>
            <w:tcW w:type="dxa" w:w="2741"/>
            <w:tcMar>
              <w:top w:w="60" w:type="dxa"/>
              <w:bottom w:w="60" w:type="dxa"/>
              <w:left w:w="80" w:type="dxa"/>
              <w:right w:w="80" w:type="dxa"/>
            </w:tcMar>
            <w:shd w:fill="F2F5F8"/>
          </w:tcPr>
          <w:p>
            <w:r>
              <w:rPr>
                <w:rFonts w:ascii="Times New Roman" w:hAnsi="Times New Roman"/>
                <w:sz w:val="20"/>
              </w:rPr>
              <w:t>Flask 3.0.3 Asynchronous Microframework</w:t>
            </w:r>
          </w:p>
        </w:tc>
        <w:tc>
          <w:tcPr>
            <w:tcW w:type="dxa" w:w="2741"/>
            <w:tcMar>
              <w:top w:w="60" w:type="dxa"/>
              <w:bottom w:w="60" w:type="dxa"/>
              <w:left w:w="80" w:type="dxa"/>
              <w:right w:w="80" w:type="dxa"/>
            </w:tcMar>
            <w:shd w:fill="F2F5F8"/>
          </w:tcPr>
          <w:p>
            <w:r>
              <w:rPr>
                <w:rFonts w:ascii="Times New Roman" w:hAnsi="Times New Roman"/>
                <w:sz w:val="20"/>
              </w:rPr>
              <w:t>OpenLayers v6.15.1 &amp; Vanilla CSS Frontend</w:t>
            </w:r>
          </w:p>
        </w:tc>
      </w:tr>
      <w:tr>
        <w:tc>
          <w:tcPr>
            <w:tcW w:type="dxa" w:w="2741"/>
            <w:tcMar>
              <w:top w:w="60" w:type="dxa"/>
              <w:bottom w:w="60" w:type="dxa"/>
              <w:left w:w="80" w:type="dxa"/>
              <w:right w:w="80" w:type="dxa"/>
            </w:tcMar>
          </w:tcPr>
          <w:p>
            <w:pPr>
              <w:jc w:val="center"/>
            </w:pPr>
            <w:r>
              <w:rPr>
                <w:rFonts w:ascii="Times New Roman" w:hAnsi="Times New Roman"/>
                <w:sz w:val="20"/>
              </w:rPr>
              <w:t>Artificial Intelligence</w:t>
            </w:r>
          </w:p>
        </w:tc>
        <w:tc>
          <w:tcPr>
            <w:tcW w:type="dxa" w:w="2741"/>
            <w:tcMar>
              <w:top w:w="60" w:type="dxa"/>
              <w:bottom w:w="60" w:type="dxa"/>
              <w:left w:w="80" w:type="dxa"/>
              <w:right w:w="80" w:type="dxa"/>
            </w:tcMar>
          </w:tcPr>
          <w:p>
            <w:r>
              <w:rPr>
                <w:rFonts w:ascii="Times New Roman" w:hAnsi="Times New Roman"/>
                <w:sz w:val="20"/>
              </w:rPr>
              <w:t>Google Gemini 2.5 Flash API (Cloud Gateway)</w:t>
            </w:r>
          </w:p>
        </w:tc>
        <w:tc>
          <w:tcPr>
            <w:tcW w:type="dxa" w:w="2741"/>
            <w:tcMar>
              <w:top w:w="60" w:type="dxa"/>
              <w:bottom w:w="60" w:type="dxa"/>
              <w:left w:w="80" w:type="dxa"/>
              <w:right w:w="80" w:type="dxa"/>
            </w:tcMar>
          </w:tcPr>
          <w:p>
            <w:r>
              <w:rPr>
                <w:rFonts w:ascii="Times New Roman" w:hAnsi="Times New Roman"/>
                <w:sz w:val="20"/>
              </w:rPr>
              <w:t>Structured JSON Schema Response Parsing</w:t>
            </w:r>
          </w:p>
        </w:tc>
      </w:tr>
    </w:tbl>
    <w:p>
      <w:pPr>
        <w:keepNext/>
        <w:spacing w:before="280" w:after="120"/>
        <w:jc w:val="left"/>
      </w:pPr>
      <w:r>
        <w:rPr>
          <w:rFonts w:ascii="Times New Roman" w:hAnsi="Times New Roman"/>
          <w:b/>
          <w:color w:val="1E3A8A"/>
          <w:sz w:val="28"/>
        </w:rPr>
        <w:t>4.2 Benchmark Dataset Description &amp; Test Protocol</w:t>
      </w:r>
    </w:p>
    <w:p>
      <w:pPr>
        <w:spacing w:before="0" w:after="120" w:line="360" w:lineRule="auto"/>
        <w:jc w:val="both"/>
      </w:pPr>
      <w:r>
        <w:rPr>
          <w:rFonts w:ascii="Times New Roman" w:hAnsi="Times New Roman"/>
          <w:sz w:val="24"/>
        </w:rPr>
        <w:t>The experimental validation was executed across a canonical dataset of 70 official cadastral parcels extracted from real BhuNaksha cadastral sheets across five representative agricultural districts in Bihar, India (Arwal, Begusarai, Araria, Gaya, and Patna). Table 4.2 presents the spatial profile of the benchmark dataset.</w:t>
      </w:r>
    </w:p>
    <w:tbl>
      <w:tblPr>
        <w:tblW w:type="auto" w:w="0"/>
        <w:jc w:val="center"/>
        <w:tblLook w:firstColumn="1" w:firstRow="1" w:lastColumn="0" w:lastRow="0" w:noHBand="0" w:noVBand="1" w:val="04A0"/>
      </w:tblPr>
      <w:tblGrid>
        <w:gridCol w:w="1645"/>
        <w:gridCol w:w="1645"/>
        <w:gridCol w:w="1645"/>
        <w:gridCol w:w="1645"/>
        <w:gridCol w:w="1645"/>
      </w:tblGrid>
      <w:tr>
        <w:tc>
          <w:tcPr>
            <w:tcW w:type="dxa" w:w="1645"/>
            <w:tcMar>
              <w:top w:w="50" w:type="dxa"/>
              <w:bottom w:w="50" w:type="dxa"/>
              <w:left w:w="60" w:type="dxa"/>
              <w:right w:w="60" w:type="dxa"/>
            </w:tcMar>
            <w:shd w:fill="1F4E79"/>
          </w:tcPr>
          <w:p>
            <w:pPr>
              <w:jc w:val="center"/>
            </w:pPr>
            <w:r>
              <w:rPr>
                <w:rFonts w:ascii="Times New Roman" w:hAnsi="Times New Roman"/>
                <w:b/>
                <w:color w:val="FFFFFF"/>
                <w:sz w:val="19"/>
              </w:rPr>
              <w:t>District</w:t>
            </w:r>
          </w:p>
        </w:tc>
        <w:tc>
          <w:tcPr>
            <w:tcW w:type="dxa" w:w="1645"/>
            <w:tcMar>
              <w:top w:w="50" w:type="dxa"/>
              <w:bottom w:w="50" w:type="dxa"/>
              <w:left w:w="60" w:type="dxa"/>
              <w:right w:w="60" w:type="dxa"/>
            </w:tcMar>
            <w:shd w:fill="1F4E79"/>
          </w:tcPr>
          <w:p>
            <w:pPr>
              <w:jc w:val="center"/>
            </w:pPr>
            <w:r>
              <w:rPr>
                <w:rFonts w:ascii="Times New Roman" w:hAnsi="Times New Roman"/>
                <w:b/>
                <w:color w:val="FFFFFF"/>
                <w:sz w:val="19"/>
              </w:rPr>
              <w:t>Mouza / Village</w:t>
            </w:r>
          </w:p>
        </w:tc>
        <w:tc>
          <w:tcPr>
            <w:tcW w:type="dxa" w:w="1645"/>
            <w:tcMar>
              <w:top w:w="50" w:type="dxa"/>
              <w:bottom w:w="50" w:type="dxa"/>
              <w:left w:w="60" w:type="dxa"/>
              <w:right w:w="60" w:type="dxa"/>
            </w:tcMar>
            <w:shd w:fill="1F4E79"/>
          </w:tcPr>
          <w:p>
            <w:pPr>
              <w:jc w:val="center"/>
            </w:pPr>
            <w:r>
              <w:rPr>
                <w:rFonts w:ascii="Times New Roman" w:hAnsi="Times New Roman"/>
                <w:b/>
                <w:color w:val="FFFFFF"/>
                <w:sz w:val="19"/>
              </w:rPr>
              <w:t>Parcels Sampled</w:t>
            </w:r>
          </w:p>
        </w:tc>
        <w:tc>
          <w:tcPr>
            <w:tcW w:type="dxa" w:w="1645"/>
            <w:tcMar>
              <w:top w:w="50" w:type="dxa"/>
              <w:bottom w:w="50" w:type="dxa"/>
              <w:left w:w="60" w:type="dxa"/>
              <w:right w:w="60" w:type="dxa"/>
            </w:tcMar>
            <w:shd w:fill="1F4E79"/>
          </w:tcPr>
          <w:p>
            <w:pPr>
              <w:jc w:val="center"/>
            </w:pPr>
            <w:r>
              <w:rPr>
                <w:rFonts w:ascii="Times New Roman" w:hAnsi="Times New Roman"/>
                <w:b/>
                <w:color w:val="FFFFFF"/>
                <w:sz w:val="19"/>
              </w:rPr>
              <w:t>Area Range (Acres)</w:t>
            </w:r>
          </w:p>
        </w:tc>
        <w:tc>
          <w:tcPr>
            <w:tcW w:type="dxa" w:w="1645"/>
            <w:tcMar>
              <w:top w:w="50" w:type="dxa"/>
              <w:bottom w:w="50" w:type="dxa"/>
              <w:left w:w="60" w:type="dxa"/>
              <w:right w:w="60" w:type="dxa"/>
            </w:tcMar>
            <w:shd w:fill="1F4E79"/>
          </w:tcPr>
          <w:p>
            <w:pPr>
              <w:jc w:val="center"/>
            </w:pPr>
            <w:r>
              <w:rPr>
                <w:rFonts w:ascii="Times New Roman" w:hAnsi="Times New Roman"/>
                <w:b/>
                <w:color w:val="FFFFFF"/>
                <w:sz w:val="19"/>
              </w:rPr>
              <w:t>Boundary Vertices (N)</w:t>
            </w:r>
          </w:p>
        </w:tc>
      </w:tr>
      <w:tr>
        <w:tc>
          <w:tcPr>
            <w:tcW w:type="dxa" w:w="1645"/>
            <w:tcMar>
              <w:top w:w="50" w:type="dxa"/>
              <w:bottom w:w="50" w:type="dxa"/>
              <w:left w:w="60" w:type="dxa"/>
              <w:right w:w="60" w:type="dxa"/>
            </w:tcMar>
            <w:shd w:fill="F2F5F8"/>
          </w:tcPr>
          <w:p>
            <w:pPr>
              <w:jc w:val="center"/>
            </w:pPr>
            <w:r>
              <w:rPr>
                <w:rFonts w:ascii="Times New Roman" w:hAnsi="Times New Roman"/>
                <w:sz w:val="19"/>
              </w:rPr>
              <w:t>Arwal</w:t>
            </w:r>
          </w:p>
        </w:tc>
        <w:tc>
          <w:tcPr>
            <w:tcW w:type="dxa" w:w="1645"/>
            <w:tcMar>
              <w:top w:w="50" w:type="dxa"/>
              <w:bottom w:w="50" w:type="dxa"/>
              <w:left w:w="60" w:type="dxa"/>
              <w:right w:w="60" w:type="dxa"/>
            </w:tcMar>
            <w:shd w:fill="F2F5F8"/>
          </w:tcPr>
          <w:p>
            <w:r>
              <w:rPr>
                <w:rFonts w:ascii="Times New Roman" w:hAnsi="Times New Roman"/>
                <w:sz w:val="19"/>
              </w:rPr>
              <w:t>Agnoor (CS Map 1, Sheet 1)</w:t>
            </w:r>
          </w:p>
        </w:tc>
        <w:tc>
          <w:tcPr>
            <w:tcW w:type="dxa" w:w="1645"/>
            <w:tcMar>
              <w:top w:w="50" w:type="dxa"/>
              <w:bottom w:w="50" w:type="dxa"/>
              <w:left w:w="60" w:type="dxa"/>
              <w:right w:w="60" w:type="dxa"/>
            </w:tcMar>
            <w:shd w:fill="F2F5F8"/>
          </w:tcPr>
          <w:p>
            <w:pPr>
              <w:jc w:val="center"/>
            </w:pPr>
            <w:r>
              <w:rPr>
                <w:rFonts w:ascii="Times New Roman" w:hAnsi="Times New Roman"/>
                <w:sz w:val="19"/>
              </w:rPr>
              <w:t>18 Parcels</w:t>
            </w:r>
          </w:p>
        </w:tc>
        <w:tc>
          <w:tcPr>
            <w:tcW w:type="dxa" w:w="1645"/>
            <w:tcMar>
              <w:top w:w="50" w:type="dxa"/>
              <w:bottom w:w="50" w:type="dxa"/>
              <w:left w:w="60" w:type="dxa"/>
              <w:right w:w="60" w:type="dxa"/>
            </w:tcMar>
            <w:shd w:fill="F2F5F8"/>
          </w:tcPr>
          <w:p>
            <w:r>
              <w:rPr>
                <w:rFonts w:ascii="Times New Roman" w:hAnsi="Times New Roman"/>
                <w:sz w:val="19"/>
              </w:rPr>
              <w:t>0.22 – 2.45 Acres</w:t>
            </w:r>
          </w:p>
        </w:tc>
        <w:tc>
          <w:tcPr>
            <w:tcW w:type="dxa" w:w="1645"/>
            <w:tcMar>
              <w:top w:w="50" w:type="dxa"/>
              <w:bottom w:w="50" w:type="dxa"/>
              <w:left w:w="60" w:type="dxa"/>
              <w:right w:w="60" w:type="dxa"/>
            </w:tcMar>
            <w:shd w:fill="F2F5F8"/>
          </w:tcPr>
          <w:p>
            <w:r>
              <w:rPr>
                <w:rFonts w:ascii="Times New Roman" w:hAnsi="Times New Roman"/>
                <w:sz w:val="19"/>
              </w:rPr>
              <w:t>8 – 43 Nodes</w:t>
            </w:r>
          </w:p>
        </w:tc>
      </w:tr>
      <w:tr>
        <w:tc>
          <w:tcPr>
            <w:tcW w:type="dxa" w:w="1645"/>
            <w:tcMar>
              <w:top w:w="50" w:type="dxa"/>
              <w:bottom w:w="50" w:type="dxa"/>
              <w:left w:w="60" w:type="dxa"/>
              <w:right w:w="60" w:type="dxa"/>
            </w:tcMar>
          </w:tcPr>
          <w:p>
            <w:pPr>
              <w:jc w:val="center"/>
            </w:pPr>
            <w:r>
              <w:rPr>
                <w:rFonts w:ascii="Times New Roman" w:hAnsi="Times New Roman"/>
                <w:sz w:val="19"/>
              </w:rPr>
              <w:t>Begusarai</w:t>
            </w:r>
          </w:p>
        </w:tc>
        <w:tc>
          <w:tcPr>
            <w:tcW w:type="dxa" w:w="1645"/>
            <w:tcMar>
              <w:top w:w="50" w:type="dxa"/>
              <w:bottom w:w="50" w:type="dxa"/>
              <w:left w:w="60" w:type="dxa"/>
              <w:right w:w="60" w:type="dxa"/>
            </w:tcMar>
          </w:tcPr>
          <w:p>
            <w:r>
              <w:rPr>
                <w:rFonts w:ascii="Times New Roman" w:hAnsi="Times New Roman"/>
                <w:sz w:val="19"/>
              </w:rPr>
              <w:t>Barauni Deorhi (Sheet 2)</w:t>
            </w:r>
          </w:p>
        </w:tc>
        <w:tc>
          <w:tcPr>
            <w:tcW w:type="dxa" w:w="1645"/>
            <w:tcMar>
              <w:top w:w="50" w:type="dxa"/>
              <w:bottom w:w="50" w:type="dxa"/>
              <w:left w:w="60" w:type="dxa"/>
              <w:right w:w="60" w:type="dxa"/>
            </w:tcMar>
          </w:tcPr>
          <w:p>
            <w:pPr>
              <w:jc w:val="center"/>
            </w:pPr>
            <w:r>
              <w:rPr>
                <w:rFonts w:ascii="Times New Roman" w:hAnsi="Times New Roman"/>
                <w:sz w:val="19"/>
              </w:rPr>
              <w:t>14 Parcels</w:t>
            </w:r>
          </w:p>
        </w:tc>
        <w:tc>
          <w:tcPr>
            <w:tcW w:type="dxa" w:w="1645"/>
            <w:tcMar>
              <w:top w:w="50" w:type="dxa"/>
              <w:bottom w:w="50" w:type="dxa"/>
              <w:left w:w="60" w:type="dxa"/>
              <w:right w:w="60" w:type="dxa"/>
            </w:tcMar>
          </w:tcPr>
          <w:p>
            <w:r>
              <w:rPr>
                <w:rFonts w:ascii="Times New Roman" w:hAnsi="Times New Roman"/>
                <w:sz w:val="19"/>
              </w:rPr>
              <w:t>0.45 – 4.20 Acres</w:t>
            </w:r>
          </w:p>
        </w:tc>
        <w:tc>
          <w:tcPr>
            <w:tcW w:type="dxa" w:w="1645"/>
            <w:tcMar>
              <w:top w:w="50" w:type="dxa"/>
              <w:bottom w:w="50" w:type="dxa"/>
              <w:left w:w="60" w:type="dxa"/>
              <w:right w:w="60" w:type="dxa"/>
            </w:tcMar>
          </w:tcPr>
          <w:p>
            <w:r>
              <w:rPr>
                <w:rFonts w:ascii="Times New Roman" w:hAnsi="Times New Roman"/>
                <w:sz w:val="19"/>
              </w:rPr>
              <w:t>10 – 38 Nodes</w:t>
            </w:r>
          </w:p>
        </w:tc>
      </w:tr>
      <w:tr>
        <w:tc>
          <w:tcPr>
            <w:tcW w:type="dxa" w:w="1645"/>
            <w:tcMar>
              <w:top w:w="50" w:type="dxa"/>
              <w:bottom w:w="50" w:type="dxa"/>
              <w:left w:w="60" w:type="dxa"/>
              <w:right w:w="60" w:type="dxa"/>
            </w:tcMar>
            <w:shd w:fill="F2F5F8"/>
          </w:tcPr>
          <w:p>
            <w:pPr>
              <w:jc w:val="center"/>
            </w:pPr>
            <w:r>
              <w:rPr>
                <w:rFonts w:ascii="Times New Roman" w:hAnsi="Times New Roman"/>
                <w:sz w:val="19"/>
              </w:rPr>
              <w:t>Araria</w:t>
            </w:r>
          </w:p>
        </w:tc>
        <w:tc>
          <w:tcPr>
            <w:tcW w:type="dxa" w:w="1645"/>
            <w:tcMar>
              <w:top w:w="50" w:type="dxa"/>
              <w:bottom w:w="50" w:type="dxa"/>
              <w:left w:w="60" w:type="dxa"/>
              <w:right w:w="60" w:type="dxa"/>
            </w:tcMar>
            <w:shd w:fill="F2F5F8"/>
          </w:tcPr>
          <w:p>
            <w:r>
              <w:rPr>
                <w:rFonts w:ascii="Times New Roman" w:hAnsi="Times New Roman"/>
                <w:sz w:val="19"/>
              </w:rPr>
              <w:t>Forbesganj Rural (Sheet 1)</w:t>
            </w:r>
          </w:p>
        </w:tc>
        <w:tc>
          <w:tcPr>
            <w:tcW w:type="dxa" w:w="1645"/>
            <w:tcMar>
              <w:top w:w="50" w:type="dxa"/>
              <w:bottom w:w="50" w:type="dxa"/>
              <w:left w:w="60" w:type="dxa"/>
              <w:right w:w="60" w:type="dxa"/>
            </w:tcMar>
            <w:shd w:fill="F2F5F8"/>
          </w:tcPr>
          <w:p>
            <w:pPr>
              <w:jc w:val="center"/>
            </w:pPr>
            <w:r>
              <w:rPr>
                <w:rFonts w:ascii="Times New Roman" w:hAnsi="Times New Roman"/>
                <w:sz w:val="19"/>
              </w:rPr>
              <w:t>12 Parcels</w:t>
            </w:r>
          </w:p>
        </w:tc>
        <w:tc>
          <w:tcPr>
            <w:tcW w:type="dxa" w:w="1645"/>
            <w:tcMar>
              <w:top w:w="50" w:type="dxa"/>
              <w:bottom w:w="50" w:type="dxa"/>
              <w:left w:w="60" w:type="dxa"/>
              <w:right w:w="60" w:type="dxa"/>
            </w:tcMar>
            <w:shd w:fill="F2F5F8"/>
          </w:tcPr>
          <w:p>
            <w:r>
              <w:rPr>
                <w:rFonts w:ascii="Times New Roman" w:hAnsi="Times New Roman"/>
                <w:sz w:val="19"/>
              </w:rPr>
              <w:t>0.15 – 1.85 Acres</w:t>
            </w:r>
          </w:p>
        </w:tc>
        <w:tc>
          <w:tcPr>
            <w:tcW w:type="dxa" w:w="1645"/>
            <w:tcMar>
              <w:top w:w="50" w:type="dxa"/>
              <w:bottom w:w="50" w:type="dxa"/>
              <w:left w:w="60" w:type="dxa"/>
              <w:right w:w="60" w:type="dxa"/>
            </w:tcMar>
            <w:shd w:fill="F2F5F8"/>
          </w:tcPr>
          <w:p>
            <w:r>
              <w:rPr>
                <w:rFonts w:ascii="Times New Roman" w:hAnsi="Times New Roman"/>
                <w:sz w:val="19"/>
              </w:rPr>
              <w:t>6 – 28 Nodes</w:t>
            </w:r>
          </w:p>
        </w:tc>
      </w:tr>
      <w:tr>
        <w:tc>
          <w:tcPr>
            <w:tcW w:type="dxa" w:w="1645"/>
            <w:tcMar>
              <w:top w:w="50" w:type="dxa"/>
              <w:bottom w:w="50" w:type="dxa"/>
              <w:left w:w="60" w:type="dxa"/>
              <w:right w:w="60" w:type="dxa"/>
            </w:tcMar>
          </w:tcPr>
          <w:p>
            <w:pPr>
              <w:jc w:val="center"/>
            </w:pPr>
            <w:r>
              <w:rPr>
                <w:rFonts w:ascii="Times New Roman" w:hAnsi="Times New Roman"/>
                <w:sz w:val="19"/>
              </w:rPr>
              <w:t>Gaya</w:t>
            </w:r>
          </w:p>
        </w:tc>
        <w:tc>
          <w:tcPr>
            <w:tcW w:type="dxa" w:w="1645"/>
            <w:tcMar>
              <w:top w:w="50" w:type="dxa"/>
              <w:bottom w:w="50" w:type="dxa"/>
              <w:left w:w="60" w:type="dxa"/>
              <w:right w:w="60" w:type="dxa"/>
            </w:tcMar>
          </w:tcPr>
          <w:p>
            <w:r>
              <w:rPr>
                <w:rFonts w:ascii="Times New Roman" w:hAnsi="Times New Roman"/>
                <w:sz w:val="19"/>
              </w:rPr>
              <w:t>Bodhigram (Sheet 3)</w:t>
            </w:r>
          </w:p>
        </w:tc>
        <w:tc>
          <w:tcPr>
            <w:tcW w:type="dxa" w:w="1645"/>
            <w:tcMar>
              <w:top w:w="50" w:type="dxa"/>
              <w:bottom w:w="50" w:type="dxa"/>
              <w:left w:w="60" w:type="dxa"/>
              <w:right w:w="60" w:type="dxa"/>
            </w:tcMar>
          </w:tcPr>
          <w:p>
            <w:pPr>
              <w:jc w:val="center"/>
            </w:pPr>
            <w:r>
              <w:rPr>
                <w:rFonts w:ascii="Times New Roman" w:hAnsi="Times New Roman"/>
                <w:sz w:val="19"/>
              </w:rPr>
              <w:t>14 Parcels</w:t>
            </w:r>
          </w:p>
        </w:tc>
        <w:tc>
          <w:tcPr>
            <w:tcW w:type="dxa" w:w="1645"/>
            <w:tcMar>
              <w:top w:w="50" w:type="dxa"/>
              <w:bottom w:w="50" w:type="dxa"/>
              <w:left w:w="60" w:type="dxa"/>
              <w:right w:w="60" w:type="dxa"/>
            </w:tcMar>
          </w:tcPr>
          <w:p>
            <w:r>
              <w:rPr>
                <w:rFonts w:ascii="Times New Roman" w:hAnsi="Times New Roman"/>
                <w:sz w:val="19"/>
              </w:rPr>
              <w:t>0.35 – 3.10 Acres</w:t>
            </w:r>
          </w:p>
        </w:tc>
        <w:tc>
          <w:tcPr>
            <w:tcW w:type="dxa" w:w="1645"/>
            <w:tcMar>
              <w:top w:w="50" w:type="dxa"/>
              <w:bottom w:w="50" w:type="dxa"/>
              <w:left w:w="60" w:type="dxa"/>
              <w:right w:w="60" w:type="dxa"/>
            </w:tcMar>
          </w:tcPr>
          <w:p>
            <w:r>
              <w:rPr>
                <w:rFonts w:ascii="Times New Roman" w:hAnsi="Times New Roman"/>
                <w:sz w:val="19"/>
              </w:rPr>
              <w:t>8 – 34 Nodes</w:t>
            </w:r>
          </w:p>
        </w:tc>
      </w:tr>
      <w:tr>
        <w:tc>
          <w:tcPr>
            <w:tcW w:type="dxa" w:w="1645"/>
            <w:tcMar>
              <w:top w:w="50" w:type="dxa"/>
              <w:bottom w:w="50" w:type="dxa"/>
              <w:left w:w="60" w:type="dxa"/>
              <w:right w:w="60" w:type="dxa"/>
            </w:tcMar>
            <w:shd w:fill="F2F5F8"/>
          </w:tcPr>
          <w:p>
            <w:pPr>
              <w:jc w:val="center"/>
            </w:pPr>
            <w:r>
              <w:rPr>
                <w:rFonts w:ascii="Times New Roman" w:hAnsi="Times New Roman"/>
                <w:sz w:val="19"/>
              </w:rPr>
              <w:t>Patna</w:t>
            </w:r>
          </w:p>
        </w:tc>
        <w:tc>
          <w:tcPr>
            <w:tcW w:type="dxa" w:w="1645"/>
            <w:tcMar>
              <w:top w:w="50" w:type="dxa"/>
              <w:bottom w:w="50" w:type="dxa"/>
              <w:left w:w="60" w:type="dxa"/>
              <w:right w:w="60" w:type="dxa"/>
            </w:tcMar>
            <w:shd w:fill="F2F5F8"/>
          </w:tcPr>
          <w:p>
            <w:r>
              <w:rPr>
                <w:rFonts w:ascii="Times New Roman" w:hAnsi="Times New Roman"/>
                <w:sz w:val="19"/>
              </w:rPr>
              <w:t>Phulwari Sharif (Sheet 1)</w:t>
            </w:r>
          </w:p>
        </w:tc>
        <w:tc>
          <w:tcPr>
            <w:tcW w:type="dxa" w:w="1645"/>
            <w:tcMar>
              <w:top w:w="50" w:type="dxa"/>
              <w:bottom w:w="50" w:type="dxa"/>
              <w:left w:w="60" w:type="dxa"/>
              <w:right w:w="60" w:type="dxa"/>
            </w:tcMar>
            <w:shd w:fill="F2F5F8"/>
          </w:tcPr>
          <w:p>
            <w:pPr>
              <w:jc w:val="center"/>
            </w:pPr>
            <w:r>
              <w:rPr>
                <w:rFonts w:ascii="Times New Roman" w:hAnsi="Times New Roman"/>
                <w:sz w:val="19"/>
              </w:rPr>
              <w:t>12 Parcels</w:t>
            </w:r>
          </w:p>
        </w:tc>
        <w:tc>
          <w:tcPr>
            <w:tcW w:type="dxa" w:w="1645"/>
            <w:tcMar>
              <w:top w:w="50" w:type="dxa"/>
              <w:bottom w:w="50" w:type="dxa"/>
              <w:left w:w="60" w:type="dxa"/>
              <w:right w:w="60" w:type="dxa"/>
            </w:tcMar>
            <w:shd w:fill="F2F5F8"/>
          </w:tcPr>
          <w:p>
            <w:r>
              <w:rPr>
                <w:rFonts w:ascii="Times New Roman" w:hAnsi="Times New Roman"/>
                <w:sz w:val="19"/>
              </w:rPr>
              <w:t>0.18 – 1.65 Acres</w:t>
            </w:r>
          </w:p>
        </w:tc>
        <w:tc>
          <w:tcPr>
            <w:tcW w:type="dxa" w:w="1645"/>
            <w:tcMar>
              <w:top w:w="50" w:type="dxa"/>
              <w:bottom w:w="50" w:type="dxa"/>
              <w:left w:w="60" w:type="dxa"/>
              <w:right w:w="60" w:type="dxa"/>
            </w:tcMar>
            <w:shd w:fill="F2F5F8"/>
          </w:tcPr>
          <w:p>
            <w:r>
              <w:rPr>
                <w:rFonts w:ascii="Times New Roman" w:hAnsi="Times New Roman"/>
                <w:sz w:val="19"/>
              </w:rPr>
              <w:t>6 – 26 Nodes</w:t>
            </w:r>
          </w:p>
        </w:tc>
      </w:tr>
      <w:tr>
        <w:tc>
          <w:tcPr>
            <w:tcW w:type="dxa" w:w="1645"/>
            <w:tcMar>
              <w:top w:w="50" w:type="dxa"/>
              <w:bottom w:w="50" w:type="dxa"/>
              <w:left w:w="60" w:type="dxa"/>
              <w:right w:w="60" w:type="dxa"/>
            </w:tcMar>
            <w:shd w:fill="D9E1F2"/>
          </w:tcPr>
          <w:p>
            <w:pPr>
              <w:jc w:val="center"/>
            </w:pPr>
            <w:r>
              <w:rPr>
                <w:rFonts w:ascii="Times New Roman" w:hAnsi="Times New Roman"/>
                <w:b/>
                <w:sz w:val="19"/>
              </w:rPr>
              <w:t>Total Dataset</w:t>
            </w:r>
          </w:p>
        </w:tc>
        <w:tc>
          <w:tcPr>
            <w:tcW w:type="dxa" w:w="1645"/>
            <w:tcMar>
              <w:top w:w="50" w:type="dxa"/>
              <w:bottom w:w="50" w:type="dxa"/>
              <w:left w:w="60" w:type="dxa"/>
              <w:right w:w="60" w:type="dxa"/>
            </w:tcMar>
            <w:shd w:fill="D9E1F2"/>
          </w:tcPr>
          <w:p>
            <w:r>
              <w:rPr>
                <w:rFonts w:ascii="Times New Roman" w:hAnsi="Times New Roman"/>
                <w:b/>
                <w:sz w:val="19"/>
              </w:rPr>
              <w:t>5 Districts, 5 Mouzas</w:t>
            </w:r>
          </w:p>
        </w:tc>
        <w:tc>
          <w:tcPr>
            <w:tcW w:type="dxa" w:w="1645"/>
            <w:tcMar>
              <w:top w:w="50" w:type="dxa"/>
              <w:bottom w:w="50" w:type="dxa"/>
              <w:left w:w="60" w:type="dxa"/>
              <w:right w:w="60" w:type="dxa"/>
            </w:tcMar>
            <w:shd w:fill="D9E1F2"/>
          </w:tcPr>
          <w:p>
            <w:pPr>
              <w:jc w:val="center"/>
            </w:pPr>
            <w:r>
              <w:rPr>
                <w:rFonts w:ascii="Times New Roman" w:hAnsi="Times New Roman"/>
                <w:b/>
                <w:sz w:val="19"/>
              </w:rPr>
              <w:t>70 Cadastral Parcels</w:t>
            </w:r>
          </w:p>
        </w:tc>
        <w:tc>
          <w:tcPr>
            <w:tcW w:type="dxa" w:w="1645"/>
            <w:tcMar>
              <w:top w:w="50" w:type="dxa"/>
              <w:bottom w:w="50" w:type="dxa"/>
              <w:left w:w="60" w:type="dxa"/>
              <w:right w:w="60" w:type="dxa"/>
            </w:tcMar>
            <w:shd w:fill="D9E1F2"/>
          </w:tcPr>
          <w:p>
            <w:r>
              <w:rPr>
                <w:rFonts w:ascii="Times New Roman" w:hAnsi="Times New Roman"/>
                <w:b/>
                <w:sz w:val="19"/>
              </w:rPr>
              <w:t>0.15 – 4.20 Acres</w:t>
            </w:r>
          </w:p>
        </w:tc>
        <w:tc>
          <w:tcPr>
            <w:tcW w:type="dxa" w:w="1645"/>
            <w:tcMar>
              <w:top w:w="50" w:type="dxa"/>
              <w:bottom w:w="50" w:type="dxa"/>
              <w:left w:w="60" w:type="dxa"/>
              <w:right w:w="60" w:type="dxa"/>
            </w:tcMar>
            <w:shd w:fill="D9E1F2"/>
          </w:tcPr>
          <w:p>
            <w:r>
              <w:rPr>
                <w:rFonts w:ascii="Times New Roman" w:hAnsi="Times New Roman"/>
                <w:b/>
                <w:sz w:val="19"/>
              </w:rPr>
              <w:t>6 – 43 Nodes</w:t>
            </w:r>
          </w:p>
        </w:tc>
      </w:tr>
    </w:tbl>
    <w:p>
      <w:pPr>
        <w:spacing w:before="0" w:after="120" w:line="360" w:lineRule="auto"/>
        <w:jc w:val="both"/>
      </w:pPr>
      <w:r>
        <w:rPr>
          <w:rFonts w:ascii="Times New Roman" w:hAnsi="Times New Roman"/>
          <w:sz w:val="24"/>
        </w:rPr>
        <w:t>Automated Test Suite Verification: The platform's computational integrity was verified through an automated test suite comprising 18 end-to-end integration and unit tests covering API routing, WMS caching, coordinate transformations, polygon repairs, multi-party divisions, and PDF generation. All 18 tests achieved 100% passing status with an aggregate execution duration of 8.41 seconds.</w:t>
      </w:r>
    </w:p>
    <w:p>
      <w:pPr>
        <w:keepNext/>
        <w:spacing w:before="280" w:after="120"/>
        <w:jc w:val="left"/>
      </w:pPr>
      <w:r>
        <w:rPr>
          <w:rFonts w:ascii="Times New Roman" w:hAnsi="Times New Roman"/>
          <w:b/>
          <w:color w:val="1E3A8A"/>
          <w:sz w:val="28"/>
        </w:rPr>
        <w:t>4.3 Quantitative Partition Performance Across Co-Sharer Counts</w:t>
      </w:r>
    </w:p>
    <w:p>
      <w:pPr>
        <w:spacing w:before="0" w:after="120" w:line="360" w:lineRule="auto"/>
        <w:jc w:val="both"/>
      </w:pPr>
      <w:r>
        <w:rPr>
          <w:rFonts w:ascii="Times New Roman" w:hAnsi="Times New Roman"/>
          <w:sz w:val="24"/>
        </w:rPr>
        <w:t>Table 4.3 summarizes the quantitative operational metrics of the Bhu-Overlay geometry pipeline evaluated across varying co-sharer counts (k = 2, 3, 4, and 8 sharers).</w:t>
      </w:r>
    </w:p>
    <w:tbl>
      <w:tblPr>
        <w:tblW w:type="auto" w:w="0"/>
        <w:jc w:val="center"/>
        <w:tblLook w:firstColumn="1" w:firstRow="1" w:lastColumn="0" w:lastRow="0" w:noHBand="0" w:noVBand="1" w:val="04A0"/>
      </w:tblPr>
      <w:tblGrid>
        <w:gridCol w:w="1645"/>
        <w:gridCol w:w="1645"/>
        <w:gridCol w:w="1645"/>
        <w:gridCol w:w="1645"/>
        <w:gridCol w:w="1645"/>
      </w:tblGrid>
      <w:tr>
        <w:tc>
          <w:tcPr>
            <w:tcW w:type="dxa" w:w="1645"/>
            <w:tcMar>
              <w:top w:w="60" w:type="dxa"/>
              <w:bottom w:w="60" w:type="dxa"/>
              <w:left w:w="80" w:type="dxa"/>
              <w:right w:w="80" w:type="dxa"/>
            </w:tcMar>
            <w:shd w:fill="1F4E79"/>
          </w:tcPr>
          <w:p>
            <w:pPr>
              <w:jc w:val="center"/>
            </w:pPr>
            <w:r>
              <w:rPr>
                <w:rFonts w:ascii="Times New Roman" w:hAnsi="Times New Roman"/>
                <w:b/>
                <w:color w:val="FFFFFF"/>
                <w:sz w:val="20"/>
              </w:rPr>
              <w:t>Evaluation Metric</w:t>
            </w:r>
          </w:p>
        </w:tc>
        <w:tc>
          <w:tcPr>
            <w:tcW w:type="dxa" w:w="1645"/>
            <w:tcMar>
              <w:top w:w="60" w:type="dxa"/>
              <w:bottom w:w="60" w:type="dxa"/>
              <w:left w:w="80" w:type="dxa"/>
              <w:right w:w="80" w:type="dxa"/>
            </w:tcMar>
            <w:shd w:fill="1F4E79"/>
          </w:tcPr>
          <w:p>
            <w:pPr>
              <w:jc w:val="center"/>
            </w:pPr>
            <w:r>
              <w:rPr>
                <w:rFonts w:ascii="Times New Roman" w:hAnsi="Times New Roman"/>
                <w:b/>
                <w:color w:val="FFFFFF"/>
                <w:sz w:val="20"/>
              </w:rPr>
              <w:t>2 Sharers</w:t>
            </w:r>
          </w:p>
        </w:tc>
        <w:tc>
          <w:tcPr>
            <w:tcW w:type="dxa" w:w="1645"/>
            <w:tcMar>
              <w:top w:w="60" w:type="dxa"/>
              <w:bottom w:w="60" w:type="dxa"/>
              <w:left w:w="80" w:type="dxa"/>
              <w:right w:w="80" w:type="dxa"/>
            </w:tcMar>
            <w:shd w:fill="1F4E79"/>
          </w:tcPr>
          <w:p>
            <w:pPr>
              <w:jc w:val="center"/>
            </w:pPr>
            <w:r>
              <w:rPr>
                <w:rFonts w:ascii="Times New Roman" w:hAnsi="Times New Roman"/>
                <w:b/>
                <w:color w:val="FFFFFF"/>
                <w:sz w:val="20"/>
              </w:rPr>
              <w:t>3 Sharers</w:t>
            </w:r>
          </w:p>
        </w:tc>
        <w:tc>
          <w:tcPr>
            <w:tcW w:type="dxa" w:w="1645"/>
            <w:tcMar>
              <w:top w:w="60" w:type="dxa"/>
              <w:bottom w:w="60" w:type="dxa"/>
              <w:left w:w="80" w:type="dxa"/>
              <w:right w:w="80" w:type="dxa"/>
            </w:tcMar>
            <w:shd w:fill="1F4E79"/>
          </w:tcPr>
          <w:p>
            <w:pPr>
              <w:jc w:val="center"/>
            </w:pPr>
            <w:r>
              <w:rPr>
                <w:rFonts w:ascii="Times New Roman" w:hAnsi="Times New Roman"/>
                <w:b/>
                <w:color w:val="FFFFFF"/>
                <w:sz w:val="20"/>
              </w:rPr>
              <w:t>4 Sharers</w:t>
            </w:r>
          </w:p>
        </w:tc>
        <w:tc>
          <w:tcPr>
            <w:tcW w:type="dxa" w:w="1645"/>
            <w:tcMar>
              <w:top w:w="60" w:type="dxa"/>
              <w:bottom w:w="60" w:type="dxa"/>
              <w:left w:w="80" w:type="dxa"/>
              <w:right w:w="80" w:type="dxa"/>
            </w:tcMar>
            <w:shd w:fill="1F4E79"/>
          </w:tcPr>
          <w:p>
            <w:pPr>
              <w:jc w:val="center"/>
            </w:pPr>
            <w:r>
              <w:rPr>
                <w:rFonts w:ascii="Times New Roman" w:hAnsi="Times New Roman"/>
                <w:b/>
                <w:color w:val="FFFFFF"/>
                <w:sz w:val="20"/>
              </w:rPr>
              <w:t>8 Sharers</w:t>
            </w:r>
          </w:p>
        </w:tc>
      </w:tr>
      <w:tr>
        <w:tc>
          <w:tcPr>
            <w:tcW w:type="dxa" w:w="1645"/>
            <w:tcMar>
              <w:top w:w="60" w:type="dxa"/>
              <w:bottom w:w="60" w:type="dxa"/>
              <w:left w:w="80" w:type="dxa"/>
              <w:right w:w="80" w:type="dxa"/>
            </w:tcMar>
            <w:shd w:fill="F2F5F8"/>
          </w:tcPr>
          <w:p>
            <w:r>
              <w:rPr>
                <w:rFonts w:ascii="Times New Roman" w:hAnsi="Times New Roman"/>
                <w:sz w:val="20"/>
              </w:rPr>
              <w:t>Mean Geometry Latency (ms)</w:t>
            </w:r>
          </w:p>
        </w:tc>
        <w:tc>
          <w:tcPr>
            <w:tcW w:type="dxa" w:w="1645"/>
            <w:tcMar>
              <w:top w:w="60" w:type="dxa"/>
              <w:bottom w:w="60" w:type="dxa"/>
              <w:left w:w="80" w:type="dxa"/>
              <w:right w:w="80" w:type="dxa"/>
            </w:tcMar>
            <w:shd w:fill="F2F5F8"/>
          </w:tcPr>
          <w:p>
            <w:pPr>
              <w:jc w:val="center"/>
            </w:pPr>
            <w:r>
              <w:rPr>
                <w:rFonts w:ascii="Times New Roman" w:hAnsi="Times New Roman"/>
                <w:sz w:val="20"/>
              </w:rPr>
              <w:t>18.4 ms</w:t>
            </w:r>
          </w:p>
        </w:tc>
        <w:tc>
          <w:tcPr>
            <w:tcW w:type="dxa" w:w="1645"/>
            <w:tcMar>
              <w:top w:w="60" w:type="dxa"/>
              <w:bottom w:w="60" w:type="dxa"/>
              <w:left w:w="80" w:type="dxa"/>
              <w:right w:w="80" w:type="dxa"/>
            </w:tcMar>
            <w:shd w:fill="F2F5F8"/>
          </w:tcPr>
          <w:p>
            <w:pPr>
              <w:jc w:val="center"/>
            </w:pPr>
            <w:r>
              <w:rPr>
                <w:rFonts w:ascii="Times New Roman" w:hAnsi="Times New Roman"/>
                <w:sz w:val="20"/>
              </w:rPr>
              <w:t>32.1 ms</w:t>
            </w:r>
          </w:p>
        </w:tc>
        <w:tc>
          <w:tcPr>
            <w:tcW w:type="dxa" w:w="1645"/>
            <w:tcMar>
              <w:top w:w="60" w:type="dxa"/>
              <w:bottom w:w="60" w:type="dxa"/>
              <w:left w:w="80" w:type="dxa"/>
              <w:right w:w="80" w:type="dxa"/>
            </w:tcMar>
            <w:shd w:fill="F2F5F8"/>
          </w:tcPr>
          <w:p>
            <w:pPr>
              <w:jc w:val="center"/>
            </w:pPr>
            <w:r>
              <w:rPr>
                <w:rFonts w:ascii="Times New Roman" w:hAnsi="Times New Roman"/>
                <w:sz w:val="20"/>
              </w:rPr>
              <w:t>46.8 ms</w:t>
            </w:r>
          </w:p>
        </w:tc>
        <w:tc>
          <w:tcPr>
            <w:tcW w:type="dxa" w:w="1645"/>
            <w:tcMar>
              <w:top w:w="60" w:type="dxa"/>
              <w:bottom w:w="60" w:type="dxa"/>
              <w:left w:w="80" w:type="dxa"/>
              <w:right w:w="80" w:type="dxa"/>
            </w:tcMar>
            <w:shd w:fill="F2F5F8"/>
          </w:tcPr>
          <w:p>
            <w:pPr>
              <w:jc w:val="center"/>
            </w:pPr>
            <w:r>
              <w:rPr>
                <w:rFonts w:ascii="Times New Roman" w:hAnsi="Times New Roman"/>
                <w:sz w:val="20"/>
              </w:rPr>
              <w:t>94.2 ms</w:t>
            </w:r>
          </w:p>
        </w:tc>
      </w:tr>
      <w:tr>
        <w:tc>
          <w:tcPr>
            <w:tcW w:type="dxa" w:w="1645"/>
            <w:tcMar>
              <w:top w:w="60" w:type="dxa"/>
              <w:bottom w:w="60" w:type="dxa"/>
              <w:left w:w="80" w:type="dxa"/>
              <w:right w:w="80" w:type="dxa"/>
            </w:tcMar>
          </w:tcPr>
          <w:p>
            <w:r>
              <w:rPr>
                <w:rFonts w:ascii="Times New Roman" w:hAnsi="Times New Roman"/>
                <w:sz w:val="20"/>
              </w:rPr>
              <w:t>End-to-End Cycle with AI (s)</w:t>
            </w:r>
          </w:p>
        </w:tc>
        <w:tc>
          <w:tcPr>
            <w:tcW w:type="dxa" w:w="1645"/>
            <w:tcMar>
              <w:top w:w="60" w:type="dxa"/>
              <w:bottom w:w="60" w:type="dxa"/>
              <w:left w:w="80" w:type="dxa"/>
              <w:right w:w="80" w:type="dxa"/>
            </w:tcMar>
          </w:tcPr>
          <w:p>
            <w:pPr>
              <w:jc w:val="center"/>
            </w:pPr>
            <w:r>
              <w:rPr>
                <w:rFonts w:ascii="Times New Roman" w:hAnsi="Times New Roman"/>
                <w:sz w:val="20"/>
              </w:rPr>
              <w:t>1.82 s</w:t>
            </w:r>
          </w:p>
        </w:tc>
        <w:tc>
          <w:tcPr>
            <w:tcW w:type="dxa" w:w="1645"/>
            <w:tcMar>
              <w:top w:w="60" w:type="dxa"/>
              <w:bottom w:w="60" w:type="dxa"/>
              <w:left w:w="80" w:type="dxa"/>
              <w:right w:w="80" w:type="dxa"/>
            </w:tcMar>
          </w:tcPr>
          <w:p>
            <w:pPr>
              <w:jc w:val="center"/>
            </w:pPr>
            <w:r>
              <w:rPr>
                <w:rFonts w:ascii="Times New Roman" w:hAnsi="Times New Roman"/>
                <w:sz w:val="20"/>
              </w:rPr>
              <w:t>1.95 s</w:t>
            </w:r>
          </w:p>
        </w:tc>
        <w:tc>
          <w:tcPr>
            <w:tcW w:type="dxa" w:w="1645"/>
            <w:tcMar>
              <w:top w:w="60" w:type="dxa"/>
              <w:bottom w:w="60" w:type="dxa"/>
              <w:left w:w="80" w:type="dxa"/>
              <w:right w:w="80" w:type="dxa"/>
            </w:tcMar>
          </w:tcPr>
          <w:p>
            <w:pPr>
              <w:jc w:val="center"/>
            </w:pPr>
            <w:r>
              <w:rPr>
                <w:rFonts w:ascii="Times New Roman" w:hAnsi="Times New Roman"/>
                <w:sz w:val="20"/>
              </w:rPr>
              <w:t>2.12 s</w:t>
            </w:r>
          </w:p>
        </w:tc>
        <w:tc>
          <w:tcPr>
            <w:tcW w:type="dxa" w:w="1645"/>
            <w:tcMar>
              <w:top w:w="60" w:type="dxa"/>
              <w:bottom w:w="60" w:type="dxa"/>
              <w:left w:w="80" w:type="dxa"/>
              <w:right w:w="80" w:type="dxa"/>
            </w:tcMar>
          </w:tcPr>
          <w:p>
            <w:pPr>
              <w:jc w:val="center"/>
            </w:pPr>
            <w:r>
              <w:rPr>
                <w:rFonts w:ascii="Times New Roman" w:hAnsi="Times New Roman"/>
                <w:sz w:val="20"/>
              </w:rPr>
              <w:t>2.41 s</w:t>
            </w:r>
          </w:p>
        </w:tc>
      </w:tr>
      <w:tr>
        <w:tc>
          <w:tcPr>
            <w:tcW w:type="dxa" w:w="1645"/>
            <w:tcMar>
              <w:top w:w="60" w:type="dxa"/>
              <w:bottom w:w="60" w:type="dxa"/>
              <w:left w:w="80" w:type="dxa"/>
              <w:right w:w="80" w:type="dxa"/>
            </w:tcMar>
            <w:shd w:fill="F2F5F8"/>
          </w:tcPr>
          <w:p>
            <w:r>
              <w:rPr>
                <w:rFonts w:ascii="Times New Roman" w:hAnsi="Times New Roman"/>
                <w:sz w:val="20"/>
              </w:rPr>
              <w:t>Area Conservation Error (%)</w:t>
            </w:r>
          </w:p>
        </w:tc>
        <w:tc>
          <w:tcPr>
            <w:tcW w:type="dxa" w:w="1645"/>
            <w:tcMar>
              <w:top w:w="60" w:type="dxa"/>
              <w:bottom w:w="60" w:type="dxa"/>
              <w:left w:w="80" w:type="dxa"/>
              <w:right w:w="80" w:type="dxa"/>
            </w:tcMar>
            <w:shd w:fill="F2F5F8"/>
          </w:tcPr>
          <w:p>
            <w:pPr>
              <w:jc w:val="center"/>
            </w:pPr>
            <w:r>
              <w:rPr>
                <w:rFonts w:ascii="Times New Roman" w:hAnsi="Times New Roman"/>
                <w:sz w:val="20"/>
              </w:rPr>
              <w:t>&lt; 0.001%</w:t>
            </w:r>
          </w:p>
        </w:tc>
        <w:tc>
          <w:tcPr>
            <w:tcW w:type="dxa" w:w="1645"/>
            <w:tcMar>
              <w:top w:w="60" w:type="dxa"/>
              <w:bottom w:w="60" w:type="dxa"/>
              <w:left w:w="80" w:type="dxa"/>
              <w:right w:w="80" w:type="dxa"/>
            </w:tcMar>
            <w:shd w:fill="F2F5F8"/>
          </w:tcPr>
          <w:p>
            <w:pPr>
              <w:jc w:val="center"/>
            </w:pPr>
            <w:r>
              <w:rPr>
                <w:rFonts w:ascii="Times New Roman" w:hAnsi="Times New Roman"/>
                <w:sz w:val="20"/>
              </w:rPr>
              <w:t>&lt; 0.002%</w:t>
            </w:r>
          </w:p>
        </w:tc>
        <w:tc>
          <w:tcPr>
            <w:tcW w:type="dxa" w:w="1645"/>
            <w:tcMar>
              <w:top w:w="60" w:type="dxa"/>
              <w:bottom w:w="60" w:type="dxa"/>
              <w:left w:w="80" w:type="dxa"/>
              <w:right w:w="80" w:type="dxa"/>
            </w:tcMar>
            <w:shd w:fill="F2F5F8"/>
          </w:tcPr>
          <w:p>
            <w:pPr>
              <w:jc w:val="center"/>
            </w:pPr>
            <w:r>
              <w:rPr>
                <w:rFonts w:ascii="Times New Roman" w:hAnsi="Times New Roman"/>
                <w:sz w:val="20"/>
              </w:rPr>
              <w:t>&lt; 0.003%</w:t>
            </w:r>
          </w:p>
        </w:tc>
        <w:tc>
          <w:tcPr>
            <w:tcW w:type="dxa" w:w="1645"/>
            <w:tcMar>
              <w:top w:w="60" w:type="dxa"/>
              <w:bottom w:w="60" w:type="dxa"/>
              <w:left w:w="80" w:type="dxa"/>
              <w:right w:w="80" w:type="dxa"/>
            </w:tcMar>
            <w:shd w:fill="F2F5F8"/>
          </w:tcPr>
          <w:p>
            <w:pPr>
              <w:jc w:val="center"/>
            </w:pPr>
            <w:r>
              <w:rPr>
                <w:rFonts w:ascii="Times New Roman" w:hAnsi="Times New Roman"/>
                <w:sz w:val="20"/>
              </w:rPr>
              <w:t>&lt; 0.005%</w:t>
            </w:r>
          </w:p>
        </w:tc>
      </w:tr>
      <w:tr>
        <w:tc>
          <w:tcPr>
            <w:tcW w:type="dxa" w:w="1645"/>
            <w:tcMar>
              <w:top w:w="60" w:type="dxa"/>
              <w:bottom w:w="60" w:type="dxa"/>
              <w:left w:w="80" w:type="dxa"/>
              <w:right w:w="80" w:type="dxa"/>
            </w:tcMar>
          </w:tcPr>
          <w:p>
            <w:r>
              <w:rPr>
                <w:rFonts w:ascii="Times New Roman" w:hAnsi="Times New Roman"/>
                <w:sz w:val="20"/>
              </w:rPr>
              <w:t>Mean Compactness (Polsby-Popper C)</w:t>
            </w:r>
          </w:p>
        </w:tc>
        <w:tc>
          <w:tcPr>
            <w:tcW w:type="dxa" w:w="1645"/>
            <w:tcMar>
              <w:top w:w="60" w:type="dxa"/>
              <w:bottom w:w="60" w:type="dxa"/>
              <w:left w:w="80" w:type="dxa"/>
              <w:right w:w="80" w:type="dxa"/>
            </w:tcMar>
          </w:tcPr>
          <w:p>
            <w:pPr>
              <w:jc w:val="center"/>
            </w:pPr>
            <w:r>
              <w:rPr>
                <w:rFonts w:ascii="Times New Roman" w:hAnsi="Times New Roman"/>
                <w:sz w:val="20"/>
              </w:rPr>
              <w:t>0.684</w:t>
            </w:r>
          </w:p>
        </w:tc>
        <w:tc>
          <w:tcPr>
            <w:tcW w:type="dxa" w:w="1645"/>
            <w:tcMar>
              <w:top w:w="60" w:type="dxa"/>
              <w:bottom w:w="60" w:type="dxa"/>
              <w:left w:w="80" w:type="dxa"/>
              <w:right w:w="80" w:type="dxa"/>
            </w:tcMar>
          </w:tcPr>
          <w:p>
            <w:pPr>
              <w:jc w:val="center"/>
            </w:pPr>
            <w:r>
              <w:rPr>
                <w:rFonts w:ascii="Times New Roman" w:hAnsi="Times New Roman"/>
                <w:sz w:val="20"/>
              </w:rPr>
              <w:t>0.612</w:t>
            </w:r>
          </w:p>
        </w:tc>
        <w:tc>
          <w:tcPr>
            <w:tcW w:type="dxa" w:w="1645"/>
            <w:tcMar>
              <w:top w:w="60" w:type="dxa"/>
              <w:bottom w:w="60" w:type="dxa"/>
              <w:left w:w="80" w:type="dxa"/>
              <w:right w:w="80" w:type="dxa"/>
            </w:tcMar>
          </w:tcPr>
          <w:p>
            <w:pPr>
              <w:jc w:val="center"/>
            </w:pPr>
            <w:r>
              <w:rPr>
                <w:rFonts w:ascii="Times New Roman" w:hAnsi="Times New Roman"/>
                <w:sz w:val="20"/>
              </w:rPr>
              <w:t>0.547</w:t>
            </w:r>
          </w:p>
        </w:tc>
        <w:tc>
          <w:tcPr>
            <w:tcW w:type="dxa" w:w="1645"/>
            <w:tcMar>
              <w:top w:w="60" w:type="dxa"/>
              <w:bottom w:w="60" w:type="dxa"/>
              <w:left w:w="80" w:type="dxa"/>
              <w:right w:w="80" w:type="dxa"/>
            </w:tcMar>
          </w:tcPr>
          <w:p>
            <w:pPr>
              <w:jc w:val="center"/>
            </w:pPr>
            <w:r>
              <w:rPr>
                <w:rFonts w:ascii="Times New Roman" w:hAnsi="Times New Roman"/>
                <w:sz w:val="20"/>
              </w:rPr>
              <w:t>0.431</w:t>
            </w:r>
          </w:p>
        </w:tc>
      </w:tr>
      <w:tr>
        <w:tc>
          <w:tcPr>
            <w:tcW w:type="dxa" w:w="1645"/>
            <w:tcMar>
              <w:top w:w="60" w:type="dxa"/>
              <w:bottom w:w="60" w:type="dxa"/>
              <w:left w:w="80" w:type="dxa"/>
              <w:right w:w="80" w:type="dxa"/>
            </w:tcMar>
            <w:shd w:fill="F2F5F8"/>
          </w:tcPr>
          <w:p>
            <w:r>
              <w:rPr>
                <w:rFonts w:ascii="Times New Roman" w:hAnsi="Times New Roman"/>
                <w:sz w:val="20"/>
              </w:rPr>
              <w:t>Bisection Root Iterations</w:t>
            </w:r>
          </w:p>
        </w:tc>
        <w:tc>
          <w:tcPr>
            <w:tcW w:type="dxa" w:w="1645"/>
            <w:tcMar>
              <w:top w:w="60" w:type="dxa"/>
              <w:bottom w:w="60" w:type="dxa"/>
              <w:left w:w="80" w:type="dxa"/>
              <w:right w:w="80" w:type="dxa"/>
            </w:tcMar>
            <w:shd w:fill="F2F5F8"/>
          </w:tcPr>
          <w:p>
            <w:pPr>
              <w:jc w:val="center"/>
            </w:pPr>
            <w:r>
              <w:rPr>
                <w:rFonts w:ascii="Times New Roman" w:hAnsi="Times New Roman"/>
                <w:sz w:val="20"/>
              </w:rPr>
              <w:t>19.4</w:t>
            </w:r>
          </w:p>
        </w:tc>
        <w:tc>
          <w:tcPr>
            <w:tcW w:type="dxa" w:w="1645"/>
            <w:tcMar>
              <w:top w:w="60" w:type="dxa"/>
              <w:bottom w:w="60" w:type="dxa"/>
              <w:left w:w="80" w:type="dxa"/>
              <w:right w:w="80" w:type="dxa"/>
            </w:tcMar>
            <w:shd w:fill="F2F5F8"/>
          </w:tcPr>
          <w:p>
            <w:pPr>
              <w:jc w:val="center"/>
            </w:pPr>
            <w:r>
              <w:rPr>
                <w:rFonts w:ascii="Times New Roman" w:hAnsi="Times New Roman"/>
                <w:sz w:val="20"/>
              </w:rPr>
              <w:t>21.2</w:t>
            </w:r>
          </w:p>
        </w:tc>
        <w:tc>
          <w:tcPr>
            <w:tcW w:type="dxa" w:w="1645"/>
            <w:tcMar>
              <w:top w:w="60" w:type="dxa"/>
              <w:bottom w:w="60" w:type="dxa"/>
              <w:left w:w="80" w:type="dxa"/>
              <w:right w:w="80" w:type="dxa"/>
            </w:tcMar>
            <w:shd w:fill="F2F5F8"/>
          </w:tcPr>
          <w:p>
            <w:pPr>
              <w:jc w:val="center"/>
            </w:pPr>
            <w:r>
              <w:rPr>
                <w:rFonts w:ascii="Times New Roman" w:hAnsi="Times New Roman"/>
                <w:sz w:val="20"/>
              </w:rPr>
              <w:t>22.8</w:t>
            </w:r>
          </w:p>
        </w:tc>
        <w:tc>
          <w:tcPr>
            <w:tcW w:type="dxa" w:w="1645"/>
            <w:tcMar>
              <w:top w:w="60" w:type="dxa"/>
              <w:bottom w:w="60" w:type="dxa"/>
              <w:left w:w="80" w:type="dxa"/>
              <w:right w:w="80" w:type="dxa"/>
            </w:tcMar>
            <w:shd w:fill="F2F5F8"/>
          </w:tcPr>
          <w:p>
            <w:pPr>
              <w:jc w:val="center"/>
            </w:pPr>
            <w:r>
              <w:rPr>
                <w:rFonts w:ascii="Times New Roman" w:hAnsi="Times New Roman"/>
                <w:sz w:val="20"/>
              </w:rPr>
              <w:t>24.1</w:t>
            </w:r>
          </w:p>
        </w:tc>
      </w:tr>
      <w:tr>
        <w:tc>
          <w:tcPr>
            <w:tcW w:type="dxa" w:w="1645"/>
            <w:tcMar>
              <w:top w:w="60" w:type="dxa"/>
              <w:bottom w:w="60" w:type="dxa"/>
              <w:left w:w="80" w:type="dxa"/>
              <w:right w:w="80" w:type="dxa"/>
            </w:tcMar>
          </w:tcPr>
          <w:p>
            <w:r>
              <w:rPr>
                <w:rFonts w:ascii="Times New Roman" w:hAnsi="Times New Roman"/>
                <w:sz w:val="20"/>
              </w:rPr>
              <w:t>Road Frontage Access Parity (%)</w:t>
            </w:r>
          </w:p>
        </w:tc>
        <w:tc>
          <w:tcPr>
            <w:tcW w:type="dxa" w:w="1645"/>
            <w:tcMar>
              <w:top w:w="60" w:type="dxa"/>
              <w:bottom w:w="60" w:type="dxa"/>
              <w:left w:w="80" w:type="dxa"/>
              <w:right w:w="80" w:type="dxa"/>
            </w:tcMar>
          </w:tcPr>
          <w:p>
            <w:pPr>
              <w:jc w:val="center"/>
            </w:pPr>
            <w:r>
              <w:rPr>
                <w:rFonts w:ascii="Times New Roman" w:hAnsi="Times New Roman"/>
                <w:sz w:val="20"/>
              </w:rPr>
              <w:t>100.0%</w:t>
            </w:r>
          </w:p>
        </w:tc>
        <w:tc>
          <w:tcPr>
            <w:tcW w:type="dxa" w:w="1645"/>
            <w:tcMar>
              <w:top w:w="60" w:type="dxa"/>
              <w:bottom w:w="60" w:type="dxa"/>
              <w:left w:w="80" w:type="dxa"/>
              <w:right w:w="80" w:type="dxa"/>
            </w:tcMar>
          </w:tcPr>
          <w:p>
            <w:pPr>
              <w:jc w:val="center"/>
            </w:pPr>
            <w:r>
              <w:rPr>
                <w:rFonts w:ascii="Times New Roman" w:hAnsi="Times New Roman"/>
                <w:sz w:val="20"/>
              </w:rPr>
              <w:t>100.0%</w:t>
            </w:r>
          </w:p>
        </w:tc>
        <w:tc>
          <w:tcPr>
            <w:tcW w:type="dxa" w:w="1645"/>
            <w:tcMar>
              <w:top w:w="60" w:type="dxa"/>
              <w:bottom w:w="60" w:type="dxa"/>
              <w:left w:w="80" w:type="dxa"/>
              <w:right w:w="80" w:type="dxa"/>
            </w:tcMar>
          </w:tcPr>
          <w:p>
            <w:pPr>
              <w:jc w:val="center"/>
            </w:pPr>
            <w:r>
              <w:rPr>
                <w:rFonts w:ascii="Times New Roman" w:hAnsi="Times New Roman"/>
                <w:sz w:val="20"/>
              </w:rPr>
              <w:t>94.2%</w:t>
            </w:r>
          </w:p>
        </w:tc>
        <w:tc>
          <w:tcPr>
            <w:tcW w:type="dxa" w:w="1645"/>
            <w:tcMar>
              <w:top w:w="60" w:type="dxa"/>
              <w:bottom w:w="60" w:type="dxa"/>
              <w:left w:w="80" w:type="dxa"/>
              <w:right w:w="80" w:type="dxa"/>
            </w:tcMar>
          </w:tcPr>
          <w:p>
            <w:pPr>
              <w:jc w:val="center"/>
            </w:pPr>
            <w:r>
              <w:rPr>
                <w:rFonts w:ascii="Times New Roman" w:hAnsi="Times New Roman"/>
                <w:sz w:val="20"/>
              </w:rPr>
              <w:t>87.5%</w:t>
            </w:r>
          </w:p>
        </w:tc>
      </w:tr>
      <w:tr>
        <w:tc>
          <w:tcPr>
            <w:tcW w:type="dxa" w:w="1645"/>
            <w:tcMar>
              <w:top w:w="60" w:type="dxa"/>
              <w:bottom w:w="60" w:type="dxa"/>
              <w:left w:w="80" w:type="dxa"/>
              <w:right w:w="80" w:type="dxa"/>
            </w:tcMar>
            <w:shd w:fill="F2F5F8"/>
          </w:tcPr>
          <w:p>
            <w:r>
              <w:rPr>
                <w:rFonts w:ascii="Times New Roman" w:hAnsi="Times New Roman"/>
                <w:sz w:val="20"/>
              </w:rPr>
              <w:t>PDF Report Generation Time (ms)</w:t>
            </w:r>
          </w:p>
        </w:tc>
        <w:tc>
          <w:tcPr>
            <w:tcW w:type="dxa" w:w="1645"/>
            <w:tcMar>
              <w:top w:w="60" w:type="dxa"/>
              <w:bottom w:w="60" w:type="dxa"/>
              <w:left w:w="80" w:type="dxa"/>
              <w:right w:w="80" w:type="dxa"/>
            </w:tcMar>
            <w:shd w:fill="F2F5F8"/>
          </w:tcPr>
          <w:p>
            <w:pPr>
              <w:jc w:val="center"/>
            </w:pPr>
            <w:r>
              <w:rPr>
                <w:rFonts w:ascii="Times New Roman" w:hAnsi="Times New Roman"/>
                <w:sz w:val="20"/>
              </w:rPr>
              <w:t>142 ms</w:t>
            </w:r>
          </w:p>
        </w:tc>
        <w:tc>
          <w:tcPr>
            <w:tcW w:type="dxa" w:w="1645"/>
            <w:tcMar>
              <w:top w:w="60" w:type="dxa"/>
              <w:bottom w:w="60" w:type="dxa"/>
              <w:left w:w="80" w:type="dxa"/>
              <w:right w:w="80" w:type="dxa"/>
            </w:tcMar>
            <w:shd w:fill="F2F5F8"/>
          </w:tcPr>
          <w:p>
            <w:pPr>
              <w:jc w:val="center"/>
            </w:pPr>
            <w:r>
              <w:rPr>
                <w:rFonts w:ascii="Times New Roman" w:hAnsi="Times New Roman"/>
                <w:sz w:val="20"/>
              </w:rPr>
              <w:t>158 ms</w:t>
            </w:r>
          </w:p>
        </w:tc>
        <w:tc>
          <w:tcPr>
            <w:tcW w:type="dxa" w:w="1645"/>
            <w:tcMar>
              <w:top w:w="60" w:type="dxa"/>
              <w:bottom w:w="60" w:type="dxa"/>
              <w:left w:w="80" w:type="dxa"/>
              <w:right w:w="80" w:type="dxa"/>
            </w:tcMar>
            <w:shd w:fill="F2F5F8"/>
          </w:tcPr>
          <w:p>
            <w:pPr>
              <w:jc w:val="center"/>
            </w:pPr>
            <w:r>
              <w:rPr>
                <w:rFonts w:ascii="Times New Roman" w:hAnsi="Times New Roman"/>
                <w:sz w:val="20"/>
              </w:rPr>
              <w:t>171 ms</w:t>
            </w:r>
          </w:p>
        </w:tc>
        <w:tc>
          <w:tcPr>
            <w:tcW w:type="dxa" w:w="1645"/>
            <w:tcMar>
              <w:top w:w="60" w:type="dxa"/>
              <w:bottom w:w="60" w:type="dxa"/>
              <w:left w:w="80" w:type="dxa"/>
              <w:right w:w="80" w:type="dxa"/>
            </w:tcMar>
            <w:shd w:fill="F2F5F8"/>
          </w:tcPr>
          <w:p>
            <w:pPr>
              <w:jc w:val="center"/>
            </w:pPr>
            <w:r>
              <w:rPr>
                <w:rFonts w:ascii="Times New Roman" w:hAnsi="Times New Roman"/>
                <w:sz w:val="20"/>
              </w:rPr>
              <w:t>210 ms</w:t>
            </w:r>
          </w:p>
        </w:tc>
      </w:tr>
    </w:tbl>
    <w:p>
      <w:pPr>
        <w:keepNext/>
        <w:spacing w:before="280" w:after="120"/>
        <w:jc w:val="left"/>
      </w:pPr>
      <w:r>
        <w:rPr>
          <w:rFonts w:ascii="Times New Roman" w:hAnsi="Times New Roman"/>
          <w:b/>
          <w:color w:val="1E3A8A"/>
          <w:sz w:val="28"/>
        </w:rPr>
        <w:t>4.4 Parameter Sensitivity Analysis &amp; Empirical Trade-Offs</w:t>
      </w:r>
    </w:p>
    <w:p>
      <w:pPr>
        <w:spacing w:before="0" w:after="120" w:line="360" w:lineRule="auto"/>
        <w:jc w:val="both"/>
      </w:pPr>
      <w:r>
        <w:rPr>
          <w:rFonts w:ascii="Times New Roman" w:hAnsi="Times New Roman"/>
          <w:sz w:val="24"/>
        </w:rPr>
        <w:t>A critical engineering dimension of Bhu-Overlay is its operational stability across varying parameters: number of co-sharers (k), boundary polygon vertex complexity (N), bisection cutting topology, and road frontage buffer distances (delta):</w:t>
      </w:r>
    </w:p>
    <w:p>
      <w:pPr>
        <w:pStyle w:val="ListBullet"/>
        <w:spacing w:before="40" w:after="80" w:line="312" w:lineRule="auto"/>
        <w:jc w:val="both"/>
      </w:pPr>
      <w:r>
        <w:rPr>
          <w:rFonts w:ascii="Times New Roman" w:hAnsi="Times New Roman"/>
          <w:b/>
          <w:sz w:val="24"/>
        </w:rPr>
        <w:t xml:space="preserve">1. Latency Scaling vs Sharer Count: </w:t>
      </w:r>
      <w:r>
        <w:rPr>
          <w:rFonts w:ascii="Times New Roman" w:hAnsi="Times New Roman"/>
          <w:sz w:val="24"/>
        </w:rPr>
        <w:t>Geometry bisection latency scales near-linearly with sharer count k: 18.4 ms for 2 sharers, rising to 94.2 ms for 8 sharers. This demonstrates that swept-line binary root bisection maintains O(k * N * log(1/epsilon)) complexity, remaining well below human perception thresholds (&lt; 100 ms).</w:t>
      </w:r>
    </w:p>
    <w:p>
      <w:pPr>
        <w:pStyle w:val="ListBullet"/>
        <w:spacing w:before="40" w:after="80" w:line="312" w:lineRule="auto"/>
        <w:jc w:val="both"/>
      </w:pPr>
      <w:r>
        <w:rPr>
          <w:rFonts w:ascii="Times New Roman" w:hAnsi="Times New Roman"/>
          <w:b/>
          <w:sz w:val="24"/>
        </w:rPr>
        <w:t xml:space="preserve">2. Strict Mathematical Area Preservation: </w:t>
      </w:r>
      <w:r>
        <w:rPr>
          <w:rFonts w:ascii="Times New Roman" w:hAnsi="Times New Roman"/>
          <w:sz w:val="24"/>
        </w:rPr>
        <w:t>Across all 70 benchmark parcels ranging from simple 6-vertex plots to complex 43-vertex non-convex polygons, the maximum observed area error was 0.00465%, consistently orders of magnitude below the statutory 0.50% survey tolerance threshold permitted under Revenue Manual guidelines.</w:t>
      </w:r>
    </w:p>
    <w:p>
      <w:pPr>
        <w:pStyle w:val="ListBullet"/>
        <w:spacing w:before="40" w:after="80" w:line="312" w:lineRule="auto"/>
        <w:jc w:val="both"/>
      </w:pPr>
      <w:r>
        <w:rPr>
          <w:rFonts w:ascii="Times New Roman" w:hAnsi="Times New Roman"/>
          <w:b/>
          <w:sz w:val="24"/>
        </w:rPr>
        <w:t xml:space="preserve">3. Compactness Superiority of Transverse Slicing: </w:t>
      </w:r>
      <w:r>
        <w:rPr>
          <w:rFonts w:ascii="Times New Roman" w:hAnsi="Times New Roman"/>
          <w:sz w:val="24"/>
        </w:rPr>
        <w:t>Comparing cutting strategies reveals that Strategy 1 (Compact Transverse) maintains Polsby-Popper scores above 0.60 for two- and three-way partitions, whereas unconstrained arbitrary slicing deteriorates below 0.25, creating uncultivable slivers.</w:t>
      </w:r>
    </w:p>
    <w:p>
      <w:pPr>
        <w:pStyle w:val="ListBullet"/>
        <w:spacing w:before="40" w:after="80" w:line="312" w:lineRule="auto"/>
        <w:jc w:val="both"/>
      </w:pPr>
      <w:r>
        <w:rPr>
          <w:rFonts w:ascii="Times New Roman" w:hAnsi="Times New Roman"/>
          <w:b/>
          <w:sz w:val="24"/>
        </w:rPr>
        <w:t xml:space="preserve">4. Road Frontage Preservation Under Buffer Expansion: </w:t>
      </w:r>
      <w:r>
        <w:rPr>
          <w:rFonts w:ascii="Times New Roman" w:hAnsi="Times New Roman"/>
          <w:sz w:val="24"/>
        </w:rPr>
        <w:t>Frontage-preserving cuts achieve 100% access parity with a survey buffer delta &gt;= 5.0m, ensuring zero interior landlocked parcels.</w:t>
      </w:r>
    </w:p>
    <w:p>
      <w:pPr>
        <w:keepNext/>
        <w:spacing w:before="280" w:after="120"/>
        <w:jc w:val="left"/>
      </w:pPr>
      <w:r>
        <w:rPr>
          <w:rFonts w:ascii="Times New Roman" w:hAnsi="Times New Roman"/>
          <w:b/>
          <w:color w:val="1E3A8A"/>
          <w:sz w:val="28"/>
        </w:rPr>
        <w:t>4.5 Graphical Visualizations &amp; Performance Proofs</w:t>
      </w:r>
    </w:p>
    <w:p>
      <w:pPr>
        <w:spacing w:before="0" w:after="120" w:line="360" w:lineRule="auto"/>
        <w:jc w:val="both"/>
      </w:pPr>
      <w:r>
        <w:rPr>
          <w:rFonts w:ascii="Times New Roman" w:hAnsi="Times New Roman"/>
          <w:sz w:val="24"/>
        </w:rPr>
        <w:t>Figures 4.1 through 4.4 illustrate the quantitative performance evaluations across varying parameters.</w:t>
      </w:r>
    </w:p>
    <w:p>
      <w:pPr>
        <w:spacing w:before="160" w:after="60"/>
        <w:jc w:val="center"/>
      </w:pPr>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graph1_latency_vs_sharers.png"/>
                    <pic:cNvPicPr/>
                  </pic:nvPicPr>
                  <pic:blipFill>
                    <a:blip r:embed="rId10"/>
                    <a:stretch>
                      <a:fillRect/>
                    </a:stretch>
                  </pic:blipFill>
                  <pic:spPr>
                    <a:xfrm>
                      <a:off x="0" y="0"/>
                      <a:ext cx="5303520" cy="3409406"/>
                    </a:xfrm>
                    <a:prstGeom prst="rect"/>
                  </pic:spPr>
                </pic:pic>
              </a:graphicData>
            </a:graphic>
          </wp:inline>
        </w:drawing>
      </w:r>
    </w:p>
    <w:p>
      <w:pPr>
        <w:keepNext/>
        <w:spacing w:before="40" w:after="200"/>
        <w:jc w:val="center"/>
      </w:pPr>
      <w:r>
        <w:rPr>
          <w:rFonts w:ascii="Times New Roman" w:hAnsi="Times New Roman"/>
          <w:b/>
          <w:i/>
          <w:sz w:val="22"/>
        </w:rPr>
        <w:t>Figure 4.1: Computation Latency Across Partition Scenarios (k = 2 to 8 Shares)</w:t>
      </w:r>
    </w:p>
    <w:p>
      <w:pPr>
        <w:spacing w:before="160" w:after="60"/>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graph2_area_conservation_error.png"/>
                    <pic:cNvPicPr/>
                  </pic:nvPicPr>
                  <pic:blipFill>
                    <a:blip r:embed="rId11"/>
                    <a:stretch>
                      <a:fillRect/>
                    </a:stretch>
                  </pic:blipFill>
                  <pic:spPr>
                    <a:xfrm>
                      <a:off x="0" y="0"/>
                      <a:ext cx="5303520" cy="3409406"/>
                    </a:xfrm>
                    <a:prstGeom prst="rect"/>
                  </pic:spPr>
                </pic:pic>
              </a:graphicData>
            </a:graphic>
          </wp:inline>
        </w:drawing>
      </w:r>
    </w:p>
    <w:p>
      <w:pPr>
        <w:keepNext/>
        <w:spacing w:before="40" w:after="200"/>
        <w:jc w:val="center"/>
      </w:pPr>
      <w:r>
        <w:rPr>
          <w:rFonts w:ascii="Times New Roman" w:hAnsi="Times New Roman"/>
          <w:b/>
          <w:i/>
          <w:sz w:val="22"/>
        </w:rPr>
        <w:t>Figure 4.2: Area Conservation Error vs Boundary Polygon Vertex Complexity (N = 6 to 43 Nodes)</w:t>
      </w:r>
    </w:p>
    <w:p>
      <w:pPr>
        <w:spacing w:before="160" w:after="60"/>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graph3_compactness_comparison.png"/>
                    <pic:cNvPicPr/>
                  </pic:nvPicPr>
                  <pic:blipFill>
                    <a:blip r:embed="rId12"/>
                    <a:stretch>
                      <a:fillRect/>
                    </a:stretch>
                  </pic:blipFill>
                  <pic:spPr>
                    <a:xfrm>
                      <a:off x="0" y="0"/>
                      <a:ext cx="5303520" cy="3182112"/>
                    </a:xfrm>
                    <a:prstGeom prst="rect"/>
                  </pic:spPr>
                </pic:pic>
              </a:graphicData>
            </a:graphic>
          </wp:inline>
        </w:drawing>
      </w:r>
    </w:p>
    <w:p>
      <w:pPr>
        <w:keepNext/>
        <w:spacing w:before="40" w:after="200"/>
        <w:jc w:val="center"/>
      </w:pPr>
      <w:r>
        <w:rPr>
          <w:rFonts w:ascii="Times New Roman" w:hAnsi="Times New Roman"/>
          <w:b/>
          <w:i/>
          <w:sz w:val="22"/>
        </w:rPr>
        <w:t>Figure 4.3: Polsby-Popper Compactness Score Across Partition Strategies</w:t>
      </w:r>
    </w:p>
    <w:p>
      <w:pPr>
        <w:spacing w:before="160" w:after="60"/>
        <w:jc w:val="center"/>
      </w:pPr>
      <w:r>
        <w:drawing>
          <wp:inline xmlns:a="http://schemas.openxmlformats.org/drawingml/2006/main" xmlns:pic="http://schemas.openxmlformats.org/drawingml/2006/picture">
            <wp:extent cx="5303520" cy="3409406"/>
            <wp:docPr id="5" name="Picture 5"/>
            <wp:cNvGraphicFramePr>
              <a:graphicFrameLocks noChangeAspect="1"/>
            </wp:cNvGraphicFramePr>
            <a:graphic>
              <a:graphicData uri="http://schemas.openxmlformats.org/drawingml/2006/picture">
                <pic:pic>
                  <pic:nvPicPr>
                    <pic:cNvPr id="0" name="graph4_road_frontage_access.png"/>
                    <pic:cNvPicPr/>
                  </pic:nvPicPr>
                  <pic:blipFill>
                    <a:blip r:embed="rId13"/>
                    <a:stretch>
                      <a:fillRect/>
                    </a:stretch>
                  </pic:blipFill>
                  <pic:spPr>
                    <a:xfrm>
                      <a:off x="0" y="0"/>
                      <a:ext cx="5303520" cy="3409406"/>
                    </a:xfrm>
                    <a:prstGeom prst="rect"/>
                  </pic:spPr>
                </pic:pic>
              </a:graphicData>
            </a:graphic>
          </wp:inline>
        </w:drawing>
      </w:r>
    </w:p>
    <w:p>
      <w:pPr>
        <w:keepNext/>
        <w:spacing w:before="40" w:after="200"/>
        <w:jc w:val="center"/>
      </w:pPr>
      <w:r>
        <w:rPr>
          <w:rFonts w:ascii="Times New Roman" w:hAnsi="Times New Roman"/>
          <w:b/>
          <w:i/>
          <w:sz w:val="22"/>
        </w:rPr>
        <w:t>Figure 4.4: Public Road Infrastructure Access Parity vs Survey Tolerance Buffer Distance</w:t>
      </w:r>
    </w:p>
    <w:p>
      <w:pPr>
        <w:keepNext/>
        <w:spacing w:before="280" w:after="120"/>
        <w:jc w:val="left"/>
      </w:pPr>
      <w:r>
        <w:rPr>
          <w:rFonts w:ascii="Times New Roman" w:hAnsi="Times New Roman"/>
          <w:b/>
          <w:color w:val="1E3A8A"/>
          <w:sz w:val="28"/>
        </w:rPr>
        <w:t>4.6 Qualitative Field Demarcation &amp; Survey Report Validation</w:t>
      </w:r>
    </w:p>
    <w:p>
      <w:pPr>
        <w:spacing w:before="0" w:after="120" w:line="360" w:lineRule="auto"/>
        <w:jc w:val="both"/>
      </w:pPr>
      <w:r>
        <w:rPr>
          <w:rFonts w:ascii="Times New Roman" w:hAnsi="Times New Roman"/>
          <w:sz w:val="24"/>
        </w:rPr>
        <w:t>Figures 4.5 through 4.8 demonstrate the visual progression of land inspection, statutory Kurra subdivision, and official PDF survey generation on canonical Plot 1623 in Agnoor Village, Arwal District.</w:t>
      </w:r>
    </w:p>
    <w:p>
      <w:pPr>
        <w:spacing w:before="160" w:after="6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bhu_02_parcel_selected_vector_map.png"/>
                    <pic:cNvPicPr/>
                  </pic:nvPicPr>
                  <pic:blipFill>
                    <a:blip r:embed="rId14"/>
                    <a:stretch>
                      <a:fillRect/>
                    </a:stretch>
                  </pic:blipFill>
                  <pic:spPr>
                    <a:xfrm>
                      <a:off x="0" y="0"/>
                      <a:ext cx="5303520" cy="3314700"/>
                    </a:xfrm>
                    <a:prstGeom prst="rect"/>
                  </pic:spPr>
                </pic:pic>
              </a:graphicData>
            </a:graphic>
          </wp:inline>
        </w:drawing>
      </w:r>
    </w:p>
    <w:p>
      <w:pPr>
        <w:keepNext/>
        <w:spacing w:before="40" w:after="200"/>
        <w:jc w:val="center"/>
      </w:pPr>
      <w:r>
        <w:rPr>
          <w:rFonts w:ascii="Times New Roman" w:hAnsi="Times New Roman"/>
          <w:b/>
          <w:i/>
          <w:sz w:val="22"/>
        </w:rPr>
        <w:t>Figure 4.5: Cadastral Boundary Demarcation and Real-Time Node Segment Measurements on Plot 1623 (43 Vertices)</w:t>
      </w:r>
    </w:p>
    <w:p>
      <w:pPr>
        <w:spacing w:before="160" w:after="6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bhu_04_kurra_subdivided_2shares.png"/>
                    <pic:cNvPicPr/>
                  </pic:nvPicPr>
                  <pic:blipFill>
                    <a:blip r:embed="rId15"/>
                    <a:stretch>
                      <a:fillRect/>
                    </a:stretch>
                  </pic:blipFill>
                  <pic:spPr>
                    <a:xfrm>
                      <a:off x="0" y="0"/>
                      <a:ext cx="5303520" cy="3314700"/>
                    </a:xfrm>
                    <a:prstGeom prst="rect"/>
                  </pic:spPr>
                </pic:pic>
              </a:graphicData>
            </a:graphic>
          </wp:inline>
        </w:drawing>
      </w:r>
    </w:p>
    <w:p>
      <w:pPr>
        <w:keepNext/>
        <w:spacing w:before="40" w:after="200"/>
        <w:jc w:val="center"/>
      </w:pPr>
      <w:r>
        <w:rPr>
          <w:rFonts w:ascii="Times New Roman" w:hAnsi="Times New Roman"/>
          <w:b/>
          <w:i/>
          <w:sz w:val="22"/>
        </w:rPr>
        <w:t>Figure 4.6: AI-Assisted Kurra Land Bisection of Plot 1623 into Two Equal 50.0% Shares (Plot 1 in Terracotta, Plot 2 in Emerald)</w:t>
      </w:r>
    </w:p>
    <w:p>
      <w:pPr>
        <w:spacing w:before="160" w:after="6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bhu_06_kurra_3shares_custom.png"/>
                    <pic:cNvPicPr/>
                  </pic:nvPicPr>
                  <pic:blipFill>
                    <a:blip r:embed="rId16"/>
                    <a:stretch>
                      <a:fillRect/>
                    </a:stretch>
                  </pic:blipFill>
                  <pic:spPr>
                    <a:xfrm>
                      <a:off x="0" y="0"/>
                      <a:ext cx="5303520" cy="3314700"/>
                    </a:xfrm>
                    <a:prstGeom prst="rect"/>
                  </pic:spPr>
                </pic:pic>
              </a:graphicData>
            </a:graphic>
          </wp:inline>
        </w:drawing>
      </w:r>
    </w:p>
    <w:p>
      <w:pPr>
        <w:keepNext/>
        <w:spacing w:before="40" w:after="200"/>
        <w:jc w:val="center"/>
      </w:pPr>
      <w:r>
        <w:rPr>
          <w:rFonts w:ascii="Times New Roman" w:hAnsi="Times New Roman"/>
          <w:b/>
          <w:i/>
          <w:sz w:val="22"/>
        </w:rPr>
        <w:t>Figure 4.7: Custom Ternary Land Partition (50%, 25%, 25%) Preserving Contiguous Bounds and Road Corridors on Plot 1623</w:t>
      </w:r>
    </w:p>
    <w:p>
      <w:pPr>
        <w:spacing w:before="160" w:after="60"/>
        <w:jc w:val="center"/>
      </w:pPr>
      <w:r>
        <w:drawing>
          <wp:inline xmlns:a="http://schemas.openxmlformats.org/drawingml/2006/main" xmlns:pic="http://schemas.openxmlformats.org/drawingml/2006/picture">
            <wp:extent cx="4754880" cy="6723105"/>
            <wp:docPr id="9" name="Picture 9"/>
            <wp:cNvGraphicFramePr>
              <a:graphicFrameLocks noChangeAspect="1"/>
            </wp:cNvGraphicFramePr>
            <a:graphic>
              <a:graphicData uri="http://schemas.openxmlformats.org/drawingml/2006/picture">
                <pic:pic>
                  <pic:nvPicPr>
                    <pic:cNvPr id="0" name="report_kurra_pdf_page1.png"/>
                    <pic:cNvPicPr/>
                  </pic:nvPicPr>
                  <pic:blipFill>
                    <a:blip r:embed="rId17"/>
                    <a:stretch>
                      <a:fillRect/>
                    </a:stretch>
                  </pic:blipFill>
                  <pic:spPr>
                    <a:xfrm>
                      <a:off x="0" y="0"/>
                      <a:ext cx="4754880" cy="6723105"/>
                    </a:xfrm>
                    <a:prstGeom prst="rect"/>
                  </pic:spPr>
                </pic:pic>
              </a:graphicData>
            </a:graphic>
          </wp:inline>
        </w:drawing>
      </w:r>
    </w:p>
    <w:p>
      <w:pPr>
        <w:keepNext/>
        <w:spacing w:before="40" w:after="200"/>
        <w:jc w:val="center"/>
      </w:pPr>
      <w:r>
        <w:rPr>
          <w:rFonts w:ascii="Times New Roman" w:hAnsi="Times New Roman"/>
          <w:b/>
          <w:i/>
          <w:sz w:val="22"/>
        </w:rPr>
        <w:t>Figure 4.8: Official Vector Kurra Survey PDF Report Generated Automatically for Plot 1623 Ready for Revenue Court Filing</w:t>
      </w:r>
    </w:p>
    <w:p>
      <w:r>
        <w:br w:type="page"/>
      </w:r>
    </w:p>
    <w:p>
      <w:pPr>
        <w:keepNext/>
        <w:spacing w:before="360" w:after="240"/>
        <w:jc w:val="center"/>
      </w:pPr>
      <w:r>
        <w:rPr>
          <w:rFonts w:ascii="Times New Roman" w:hAnsi="Times New Roman"/>
          <w:b/>
          <w:color w:val="0F172A"/>
          <w:sz w:val="32"/>
        </w:rPr>
        <w:t>CHAPTER 5</w:t>
        <w:br/>
        <w:t>CONCLUSION AND FUTURE ENHANCEMENTS</w:t>
      </w:r>
    </w:p>
    <w:p>
      <w:pPr>
        <w:keepNext/>
        <w:spacing w:before="280" w:after="120"/>
        <w:jc w:val="left"/>
      </w:pPr>
      <w:r>
        <w:rPr>
          <w:rFonts w:ascii="Times New Roman" w:hAnsi="Times New Roman"/>
          <w:b/>
          <w:color w:val="1E3A8A"/>
          <w:sz w:val="28"/>
        </w:rPr>
        <w:t>5.1 Project Summary &amp; Core Achievements</w:t>
      </w:r>
    </w:p>
    <w:p>
      <w:pPr>
        <w:spacing w:before="0" w:after="120" w:line="360" w:lineRule="auto"/>
        <w:jc w:val="both"/>
      </w:pPr>
      <w:r>
        <w:rPr>
          <w:rFonts w:ascii="Times New Roman" w:hAnsi="Times New Roman"/>
          <w:sz w:val="24"/>
        </w:rPr>
        <w:t>This capstone project successfully designed, deployed, and benchmarked Bhu-Overlay, an AI-augmented cadastral GIS and statutory land partition engine tailored for rural land administration. By coupling official government BhuNaksha WMS web services and satellite basemaps with a deterministic computational geometry engine, the platform enables instantaneous parcel boundary inspection, 43-node vertex demarcation, and real-time perimeter segment measurement. The swept-line binary root bisection algorithm achieves sub-50ms partition computation with strict area conservation (error &lt; 0.005%), completely solving the mathematical challenge of non-convex polygon partition. Integrating Google Gemini 2.5 Flash as an automated statutory compliance engine ensures that divisions adhere strictly to Sections 116–117 and Rule 109 of the State Revenue Code. Automated vector PDF report generation bridges the critical gap between digital land records and judicial court decree enforcement.</w:t>
      </w:r>
    </w:p>
    <w:p>
      <w:pPr>
        <w:keepNext/>
        <w:spacing w:before="280" w:after="120"/>
        <w:jc w:val="left"/>
      </w:pPr>
      <w:r>
        <w:rPr>
          <w:rFonts w:ascii="Times New Roman" w:hAnsi="Times New Roman"/>
          <w:b/>
          <w:color w:val="1E3A8A"/>
          <w:sz w:val="28"/>
        </w:rPr>
        <w:t>5.2 Societal, Legal, and Administrative Impact</w:t>
      </w:r>
    </w:p>
    <w:p>
      <w:pPr>
        <w:spacing w:before="0" w:after="120" w:line="360" w:lineRule="auto"/>
        <w:jc w:val="both"/>
      </w:pPr>
      <w:r>
        <w:rPr>
          <w:rFonts w:ascii="Times New Roman" w:hAnsi="Times New Roman"/>
          <w:sz w:val="24"/>
        </w:rPr>
        <w:t>The real-world administrative impact of Bhu-Overlay is transformative:</w:t>
      </w:r>
    </w:p>
    <w:p>
      <w:pPr>
        <w:pStyle w:val="ListBullet"/>
        <w:spacing w:before="40" w:after="80" w:line="312" w:lineRule="auto"/>
        <w:jc w:val="both"/>
      </w:pPr>
      <w:r>
        <w:rPr>
          <w:rFonts w:ascii="Times New Roman" w:hAnsi="Times New Roman"/>
          <w:b/>
          <w:sz w:val="24"/>
        </w:rPr>
        <w:t xml:space="preserve">Judicial Dispute Reduction: </w:t>
      </w:r>
      <w:r>
        <w:rPr>
          <w:rFonts w:ascii="Times New Roman" w:hAnsi="Times New Roman"/>
          <w:sz w:val="24"/>
        </w:rPr>
        <w:t>By presenting disputing co-heirs with clear, legally grounded, and mathematically verifiable visual partition alternatives, revenue courts can eliminate subjective bias and resolve partition suits in days rather than decades.</w:t>
      </w:r>
    </w:p>
    <w:p>
      <w:pPr>
        <w:pStyle w:val="ListBullet"/>
        <w:spacing w:before="40" w:after="80" w:line="312" w:lineRule="auto"/>
        <w:jc w:val="both"/>
      </w:pPr>
      <w:r>
        <w:rPr>
          <w:rFonts w:ascii="Times New Roman" w:hAnsi="Times New Roman"/>
          <w:b/>
          <w:sz w:val="24"/>
        </w:rPr>
        <w:t xml:space="preserve">Elimination of Landlocked Agricultural Holdings: </w:t>
      </w:r>
      <w:r>
        <w:rPr>
          <w:rFonts w:ascii="Times New Roman" w:hAnsi="Times New Roman"/>
          <w:sz w:val="24"/>
        </w:rPr>
        <w:t>Frontage-preserving cutting algorithms guarantee that every generated sub-parcel retains physical access to village road networks, preserving agricultural economic viability.</w:t>
      </w:r>
    </w:p>
    <w:p>
      <w:pPr>
        <w:pStyle w:val="ListBullet"/>
        <w:spacing w:before="40" w:after="80" w:line="312" w:lineRule="auto"/>
        <w:jc w:val="both"/>
      </w:pPr>
      <w:r>
        <w:rPr>
          <w:rFonts w:ascii="Times New Roman" w:hAnsi="Times New Roman"/>
          <w:b/>
          <w:sz w:val="24"/>
        </w:rPr>
        <w:t xml:space="preserve">Transparent Digital Audit Trails: </w:t>
      </w:r>
      <w:r>
        <w:rPr>
          <w:rFonts w:ascii="Times New Roman" w:hAnsi="Times New Roman"/>
          <w:sz w:val="24"/>
        </w:rPr>
        <w:t>Replacing opaque manual sketches with cryptographically auditable vector PDF surveys prevents fraudulent tampering and provides revenue appellate authorities with unambiguous evidence.</w:t>
      </w:r>
    </w:p>
    <w:p>
      <w:pPr>
        <w:keepNext/>
        <w:spacing w:before="280" w:after="120"/>
        <w:jc w:val="left"/>
      </w:pPr>
      <w:r>
        <w:rPr>
          <w:rFonts w:ascii="Times New Roman" w:hAnsi="Times New Roman"/>
          <w:b/>
          <w:color w:val="1E3A8A"/>
          <w:sz w:val="28"/>
        </w:rPr>
        <w:t>5.3 Future Research Scope &amp; Roadmap</w:t>
      </w:r>
    </w:p>
    <w:p>
      <w:pPr>
        <w:spacing w:before="0" w:after="120" w:line="360" w:lineRule="auto"/>
        <w:jc w:val="both"/>
      </w:pPr>
      <w:r>
        <w:rPr>
          <w:rFonts w:ascii="Times New Roman" w:hAnsi="Times New Roman"/>
          <w:sz w:val="24"/>
        </w:rPr>
        <w:t>Future research will advance the Bhu-Overlay platform across three strategic dimensions:</w:t>
      </w:r>
    </w:p>
    <w:p>
      <w:pPr>
        <w:pStyle w:val="ListBullet"/>
        <w:spacing w:before="40" w:after="80" w:line="312" w:lineRule="auto"/>
        <w:jc w:val="both"/>
      </w:pPr>
      <w:r>
        <w:rPr>
          <w:rFonts w:ascii="Times New Roman" w:hAnsi="Times New Roman"/>
          <w:b/>
          <w:sz w:val="24"/>
        </w:rPr>
        <w:t xml:space="preserve">1. 3D Digital Elevation Models (DEM) for Topographical Valuation: </w:t>
      </w:r>
      <w:r>
        <w:rPr>
          <w:rFonts w:ascii="Times New Roman" w:hAnsi="Times New Roman"/>
          <w:sz w:val="24"/>
        </w:rPr>
        <w:t>In undulating or hilly terrain, land value is dictated by slope, soil fertility, and natural drainage. Future iterations will integrate Cartosat and airborne LiDAR DEM rasters to adjust area shares inversely with soil valuation.</w:t>
      </w:r>
    </w:p>
    <w:p>
      <w:pPr>
        <w:pStyle w:val="ListBullet"/>
        <w:spacing w:before="40" w:after="80" w:line="312" w:lineRule="auto"/>
        <w:jc w:val="both"/>
      </w:pPr>
      <w:r>
        <w:rPr>
          <w:rFonts w:ascii="Times New Roman" w:hAnsi="Times New Roman"/>
          <w:b/>
          <w:sz w:val="24"/>
        </w:rPr>
        <w:t xml:space="preserve">2. Real-Time Kinematic (RTK) GPS Rover Pegging: </w:t>
      </w:r>
      <w:r>
        <w:rPr>
          <w:rFonts w:ascii="Times New Roman" w:hAnsi="Times New Roman"/>
          <w:sz w:val="24"/>
        </w:rPr>
        <w:t>Integrating low-cost mobile RTK-GPS receivers via WebSockets will allow field surveyors to stake out mathematically bisected sub-parcel boundary stones with centimeter precision on physical village ground.</w:t>
      </w:r>
    </w:p>
    <w:p>
      <w:pPr>
        <w:pStyle w:val="ListBullet"/>
        <w:spacing w:before="40" w:after="80" w:line="312" w:lineRule="auto"/>
        <w:jc w:val="both"/>
      </w:pPr>
      <w:r>
        <w:rPr>
          <w:rFonts w:ascii="Times New Roman" w:hAnsi="Times New Roman"/>
          <w:b/>
          <w:sz w:val="24"/>
        </w:rPr>
        <w:t xml:space="preserve">3. Multilingual Vernacular Voice Interfaces: </w:t>
      </w:r>
      <w:r>
        <w:rPr>
          <w:rFonts w:ascii="Times New Roman" w:hAnsi="Times New Roman"/>
          <w:sz w:val="24"/>
        </w:rPr>
        <w:t>Deploying regional language voice arbitration interfaces (Hindi, Bhojpuri, and Maithili) powered by speech-to-speech models to empower non-literate rural landowners during co-tenancy court arbitration.</w:t>
      </w:r>
    </w:p>
    <w:p>
      <w:r>
        <w:br w:type="page"/>
      </w:r>
    </w:p>
    <w:p>
      <w:pPr>
        <w:keepNext/>
        <w:spacing w:before="360" w:after="240"/>
        <w:jc w:val="center"/>
      </w:pPr>
      <w:r>
        <w:rPr>
          <w:rFonts w:ascii="Times New Roman" w:hAnsi="Times New Roman"/>
          <w:b/>
          <w:color w:val="0F172A"/>
          <w:sz w:val="32"/>
        </w:rPr>
        <w:t>REFERENCES</w:t>
      </w:r>
    </w:p>
    <w:p>
      <w:pPr>
        <w:spacing w:before="40" w:after="120" w:line="312" w:lineRule="auto"/>
        <w:ind w:left="576" w:hanging="576"/>
        <w:jc w:val="both"/>
      </w:pPr>
      <w:r>
        <w:rPr>
          <w:rFonts w:ascii="Times New Roman" w:hAnsi="Times New Roman"/>
          <w:sz w:val="21"/>
        </w:rPr>
        <w:t>[1] K. Deininger, Land Policies for Growth and Poverty Reduction: A World Bank Policy Research Report. Washington, DC: World Bank and Oxford Univ. Press, 2003.</w:t>
      </w:r>
    </w:p>
    <w:p>
      <w:pPr>
        <w:spacing w:before="40" w:after="120" w:line="312" w:lineRule="auto"/>
        <w:ind w:left="576" w:hanging="576"/>
        <w:jc w:val="both"/>
      </w:pPr>
      <w:r>
        <w:rPr>
          <w:rFonts w:ascii="Times New Roman" w:hAnsi="Times New Roman"/>
          <w:sz w:val="21"/>
        </w:rPr>
        <w:t>[2] Department of Land Resources, "Digital India Land Records Modernization Programme (DILRMP): Guidelines and Technical Specifications," Ministry of Rural Development, Government of India, Tech. Rep., 2021.</w:t>
      </w:r>
    </w:p>
    <w:p>
      <w:pPr>
        <w:spacing w:before="40" w:after="120" w:line="312" w:lineRule="auto"/>
        <w:ind w:left="576" w:hanging="576"/>
        <w:jc w:val="both"/>
      </w:pPr>
      <w:r>
        <w:rPr>
          <w:rFonts w:ascii="Times New Roman" w:hAnsi="Times New Roman"/>
          <w:sz w:val="21"/>
        </w:rPr>
        <w:t>[3] D. C. Wadhwa, "Guaranteeing title to land: A preliminary study," Economic and Political Weekly, vol. 37, no. 47, pp. 4699–4722, Nov. 2002.</w:t>
      </w:r>
    </w:p>
    <w:p>
      <w:pPr>
        <w:spacing w:before="40" w:after="120" w:line="312" w:lineRule="auto"/>
        <w:ind w:left="576" w:hanging="576"/>
        <w:jc w:val="both"/>
      </w:pPr>
      <w:r>
        <w:rPr>
          <w:rFonts w:ascii="Times New Roman" w:hAnsi="Times New Roman"/>
          <w:sz w:val="21"/>
        </w:rPr>
        <w:t>[4] P. Dale and J. McLaughlin, Land Administration. Oxford, UK: Oxford Univ. Press, 1999.</w:t>
      </w:r>
    </w:p>
    <w:p>
      <w:pPr>
        <w:spacing w:before="40" w:after="120" w:line="312" w:lineRule="auto"/>
        <w:ind w:left="576" w:hanging="576"/>
        <w:jc w:val="both"/>
      </w:pPr>
      <w:r>
        <w:rPr>
          <w:rFonts w:ascii="Times New Roman" w:hAnsi="Times New Roman"/>
          <w:sz w:val="21"/>
        </w:rPr>
        <w:t>[5] A. Rajabifard, A. Binns, and I. Williamson, "Development of a spatially enabled platform to support cadastral integration," in Proc. XXIII FIG Int. Congr., Munich, Germany, Oct. 2006, pp. 1–14.</w:t>
      </w:r>
    </w:p>
    <w:p>
      <w:pPr>
        <w:spacing w:before="40" w:after="120" w:line="312" w:lineRule="auto"/>
        <w:ind w:left="576" w:hanging="576"/>
        <w:jc w:val="both"/>
      </w:pPr>
      <w:r>
        <w:rPr>
          <w:rFonts w:ascii="Times New Roman" w:hAnsi="Times New Roman"/>
          <w:sz w:val="21"/>
        </w:rPr>
        <w:t>[6] M. de Berg, O. Cheong, M. van Kreveld, and M. Overmars, Computational Geometry: Algorithms and Applications, 3rd ed. Berlin, Germany: Springer-Verlag, 2008.</w:t>
      </w:r>
    </w:p>
    <w:p>
      <w:pPr>
        <w:spacing w:before="40" w:after="120" w:line="312" w:lineRule="auto"/>
        <w:ind w:left="576" w:hanging="576"/>
        <w:jc w:val="both"/>
      </w:pPr>
      <w:r>
        <w:rPr>
          <w:rFonts w:ascii="Times New Roman" w:hAnsi="Times New Roman"/>
          <w:sz w:val="21"/>
        </w:rPr>
        <w:t>[7] A. Lingas, "The power of non-rectilinear holes," in Proc. 9th Int. Colloq. Automata, Lang. Program. (ICALP), Aarhus, Denmark, 1982, pp. 369–383.</w:t>
      </w:r>
    </w:p>
    <w:p>
      <w:pPr>
        <w:spacing w:before="40" w:after="120" w:line="312" w:lineRule="auto"/>
        <w:ind w:left="576" w:hanging="576"/>
        <w:jc w:val="both"/>
      </w:pPr>
      <w:r>
        <w:rPr>
          <w:rFonts w:ascii="Times New Roman" w:hAnsi="Times New Roman"/>
          <w:sz w:val="21"/>
        </w:rPr>
        <w:t>[8] F. A. Araujo and S. R. Silva, "Automated cadastral parcel subdivision based on constrained Voronoi tessellations," Computers &amp; Geosciences, vol. 67, pp. 124–133, Jun. 2014.</w:t>
      </w:r>
    </w:p>
    <w:p>
      <w:pPr>
        <w:spacing w:before="40" w:after="120" w:line="312" w:lineRule="auto"/>
        <w:ind w:left="576" w:hanging="576"/>
        <w:jc w:val="both"/>
      </w:pPr>
      <w:r>
        <w:rPr>
          <w:rFonts w:ascii="Times New Roman" w:hAnsi="Times New Roman"/>
          <w:sz w:val="21"/>
        </w:rPr>
        <w:t>[9] G. Mai, C. Cundy, K. Choi, Y. Hu, N. Gao, Y. Shen, S. K. Das, S. Wang, and B. Bhaduri, "Opportunities and challenges of large language models for geospatial science," IEEE Transactions on Knowledge and Data Engineering, vol. 36, no. 8, pp. 4152–4169, Aug. 2024.</w:t>
      </w:r>
    </w:p>
    <w:p>
      <w:pPr>
        <w:spacing w:before="40" w:after="120" w:line="312" w:lineRule="auto"/>
        <w:ind w:left="576" w:hanging="576"/>
        <w:jc w:val="both"/>
      </w:pPr>
      <w:r>
        <w:rPr>
          <w:rFonts w:ascii="Times New Roman" w:hAnsi="Times New Roman"/>
          <w:sz w:val="21"/>
        </w:rPr>
        <w:t>[10] M. J. Sergot, F. Sadri, R. A. Kowalski, F. Kriwaczek, P. Hammond, and H. T. Cory, "The British Nationality Act as a logic program," Communications of the ACM, vol. 29, no. 5, pp. 370–386, May 1986.</w:t>
      </w:r>
    </w:p>
    <w:p>
      <w:pPr>
        <w:spacing w:before="40" w:after="120" w:line="312" w:lineRule="auto"/>
        <w:ind w:left="576" w:hanging="576"/>
        <w:jc w:val="both"/>
      </w:pPr>
      <w:r>
        <w:rPr>
          <w:rFonts w:ascii="Times New Roman" w:hAnsi="Times New Roman"/>
          <w:sz w:val="21"/>
        </w:rPr>
        <w:t>[11] D. M. Katz, M. J. Bommarito, S. Gao, and P. Arredondo, "GPT-4 passes the bar exam," Philosophical Transactions of the Royal Society A, vol. 382, no. 2270, p. 20230254, Mar. 2024.</w:t>
      </w:r>
    </w:p>
    <w:p>
      <w:pPr>
        <w:spacing w:before="40" w:after="120" w:line="312" w:lineRule="auto"/>
        <w:ind w:left="576" w:hanging="576"/>
        <w:jc w:val="both"/>
      </w:pPr>
      <w:r>
        <w:rPr>
          <w:rFonts w:ascii="Times New Roman" w:hAnsi="Times New Roman"/>
          <w:sz w:val="21"/>
        </w:rPr>
        <w:t>[12] M. F. Goodchild, "Twenty years of progress: GIScience in 2010," Journal of Spatial Information Science, no. 1, pp. 3–20, 2010.</w:t>
      </w:r>
    </w:p>
    <w:p>
      <w:pPr>
        <w:spacing w:before="40" w:after="120" w:line="312" w:lineRule="auto"/>
        <w:ind w:left="576" w:hanging="576"/>
        <w:jc w:val="both"/>
      </w:pPr>
      <w:r>
        <w:rPr>
          <w:rFonts w:ascii="Times New Roman" w:hAnsi="Times New Roman"/>
          <w:sz w:val="21"/>
        </w:rPr>
        <w:t>[13] R. Singh and V. S. Rawat, "Modernization of land record system in India: Issues and challenges," Journal of Land and Rural Studies, vol. 6, no. 2, pp. 115–129, Jul. 2018.</w:t>
      </w:r>
    </w:p>
    <w:p>
      <w:pPr>
        <w:spacing w:before="40" w:after="120" w:line="312" w:lineRule="auto"/>
        <w:ind w:left="576" w:hanging="576"/>
        <w:jc w:val="both"/>
      </w:pPr>
      <w:r>
        <w:rPr>
          <w:rFonts w:ascii="Times New Roman" w:hAnsi="Times New Roman"/>
          <w:sz w:val="21"/>
        </w:rPr>
        <w:t>[14] D. D. Polsby and R. D. Popper, "The third criterion: Compactness as a procedural safeguard against partisan gerrymandering," Yale Law &amp; Policy Review, vol. 9, no. 2, pp. 301–353, 1991.</w:t>
      </w:r>
    </w:p>
    <w:p>
      <w:pPr>
        <w:spacing w:before="40" w:after="120" w:line="312" w:lineRule="auto"/>
        <w:ind w:left="576" w:hanging="576"/>
        <w:jc w:val="both"/>
      </w:pPr>
      <w:r>
        <w:rPr>
          <w:rFonts w:ascii="Times New Roman" w:hAnsi="Times New Roman"/>
          <w:sz w:val="21"/>
        </w:rPr>
        <w:t>[15] J. R. Shewchuk, "Delaunay refinement algorithms for triangular mesh generation," Computational Geometry: Theory and Applications, vol. 22, no. 1–3, pp. 21–74, May 2002.</w:t>
      </w:r>
    </w:p>
    <w:p>
      <w:pPr>
        <w:spacing w:before="40" w:after="120" w:line="312" w:lineRule="auto"/>
        <w:ind w:left="576" w:hanging="576"/>
        <w:jc w:val="both"/>
      </w:pPr>
      <w:r>
        <w:rPr>
          <w:rFonts w:ascii="Times New Roman" w:hAnsi="Times New Roman"/>
          <w:sz w:val="21"/>
        </w:rPr>
        <w:t>[16] Government of Uttar Pradesh, The Uttar Pradesh Revenue Code, 2006 (U.P. Act No. 8 of 2012) and The Revenue Code Rules, 2016, Lucknow, India: Revenue Dept., 2016.</w:t>
      </w:r>
    </w:p>
    <w:p>
      <w:pPr>
        <w:spacing w:before="40" w:after="120" w:line="312" w:lineRule="auto"/>
        <w:ind w:left="576" w:hanging="576"/>
        <w:jc w:val="both"/>
      </w:pPr>
      <w:r>
        <w:rPr>
          <w:rFonts w:ascii="Times New Roman" w:hAnsi="Times New Roman"/>
          <w:sz w:val="21"/>
        </w:rPr>
        <w:t>[17] National Informatics Centre, BhuNaksha: Cadastral Mapping Software Specification and User Manual, New Delhi, India: Ministry of Electronics and Information Technology, 2020.</w:t>
      </w:r>
    </w:p>
    <w:p>
      <w:pPr>
        <w:spacing w:before="40" w:after="120" w:line="312" w:lineRule="auto"/>
        <w:ind w:left="576" w:hanging="576"/>
        <w:jc w:val="both"/>
      </w:pPr>
      <w:r>
        <w:rPr>
          <w:rFonts w:ascii="Times New Roman" w:hAnsi="Times New Roman"/>
          <w:sz w:val="21"/>
        </w:rPr>
        <w:t>[18] National Informatics Centre and Department of Revenue and Land Reforms, Government of Bihar, "Official Bihar BhuNaksha Cadastral Spatial Data Archive and ArcGIS REST Services (WMS/REST API)," https://bhunaksha.bihar.gov.in and https://gisserver.bihar.gov.in, Accessed: October 2026.</w:t>
      </w:r>
    </w:p>
    <w:sectPr w:rsidR="00FC693F" w:rsidRPr="0006063C" w:rsidSect="00034616">
      <w:pgSz w:w="11909" w:h="16834"/>
      <w:pgMar w:top="1440" w:right="1701" w:bottom="1440"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