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00B72" w14:textId="77777777" w:rsidR="00C300D7" w:rsidRPr="00C300D7" w:rsidRDefault="00C300D7" w:rsidP="00C300D7">
      <w:pPr>
        <w:spacing w:after="200" w:line="276" w:lineRule="auto"/>
        <w:jc w:val="center"/>
        <w:rPr>
          <w:rFonts w:ascii="Times New Roman" w:hAnsi="Times New Roman" w:cs="Times New Roman"/>
          <w:b/>
          <w:bCs/>
          <w:color w:val="auto"/>
          <w:sz w:val="28"/>
          <w:szCs w:val="28"/>
        </w:rPr>
      </w:pPr>
      <w:proofErr w:type="spellStart"/>
      <w:r w:rsidRPr="00C300D7">
        <w:rPr>
          <w:rFonts w:ascii="Times New Roman" w:hAnsi="Times New Roman" w:cs="Times New Roman"/>
          <w:b/>
          <w:bCs/>
          <w:color w:val="auto"/>
          <w:sz w:val="28"/>
          <w:szCs w:val="28"/>
        </w:rPr>
        <w:t>FinSight</w:t>
      </w:r>
      <w:proofErr w:type="spellEnd"/>
      <w:r w:rsidRPr="00C300D7">
        <w:rPr>
          <w:rFonts w:ascii="Times New Roman" w:hAnsi="Times New Roman" w:cs="Times New Roman"/>
          <w:b/>
          <w:bCs/>
          <w:color w:val="auto"/>
          <w:sz w:val="28"/>
          <w:szCs w:val="28"/>
        </w:rPr>
        <w:t xml:space="preserve"> AI: A Transformer-Based Document Intelligence Platform for Financial Entity Extraction, Sentiment Analysis, and Clause Risk Classification</w:t>
      </w:r>
    </w:p>
    <w:p w14:paraId="20776AE7" w14:textId="77777777" w:rsidR="00C300D7" w:rsidRPr="00C300D7" w:rsidRDefault="00C300D7" w:rsidP="00C300D7">
      <w:pPr>
        <w:spacing w:after="200" w:line="276" w:lineRule="auto"/>
        <w:jc w:val="center"/>
        <w:rPr>
          <w:rFonts w:ascii="Times New Roman" w:hAnsi="Times New Roman" w:cs="Times New Roman"/>
          <w:color w:val="auto"/>
          <w:sz w:val="18"/>
          <w:szCs w:val="18"/>
        </w:rPr>
      </w:pPr>
    </w:p>
    <w:p w14:paraId="00B87BB9" w14:textId="77777777" w:rsidR="00C300D7" w:rsidRPr="00C300D7" w:rsidRDefault="00C300D7" w:rsidP="00C300D7">
      <w:pPr>
        <w:spacing w:after="800" w:line="276" w:lineRule="auto"/>
        <w:jc w:val="center"/>
        <w:rPr>
          <w:rFonts w:ascii="Times New Roman" w:hAnsi="Times New Roman" w:cs="Times New Roman"/>
          <w:color w:val="auto"/>
          <w:sz w:val="18"/>
          <w:szCs w:val="18"/>
        </w:rPr>
      </w:pPr>
      <w:r w:rsidRPr="00C300D7">
        <w:rPr>
          <w:rFonts w:ascii="Times New Roman" w:hAnsi="Times New Roman" w:cs="Times New Roman"/>
          <w:b/>
          <w:bCs/>
          <w:color w:val="auto"/>
          <w:sz w:val="20"/>
          <w:szCs w:val="20"/>
        </w:rPr>
        <w:t>PROJECT REVIEW – 2 TECHNICAL IMPLEMENTATION &amp; EVALUATION REPORT</w:t>
      </w:r>
    </w:p>
    <w:p w14:paraId="7EA4983A" w14:textId="77777777" w:rsidR="00C300D7" w:rsidRPr="00C300D7" w:rsidRDefault="00C300D7" w:rsidP="00C300D7">
      <w:pPr>
        <w:spacing w:after="120" w:line="240" w:lineRule="auto"/>
        <w:jc w:val="center"/>
        <w:rPr>
          <w:rFonts w:ascii="Times New Roman" w:hAnsi="Times New Roman" w:cs="Times New Roman"/>
          <w:b/>
          <w:bCs/>
          <w:color w:val="auto"/>
          <w:sz w:val="22"/>
          <w:szCs w:val="22"/>
        </w:rPr>
      </w:pPr>
      <w:r w:rsidRPr="00C300D7">
        <w:rPr>
          <w:rFonts w:ascii="Times New Roman" w:hAnsi="Times New Roman" w:cs="Times New Roman"/>
          <w:b/>
          <w:bCs/>
          <w:color w:val="auto"/>
          <w:sz w:val="22"/>
          <w:szCs w:val="22"/>
        </w:rPr>
        <w:t>SUBMITTED BY</w:t>
      </w:r>
    </w:p>
    <w:p w14:paraId="5A4966D9" w14:textId="77777777" w:rsidR="00C300D7" w:rsidRDefault="00C300D7" w:rsidP="00C300D7">
      <w:pPr>
        <w:spacing w:after="120" w:line="240"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LAKSHARAA A S - 23MIA1053</w:t>
      </w:r>
    </w:p>
    <w:p w14:paraId="688705FC" w14:textId="77777777" w:rsidR="00C300D7" w:rsidRDefault="00C300D7" w:rsidP="00C300D7">
      <w:pPr>
        <w:spacing w:after="120" w:line="240"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SANDHEEP SS - 23MIA1161</w:t>
      </w:r>
    </w:p>
    <w:p w14:paraId="03156E31" w14:textId="4CFB876C" w:rsidR="00C300D7" w:rsidRDefault="00C300D7" w:rsidP="00C300D7">
      <w:pPr>
        <w:spacing w:after="120" w:line="240"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KARTHIKEYAN A - 23MIA1123</w:t>
      </w:r>
    </w:p>
    <w:p w14:paraId="2D880924" w14:textId="77777777" w:rsidR="00C300D7" w:rsidRDefault="00C300D7" w:rsidP="00C300D7">
      <w:pPr>
        <w:spacing w:after="120" w:line="240" w:lineRule="auto"/>
        <w:jc w:val="center"/>
        <w:rPr>
          <w:rFonts w:ascii="Times New Roman" w:hAnsi="Times New Roman" w:cs="Times New Roman"/>
          <w:color w:val="auto"/>
          <w:sz w:val="22"/>
          <w:szCs w:val="22"/>
        </w:rPr>
      </w:pPr>
    </w:p>
    <w:p w14:paraId="08D7FE4F" w14:textId="77777777" w:rsidR="00C300D7" w:rsidRPr="00C300D7" w:rsidRDefault="00C300D7" w:rsidP="00C300D7">
      <w:pPr>
        <w:spacing w:after="120" w:line="240" w:lineRule="auto"/>
        <w:jc w:val="center"/>
        <w:rPr>
          <w:rFonts w:ascii="Times New Roman" w:hAnsi="Times New Roman" w:cs="Times New Roman"/>
          <w:color w:val="auto"/>
          <w:sz w:val="22"/>
          <w:szCs w:val="22"/>
        </w:rPr>
      </w:pPr>
    </w:p>
    <w:p w14:paraId="29B8EC87" w14:textId="21CA6DD3" w:rsidR="00C300D7" w:rsidRPr="00C300D7" w:rsidRDefault="00C300D7" w:rsidP="00C300D7">
      <w:pPr>
        <w:spacing w:after="600" w:line="276" w:lineRule="auto"/>
        <w:jc w:val="center"/>
        <w:rPr>
          <w:rFonts w:ascii="Times New Roman" w:hAnsi="Times New Roman" w:cs="Times New Roman"/>
          <w:b/>
          <w:bCs/>
          <w:color w:val="auto"/>
          <w:sz w:val="22"/>
          <w:szCs w:val="22"/>
        </w:rPr>
      </w:pPr>
      <w:r w:rsidRPr="00C300D7">
        <w:rPr>
          <w:rFonts w:ascii="Times New Roman" w:hAnsi="Times New Roman" w:cs="Times New Roman"/>
          <w:b/>
          <w:bCs/>
          <w:color w:val="auto"/>
          <w:sz w:val="22"/>
          <w:szCs w:val="22"/>
        </w:rPr>
        <w:t>SWE1017 - NATURAL LANGUAGE PROCESSING (EPJ)</w:t>
      </w:r>
    </w:p>
    <w:p w14:paraId="1FDAC8EE" w14:textId="275B07D0" w:rsidR="00C300D7" w:rsidRPr="00C300D7" w:rsidRDefault="00C300D7" w:rsidP="00C300D7">
      <w:pPr>
        <w:spacing w:after="120" w:line="276"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PROJECT GUIDE</w:t>
      </w:r>
    </w:p>
    <w:p w14:paraId="1EFBECAA" w14:textId="77777777" w:rsidR="00C300D7" w:rsidRPr="00C300D7" w:rsidRDefault="00C300D7" w:rsidP="00C300D7">
      <w:pPr>
        <w:spacing w:after="120" w:line="276"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DR MANJULA V</w:t>
      </w:r>
    </w:p>
    <w:p w14:paraId="41B2FCDD" w14:textId="77777777" w:rsidR="00C300D7" w:rsidRPr="00C300D7" w:rsidRDefault="00C300D7" w:rsidP="00C300D7">
      <w:pPr>
        <w:spacing w:after="120" w:line="276"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ASSOCIATE PROFESSOR GRADE 2</w:t>
      </w:r>
    </w:p>
    <w:p w14:paraId="0A9B9297" w14:textId="77777777" w:rsidR="00C300D7" w:rsidRPr="00C300D7" w:rsidRDefault="00C300D7" w:rsidP="00C300D7">
      <w:pPr>
        <w:spacing w:after="120" w:line="276" w:lineRule="auto"/>
        <w:jc w:val="center"/>
        <w:rPr>
          <w:rFonts w:ascii="Times New Roman" w:hAnsi="Times New Roman" w:cs="Times New Roman"/>
          <w:color w:val="auto"/>
          <w:sz w:val="22"/>
          <w:szCs w:val="22"/>
        </w:rPr>
      </w:pPr>
      <w:r w:rsidRPr="00C300D7">
        <w:rPr>
          <w:rFonts w:ascii="Times New Roman" w:hAnsi="Times New Roman" w:cs="Times New Roman"/>
          <w:color w:val="auto"/>
          <w:sz w:val="22"/>
          <w:szCs w:val="22"/>
        </w:rPr>
        <w:t>SCHOOL OF COMPUTER SCIENCE AND ENGINEERING</w:t>
      </w:r>
    </w:p>
    <w:p w14:paraId="0D535857" w14:textId="77777777" w:rsidR="00C300D7" w:rsidRPr="00C300D7" w:rsidRDefault="00C300D7" w:rsidP="00C300D7">
      <w:pPr>
        <w:spacing w:after="120" w:line="276" w:lineRule="auto"/>
        <w:jc w:val="center"/>
        <w:rPr>
          <w:rFonts w:ascii="Times New Roman" w:hAnsi="Times New Roman" w:cs="Times New Roman"/>
          <w:b/>
          <w:bCs/>
          <w:color w:val="auto"/>
          <w:sz w:val="22"/>
          <w:szCs w:val="22"/>
        </w:rPr>
      </w:pPr>
    </w:p>
    <w:p w14:paraId="5170BEE5" w14:textId="484550CB" w:rsidR="00C300D7" w:rsidRPr="00C300D7" w:rsidRDefault="00C300D7" w:rsidP="00C300D7">
      <w:pPr>
        <w:spacing w:after="600" w:line="276" w:lineRule="auto"/>
        <w:jc w:val="center"/>
        <w:rPr>
          <w:rFonts w:ascii="Times New Roman" w:hAnsi="Times New Roman" w:cs="Times New Roman"/>
          <w:b/>
          <w:bCs/>
          <w:color w:val="auto"/>
          <w:sz w:val="22"/>
          <w:szCs w:val="22"/>
        </w:rPr>
      </w:pPr>
      <w:r w:rsidRPr="00C300D7">
        <w:rPr>
          <w:rFonts w:ascii="Times New Roman" w:hAnsi="Times New Roman" w:cs="Times New Roman"/>
          <w:b/>
          <w:bCs/>
          <w:color w:val="auto"/>
          <w:sz w:val="22"/>
          <w:szCs w:val="22"/>
        </w:rPr>
        <w:drawing>
          <wp:inline distT="0" distB="0" distL="0" distR="0" wp14:anchorId="16E58824" wp14:editId="75C601F0">
            <wp:extent cx="3686175" cy="1143000"/>
            <wp:effectExtent l="0" t="0" r="9525" b="0"/>
            <wp:docPr id="627870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6175" cy="1143000"/>
                    </a:xfrm>
                    <a:prstGeom prst="rect">
                      <a:avLst/>
                    </a:prstGeom>
                    <a:noFill/>
                    <a:ln>
                      <a:noFill/>
                    </a:ln>
                  </pic:spPr>
                </pic:pic>
              </a:graphicData>
            </a:graphic>
          </wp:inline>
        </w:drawing>
      </w:r>
    </w:p>
    <w:p w14:paraId="6D58475B" w14:textId="77777777" w:rsidR="00C300D7" w:rsidRPr="00C300D7" w:rsidRDefault="00C300D7" w:rsidP="00C300D7">
      <w:pPr>
        <w:spacing w:after="600" w:line="276" w:lineRule="auto"/>
        <w:jc w:val="center"/>
        <w:rPr>
          <w:rFonts w:ascii="Times New Roman" w:hAnsi="Times New Roman" w:cs="Times New Roman"/>
          <w:b/>
          <w:bCs/>
          <w:color w:val="auto"/>
          <w:sz w:val="22"/>
          <w:szCs w:val="22"/>
        </w:rPr>
      </w:pPr>
      <w:r w:rsidRPr="00C300D7">
        <w:rPr>
          <w:rFonts w:ascii="Times New Roman" w:hAnsi="Times New Roman" w:cs="Times New Roman"/>
          <w:b/>
          <w:bCs/>
          <w:color w:val="auto"/>
          <w:sz w:val="22"/>
          <w:szCs w:val="22"/>
        </w:rPr>
        <w:t>FALL SEMESTER 2026-2027</w:t>
      </w:r>
    </w:p>
    <w:p w14:paraId="63D6E84E" w14:textId="77777777" w:rsidR="007705B8" w:rsidRPr="00C300D7" w:rsidRDefault="007705B8" w:rsidP="00C300D7">
      <w:pPr>
        <w:spacing w:after="600" w:line="276" w:lineRule="auto"/>
        <w:rPr>
          <w:rFonts w:ascii="Times New Roman" w:hAnsi="Times New Roman" w:cs="Times New Roman"/>
          <w:color w:val="auto"/>
          <w:sz w:val="18"/>
          <w:szCs w:val="18"/>
        </w:rPr>
      </w:pPr>
    </w:p>
    <w:p w14:paraId="469AEF52" w14:textId="77777777" w:rsidR="007705B8" w:rsidRPr="00C300D7" w:rsidRDefault="00000000" w:rsidP="00C300D7">
      <w:pPr>
        <w:spacing w:after="200" w:line="276" w:lineRule="auto"/>
        <w:jc w:val="center"/>
        <w:rPr>
          <w:rFonts w:ascii="Times New Roman" w:hAnsi="Times New Roman" w:cs="Times New Roman"/>
          <w:color w:val="auto"/>
          <w:sz w:val="18"/>
          <w:szCs w:val="18"/>
        </w:rPr>
      </w:pPr>
      <w:r w:rsidRPr="00C300D7">
        <w:rPr>
          <w:rFonts w:ascii="Times New Roman" w:hAnsi="Times New Roman" w:cs="Times New Roman"/>
          <w:i/>
          <w:iCs/>
          <w:color w:val="auto"/>
          <w:sz w:val="16"/>
          <w:szCs w:val="16"/>
        </w:rPr>
        <w:t>Repository Source: https://github.com/karthiksteve/finsight</w:t>
      </w:r>
    </w:p>
    <w:p w14:paraId="40DC07B6" w14:textId="77777777" w:rsidR="007705B8" w:rsidRPr="00C300D7" w:rsidRDefault="00000000">
      <w:pPr>
        <w:rPr>
          <w:rFonts w:ascii="Times New Roman" w:hAnsi="Times New Roman" w:cs="Times New Roman"/>
          <w:color w:val="auto"/>
        </w:rPr>
      </w:pPr>
      <w:r w:rsidRPr="00C300D7">
        <w:rPr>
          <w:rFonts w:ascii="Times New Roman" w:hAnsi="Times New Roman" w:cs="Times New Roman"/>
          <w:color w:val="auto"/>
        </w:rPr>
        <w:br w:type="page"/>
      </w:r>
    </w:p>
    <w:p w14:paraId="5420B2AC"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lastRenderedPageBreak/>
        <w:t>Abstract</w:t>
      </w:r>
    </w:p>
    <w:p w14:paraId="05735D5C"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Financial documents such as quarterly filings, earnings call transcripts, credit agreements, and corporate disclosures contain mission-critical information trapped within complex, unstructured natural language. While generic Natural Language Processing (NLP) models perform adequately on standard text, they severely under-perform on domain-specific financial language due to specialized vocabulary, non-standard numeric notations, dense tabular disclosures, and intricate contractual conditions. This report presents the technical implementation and empirical evaluation of </w:t>
      </w:r>
      <w:proofErr w:type="spellStart"/>
      <w:r w:rsidRPr="00C300D7">
        <w:rPr>
          <w:rFonts w:ascii="Times New Roman" w:hAnsi="Times New Roman" w:cs="Times New Roman"/>
          <w:color w:val="auto"/>
        </w:rPr>
        <w:t>FinSight</w:t>
      </w:r>
      <w:proofErr w:type="spellEnd"/>
      <w:r w:rsidRPr="00C300D7">
        <w:rPr>
          <w:rFonts w:ascii="Times New Roman" w:hAnsi="Times New Roman" w:cs="Times New Roman"/>
          <w:color w:val="auto"/>
        </w:rPr>
        <w:t xml:space="preserve"> AI, a full-stack, transformer-based document intelligence platform engineered specifically for financial and legal-financial domains. The platform unifies four specialized natural language processing services behind a high-performance asynchronous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orchestrator: (1) a custom Named Entity Recognition (NER) pipeline combining statistical token representations with a rule-augmented financial </w:t>
      </w:r>
      <w:proofErr w:type="spellStart"/>
      <w:r w:rsidRPr="00C300D7">
        <w:rPr>
          <w:rFonts w:ascii="Times New Roman" w:hAnsi="Times New Roman" w:cs="Times New Roman"/>
          <w:color w:val="auto"/>
        </w:rPr>
        <w:t>EntityRuler</w:t>
      </w:r>
      <w:proofErr w:type="spellEnd"/>
      <w:r w:rsidRPr="00C300D7">
        <w:rPr>
          <w:rFonts w:ascii="Times New Roman" w:hAnsi="Times New Roman" w:cs="Times New Roman"/>
          <w:color w:val="auto"/>
        </w:rPr>
        <w:t xml:space="preserve">; (2) a sentence-level financial sentiment scoring engine powered by </w:t>
      </w:r>
      <w:proofErr w:type="spellStart"/>
      <w:r w:rsidRPr="00C300D7">
        <w:rPr>
          <w:rFonts w:ascii="Times New Roman" w:hAnsi="Times New Roman" w:cs="Times New Roman"/>
          <w:color w:val="auto"/>
        </w:rPr>
        <w:t>ProsusAI</w:t>
      </w:r>
      <w:proofErr w:type="spellEnd"/>
      <w:r w:rsidRPr="00C300D7">
        <w:rPr>
          <w:rFonts w:ascii="Times New Roman" w:hAnsi="Times New Roman" w:cs="Times New Roman"/>
          <w:color w:val="auto"/>
        </w:rPr>
        <w:t>/</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(3) a contract clause extraction and legal risk classification service utilizing a robust three-tier fallback architecture (local LM Studio LLM → </w:t>
      </w:r>
      <w:proofErr w:type="spellStart"/>
      <w:r w:rsidRPr="00C300D7">
        <w:rPr>
          <w:rFonts w:ascii="Times New Roman" w:hAnsi="Times New Roman" w:cs="Times New Roman"/>
          <w:color w:val="auto"/>
        </w:rPr>
        <w:t>Groq</w:t>
      </w:r>
      <w:proofErr w:type="spellEnd"/>
      <w:r w:rsidRPr="00C300D7">
        <w:rPr>
          <w:rFonts w:ascii="Times New Roman" w:hAnsi="Times New Roman" w:cs="Times New Roman"/>
          <w:color w:val="auto"/>
        </w:rPr>
        <w:t xml:space="preserve"> Llama-3.1-8B → deterministic rule-based extractor); and (4) an offline-resilient Retrieval-Augmented Generation (RAG) contextual guidance engine providing document-grounded question answering without hallucination. An interactive single-page application built with React 18, Vite 5, Tailwind CSS, Recharts, and Clerk authentication delivers a responsive user interface for document ingestion, real-time visualization, and multi-format data export (JSON, CSV, plain text, and styled HTML reports). We present end-to-end integration test results, system diagnostic benchmarks, and empirical interface captures across all platform views, followed by a rigorous assessment of current architectural boundaries, training data quality, and the production roadmap.</w:t>
      </w:r>
    </w:p>
    <w:p w14:paraId="35D142FA"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b/>
          <w:bCs/>
          <w:color w:val="auto"/>
        </w:rPr>
        <w:t xml:space="preserve">Keywords: </w:t>
      </w:r>
      <w:r w:rsidRPr="00C300D7">
        <w:rPr>
          <w:rFonts w:ascii="Times New Roman" w:hAnsi="Times New Roman" w:cs="Times New Roman"/>
          <w:i/>
          <w:iCs/>
          <w:color w:val="auto"/>
        </w:rPr>
        <w:t xml:space="preserve">Financial NLP, Named Entity Recognition (NER), </w:t>
      </w:r>
      <w:proofErr w:type="spellStart"/>
      <w:r w:rsidRPr="00C300D7">
        <w:rPr>
          <w:rFonts w:ascii="Times New Roman" w:hAnsi="Times New Roman" w:cs="Times New Roman"/>
          <w:i/>
          <w:iCs/>
          <w:color w:val="auto"/>
        </w:rPr>
        <w:t>FinBERT</w:t>
      </w:r>
      <w:proofErr w:type="spellEnd"/>
      <w:r w:rsidRPr="00C300D7">
        <w:rPr>
          <w:rFonts w:ascii="Times New Roman" w:hAnsi="Times New Roman" w:cs="Times New Roman"/>
          <w:i/>
          <w:iCs/>
          <w:color w:val="auto"/>
        </w:rPr>
        <w:t xml:space="preserve"> Sentiment Analysis, Contract Clause Extraction, Retrieval-Augmented Generation (RAG), Legal Risk Classification, Full-Stack Architecture.</w:t>
      </w:r>
    </w:p>
    <w:p w14:paraId="38033F45" w14:textId="6143D4F8" w:rsidR="007705B8" w:rsidRPr="00C300D7" w:rsidRDefault="007705B8">
      <w:pPr>
        <w:rPr>
          <w:rFonts w:ascii="Times New Roman" w:hAnsi="Times New Roman" w:cs="Times New Roman"/>
          <w:color w:val="auto"/>
        </w:rPr>
      </w:pPr>
    </w:p>
    <w:p w14:paraId="6F9F1AB9"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t>1. Problem Statement, Motivation, and Research Objectives</w:t>
      </w:r>
    </w:p>
    <w:p w14:paraId="45D1112F"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1.1 Problem Statement</w:t>
      </w:r>
    </w:p>
    <w:p w14:paraId="008D1A29"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The modern financial sector generates millions of unstructured textual documents daily, encompassing 10-K/10-Q regulatory filings, debt covenants, credit facility agreements, equity research notes, and press announcements. Financial analysts, compliance officers, and risk underwriters spend upwards of 70% of their research time manually locating and cross-referencing critical figures (e.g., revenues, EBITDA margins, interest rates, penalty percentages) and identifying legal exposure in covenants and termination clauses. Off-the-shelf NLP tools and general-purpose large language models (LLMs) fail to resolve this challenge reliably: generic NER taggers misclassify compound financial terms, general sentiment lexicons (such as VADER or general BERT) misinterpret standard financial language (e.g., classifying 'liability increased' or 'yield declined' incorrectly), and ungrounded LLMs frequently hallucinate quantitative figures when reasoning over dense multi-page filings. There is an urgent academic and industrial need for a domain-adapted, multi-service intelligence system that converts unstructured financial text into structured, auditable, and </w:t>
      </w:r>
      <w:proofErr w:type="spellStart"/>
      <w:r w:rsidRPr="00C300D7">
        <w:rPr>
          <w:rFonts w:ascii="Times New Roman" w:hAnsi="Times New Roman" w:cs="Times New Roman"/>
          <w:color w:val="auto"/>
        </w:rPr>
        <w:t>queryable</w:t>
      </w:r>
      <w:proofErr w:type="spellEnd"/>
      <w:r w:rsidRPr="00C300D7">
        <w:rPr>
          <w:rFonts w:ascii="Times New Roman" w:hAnsi="Times New Roman" w:cs="Times New Roman"/>
          <w:color w:val="auto"/>
        </w:rPr>
        <w:t xml:space="preserve"> data.</w:t>
      </w:r>
    </w:p>
    <w:p w14:paraId="40314174"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1.2 Motivation</w:t>
      </w:r>
    </w:p>
    <w:p w14:paraId="3CA8DF93"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 </w:t>
      </w:r>
      <w:r w:rsidRPr="00C300D7">
        <w:rPr>
          <w:rFonts w:ascii="Times New Roman" w:hAnsi="Times New Roman" w:cs="Times New Roman"/>
          <w:color w:val="auto"/>
        </w:rPr>
        <w:t>Scale and Velocity: The exponential growth in corporate documentation renders manual line-by-line review computationally and financially prohibitive [10].</w:t>
      </w:r>
    </w:p>
    <w:p w14:paraId="3595E6F1"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lastRenderedPageBreak/>
        <w:t xml:space="preserve">2. </w:t>
      </w:r>
      <w:r w:rsidRPr="00C300D7">
        <w:rPr>
          <w:rFonts w:ascii="Times New Roman" w:hAnsi="Times New Roman" w:cs="Times New Roman"/>
          <w:color w:val="auto"/>
        </w:rPr>
        <w:t>Foundational Downstream Utility: Accurate financial entity extraction is an indispensable prerequisite for credit scoring, algorithmic trading, compliance auditing, and fraud detection [1], [9].</w:t>
      </w:r>
    </w:p>
    <w:p w14:paraId="52C96B8A"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3. </w:t>
      </w:r>
      <w:r w:rsidRPr="00C300D7">
        <w:rPr>
          <w:rFonts w:ascii="Times New Roman" w:hAnsi="Times New Roman" w:cs="Times New Roman"/>
          <w:color w:val="auto"/>
        </w:rPr>
        <w:t xml:space="preserve">Domain Specificity: Literature demonstrates that finance-tuned models (e.g.,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specialized NER rulers) drastically outperform general models on specialized corpora [6], [8].</w:t>
      </w:r>
    </w:p>
    <w:p w14:paraId="142F6B9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4. </w:t>
      </w:r>
      <w:r w:rsidRPr="00C300D7">
        <w:rPr>
          <w:rFonts w:ascii="Times New Roman" w:hAnsi="Times New Roman" w:cs="Times New Roman"/>
          <w:color w:val="auto"/>
        </w:rPr>
        <w:t>Unified Intelligence Gap: Existing academic research predominantly investigates NER, sentiment analysis, clause extraction, or RAG in isolated studies; virtually no open platform unifies these four capabilities into an integrated analytical pipeline [11], [12].</w:t>
      </w:r>
    </w:p>
    <w:p w14:paraId="7A40681C"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1.3 Objectives</w:t>
      </w:r>
    </w:p>
    <w:p w14:paraId="13E6E09A"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b/>
          <w:bCs/>
          <w:color w:val="auto"/>
        </w:rPr>
        <w:t>Obj</w:t>
      </w:r>
      <w:proofErr w:type="spellEnd"/>
      <w:r w:rsidRPr="00C300D7">
        <w:rPr>
          <w:rFonts w:ascii="Times New Roman" w:hAnsi="Times New Roman" w:cs="Times New Roman"/>
          <w:b/>
          <w:bCs/>
          <w:color w:val="auto"/>
        </w:rPr>
        <w:t xml:space="preserve"> 1: </w:t>
      </w:r>
      <w:r w:rsidRPr="00C300D7">
        <w:rPr>
          <w:rFonts w:ascii="Times New Roman" w:hAnsi="Times New Roman" w:cs="Times New Roman"/>
          <w:color w:val="auto"/>
        </w:rPr>
        <w:t>To design and implement a custom financial Named Entity Recognition (NER) service tuned to extract organizations, monetary amounts, dates, durations, interest rates, and payment terms from unstructured corpora.</w:t>
      </w:r>
    </w:p>
    <w:p w14:paraId="1B43331D"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b/>
          <w:bCs/>
          <w:color w:val="auto"/>
        </w:rPr>
        <w:t>Obj</w:t>
      </w:r>
      <w:proofErr w:type="spellEnd"/>
      <w:r w:rsidRPr="00C300D7">
        <w:rPr>
          <w:rFonts w:ascii="Times New Roman" w:hAnsi="Times New Roman" w:cs="Times New Roman"/>
          <w:b/>
          <w:bCs/>
          <w:color w:val="auto"/>
        </w:rPr>
        <w:t xml:space="preserve"> 2: </w:t>
      </w:r>
      <w:r w:rsidRPr="00C300D7">
        <w:rPr>
          <w:rFonts w:ascii="Times New Roman" w:hAnsi="Times New Roman" w:cs="Times New Roman"/>
          <w:color w:val="auto"/>
        </w:rPr>
        <w:t xml:space="preserve">To integrate and evaluate a sentence-level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sentiment analysis engine that aggregates document-level polarity, per-label confidence distributions, and color-coded visual transparency.</w:t>
      </w:r>
    </w:p>
    <w:p w14:paraId="7C0C97BA"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b/>
          <w:bCs/>
          <w:color w:val="auto"/>
        </w:rPr>
        <w:t>Obj</w:t>
      </w:r>
      <w:proofErr w:type="spellEnd"/>
      <w:r w:rsidRPr="00C300D7">
        <w:rPr>
          <w:rFonts w:ascii="Times New Roman" w:hAnsi="Times New Roman" w:cs="Times New Roman"/>
          <w:b/>
          <w:bCs/>
          <w:color w:val="auto"/>
        </w:rPr>
        <w:t xml:space="preserve"> 3: </w:t>
      </w:r>
      <w:r w:rsidRPr="00C300D7">
        <w:rPr>
          <w:rFonts w:ascii="Times New Roman" w:hAnsi="Times New Roman" w:cs="Times New Roman"/>
          <w:color w:val="auto"/>
        </w:rPr>
        <w:t xml:space="preserve">To engineer a fault-tolerant contract clause extraction and risk classification service operating across a three-tier hierarchy (Local LM Studio → Cloud </w:t>
      </w:r>
      <w:proofErr w:type="spellStart"/>
      <w:r w:rsidRPr="00C300D7">
        <w:rPr>
          <w:rFonts w:ascii="Times New Roman" w:hAnsi="Times New Roman" w:cs="Times New Roman"/>
          <w:color w:val="auto"/>
        </w:rPr>
        <w:t>Groq</w:t>
      </w:r>
      <w:proofErr w:type="spellEnd"/>
      <w:r w:rsidRPr="00C300D7">
        <w:rPr>
          <w:rFonts w:ascii="Times New Roman" w:hAnsi="Times New Roman" w:cs="Times New Roman"/>
          <w:color w:val="auto"/>
        </w:rPr>
        <w:t xml:space="preserve"> LLM → Local Rule Engine).</w:t>
      </w:r>
    </w:p>
    <w:p w14:paraId="0A25C39E"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b/>
          <w:bCs/>
          <w:color w:val="auto"/>
        </w:rPr>
        <w:t>Obj</w:t>
      </w:r>
      <w:proofErr w:type="spellEnd"/>
      <w:r w:rsidRPr="00C300D7">
        <w:rPr>
          <w:rFonts w:ascii="Times New Roman" w:hAnsi="Times New Roman" w:cs="Times New Roman"/>
          <w:b/>
          <w:bCs/>
          <w:color w:val="auto"/>
        </w:rPr>
        <w:t xml:space="preserve"> 4: </w:t>
      </w:r>
      <w:r w:rsidRPr="00C300D7">
        <w:rPr>
          <w:rFonts w:ascii="Times New Roman" w:hAnsi="Times New Roman" w:cs="Times New Roman"/>
          <w:color w:val="auto"/>
        </w:rPr>
        <w:t>To develop a document-grounded Retrieval-Augmented Generation (RAG) assistant that indexes parsed document passages and answers contextual queries with source citations.</w:t>
      </w:r>
    </w:p>
    <w:p w14:paraId="65CE406A"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b/>
          <w:bCs/>
          <w:color w:val="auto"/>
        </w:rPr>
        <w:t>Obj</w:t>
      </w:r>
      <w:proofErr w:type="spellEnd"/>
      <w:r w:rsidRPr="00C300D7">
        <w:rPr>
          <w:rFonts w:ascii="Times New Roman" w:hAnsi="Times New Roman" w:cs="Times New Roman"/>
          <w:b/>
          <w:bCs/>
          <w:color w:val="auto"/>
        </w:rPr>
        <w:t xml:space="preserve"> 5: </w:t>
      </w:r>
      <w:r w:rsidRPr="00C300D7">
        <w:rPr>
          <w:rFonts w:ascii="Times New Roman" w:hAnsi="Times New Roman" w:cs="Times New Roman"/>
          <w:color w:val="auto"/>
        </w:rPr>
        <w:t>To construct a modern, authenticated React/Vite dashboard featuring data visualization, interactive clause inspection, and multi-format export capabilities.</w:t>
      </w:r>
    </w:p>
    <w:p w14:paraId="348A0F4E"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1.4 Scope and System Boundaries</w:t>
      </w:r>
    </w:p>
    <w:p w14:paraId="2F79F349"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The scope of this Phase-2 implementation encompasses document ingestion (PDF, DOCX, TXT, HTML), multi-service NLP feature extraction, in-memory RAG querying, and client-side visualization. While Docker Compose provisions PostgreSQL and Azurite blob storage for future state persistence, runtime document state in the current release is held in memory per session. Real-time streaming ingestion and multi-tenant enterprise access control are planned for subsequent production hardening.</w:t>
      </w:r>
    </w:p>
    <w:p w14:paraId="74770A16"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t>2. Literature Survey and Theoretical Background</w:t>
      </w:r>
    </w:p>
    <w:p w14:paraId="15CAF4A4"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To establish a sound methodological foundation, a comprehensive literature survey of fifteen peer-reviewed papers (2023-2026) published across IEEE, Springer, Elsevier, ACM, and MDPI was conducted during Review 1. The literature spans three core technical pillars: (1) Financial Named Entity Recognition, (2) Financial Sentiment Classification via Transformers, and (3) Contract Clause Extraction and Retrieval-Augmented Generation. Table 1 summarizes the findings, architectures, attained metrics, and identified gaps across these foundational works.</w:t>
      </w:r>
    </w:p>
    <w:p w14:paraId="2617FACA"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2.1 Comparative Literature Matrix</w:t>
      </w:r>
    </w:p>
    <w:tbl>
      <w:tblPr>
        <w:tblW w:w="9400" w:type="dxa"/>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000" w:firstRow="0" w:lastRow="0" w:firstColumn="0" w:lastColumn="0" w:noHBand="0" w:noVBand="0"/>
      </w:tblPr>
      <w:tblGrid>
        <w:gridCol w:w="1328"/>
        <w:gridCol w:w="1576"/>
        <w:gridCol w:w="1745"/>
        <w:gridCol w:w="1314"/>
        <w:gridCol w:w="1558"/>
        <w:gridCol w:w="1879"/>
      </w:tblGrid>
      <w:tr w:rsidR="007705B8" w:rsidRPr="00C300D7" w14:paraId="6640080B" w14:textId="77777777" w:rsidTr="00C300D7">
        <w:trPr>
          <w:tblHeader/>
        </w:trPr>
        <w:tc>
          <w:tcPr>
            <w:tcW w:w="1400" w:type="dxa"/>
            <w:shd w:val="clear" w:color="auto" w:fill="FFFFFF" w:themeFill="background1"/>
            <w:tcMar>
              <w:top w:w="100" w:type="dxa"/>
              <w:left w:w="140" w:type="dxa"/>
              <w:bottom w:w="100" w:type="dxa"/>
              <w:right w:w="140" w:type="dxa"/>
            </w:tcMar>
          </w:tcPr>
          <w:p w14:paraId="00FCEE9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Ref / Paper</w:t>
            </w:r>
          </w:p>
        </w:tc>
        <w:tc>
          <w:tcPr>
            <w:tcW w:w="1600" w:type="dxa"/>
            <w:shd w:val="clear" w:color="auto" w:fill="FFFFFF" w:themeFill="background1"/>
            <w:tcMar>
              <w:top w:w="100" w:type="dxa"/>
              <w:left w:w="140" w:type="dxa"/>
              <w:bottom w:w="100" w:type="dxa"/>
              <w:right w:w="140" w:type="dxa"/>
            </w:tcMar>
          </w:tcPr>
          <w:p w14:paraId="025A4DE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Problem Addressed</w:t>
            </w:r>
          </w:p>
        </w:tc>
        <w:tc>
          <w:tcPr>
            <w:tcW w:w="1800" w:type="dxa"/>
            <w:shd w:val="clear" w:color="auto" w:fill="FFFFFF" w:themeFill="background1"/>
            <w:tcMar>
              <w:top w:w="100" w:type="dxa"/>
              <w:left w:w="140" w:type="dxa"/>
              <w:bottom w:w="100" w:type="dxa"/>
              <w:right w:w="140" w:type="dxa"/>
            </w:tcMar>
          </w:tcPr>
          <w:p w14:paraId="5D6B8D74"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Methodology / Models</w:t>
            </w:r>
          </w:p>
        </w:tc>
        <w:tc>
          <w:tcPr>
            <w:tcW w:w="1100" w:type="dxa"/>
            <w:shd w:val="clear" w:color="auto" w:fill="FFFFFF" w:themeFill="background1"/>
            <w:tcMar>
              <w:top w:w="100" w:type="dxa"/>
              <w:left w:w="140" w:type="dxa"/>
              <w:bottom w:w="100" w:type="dxa"/>
              <w:right w:w="140" w:type="dxa"/>
            </w:tcMar>
          </w:tcPr>
          <w:p w14:paraId="021E8E1F"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Metrics</w:t>
            </w:r>
          </w:p>
        </w:tc>
        <w:tc>
          <w:tcPr>
            <w:tcW w:w="1600" w:type="dxa"/>
            <w:shd w:val="clear" w:color="auto" w:fill="FFFFFF" w:themeFill="background1"/>
            <w:tcMar>
              <w:top w:w="100" w:type="dxa"/>
              <w:left w:w="140" w:type="dxa"/>
              <w:bottom w:w="100" w:type="dxa"/>
              <w:right w:w="140" w:type="dxa"/>
            </w:tcMar>
          </w:tcPr>
          <w:p w14:paraId="693EE08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Attained Score</w:t>
            </w:r>
          </w:p>
        </w:tc>
        <w:tc>
          <w:tcPr>
            <w:tcW w:w="1900" w:type="dxa"/>
            <w:shd w:val="clear" w:color="auto" w:fill="FFFFFF" w:themeFill="background1"/>
            <w:tcMar>
              <w:top w:w="100" w:type="dxa"/>
              <w:left w:w="140" w:type="dxa"/>
              <w:bottom w:w="100" w:type="dxa"/>
              <w:right w:w="140" w:type="dxa"/>
            </w:tcMar>
          </w:tcPr>
          <w:p w14:paraId="2C3772E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Identified Gap / Limitation</w:t>
            </w:r>
          </w:p>
        </w:tc>
      </w:tr>
      <w:tr w:rsidR="007705B8" w:rsidRPr="00C300D7" w14:paraId="17AF8FCF" w14:textId="77777777" w:rsidTr="00C300D7">
        <w:tc>
          <w:tcPr>
            <w:tcW w:w="1400" w:type="dxa"/>
            <w:tcMar>
              <w:top w:w="100" w:type="dxa"/>
              <w:left w:w="140" w:type="dxa"/>
              <w:bottom w:w="100" w:type="dxa"/>
              <w:right w:w="140" w:type="dxa"/>
            </w:tcMar>
          </w:tcPr>
          <w:p w14:paraId="41817F1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[1] Zhang &amp; Zhang (2023)</w:t>
            </w:r>
          </w:p>
        </w:tc>
        <w:tc>
          <w:tcPr>
            <w:tcW w:w="1600" w:type="dxa"/>
            <w:tcMar>
              <w:top w:w="100" w:type="dxa"/>
              <w:left w:w="140" w:type="dxa"/>
              <w:bottom w:w="100" w:type="dxa"/>
              <w:right w:w="140" w:type="dxa"/>
            </w:tcMar>
          </w:tcPr>
          <w:p w14:paraId="1FF4665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Nested financial entities in complex sentences</w:t>
            </w:r>
          </w:p>
        </w:tc>
        <w:tc>
          <w:tcPr>
            <w:tcW w:w="1800" w:type="dxa"/>
            <w:tcMar>
              <w:top w:w="100" w:type="dxa"/>
              <w:left w:w="140" w:type="dxa"/>
              <w:bottom w:w="100" w:type="dxa"/>
              <w:right w:w="140" w:type="dxa"/>
            </w:tcMar>
          </w:tcPr>
          <w:p w14:paraId="7E064C0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BERT encoder reformulated as Machine Reading Comprehension (MRC)</w:t>
            </w:r>
          </w:p>
        </w:tc>
        <w:tc>
          <w:tcPr>
            <w:tcW w:w="1100" w:type="dxa"/>
            <w:tcMar>
              <w:top w:w="100" w:type="dxa"/>
              <w:left w:w="140" w:type="dxa"/>
              <w:bottom w:w="100" w:type="dxa"/>
              <w:right w:w="140" w:type="dxa"/>
            </w:tcMar>
          </w:tcPr>
          <w:p w14:paraId="529E91A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 R, F1</w:t>
            </w:r>
          </w:p>
        </w:tc>
        <w:tc>
          <w:tcPr>
            <w:tcW w:w="1600" w:type="dxa"/>
            <w:shd w:val="clear" w:color="auto" w:fill="FFFFFF" w:themeFill="background1"/>
            <w:tcMar>
              <w:top w:w="100" w:type="dxa"/>
              <w:left w:w="140" w:type="dxa"/>
              <w:bottom w:w="100" w:type="dxa"/>
              <w:right w:w="140" w:type="dxa"/>
            </w:tcMar>
          </w:tcPr>
          <w:p w14:paraId="2845FAF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Outperformed BERT-CRF baselines on nested spans</w:t>
            </w:r>
          </w:p>
        </w:tc>
        <w:tc>
          <w:tcPr>
            <w:tcW w:w="1900" w:type="dxa"/>
            <w:tcMar>
              <w:top w:w="100" w:type="dxa"/>
              <w:left w:w="140" w:type="dxa"/>
              <w:bottom w:w="100" w:type="dxa"/>
              <w:right w:w="140" w:type="dxa"/>
            </w:tcMar>
          </w:tcPr>
          <w:p w14:paraId="1FB902D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Inference latency overhead; struggles with rare/OOV ticker symbols.</w:t>
            </w:r>
          </w:p>
        </w:tc>
      </w:tr>
      <w:tr w:rsidR="007705B8" w:rsidRPr="00C300D7" w14:paraId="578CB524" w14:textId="77777777" w:rsidTr="00C300D7">
        <w:tc>
          <w:tcPr>
            <w:tcW w:w="1400" w:type="dxa"/>
            <w:shd w:val="clear" w:color="auto" w:fill="F8FAFC"/>
            <w:tcMar>
              <w:top w:w="100" w:type="dxa"/>
              <w:left w:w="140" w:type="dxa"/>
              <w:bottom w:w="100" w:type="dxa"/>
              <w:right w:w="140" w:type="dxa"/>
            </w:tcMar>
          </w:tcPr>
          <w:p w14:paraId="452CC28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lastRenderedPageBreak/>
              <w:t>[2] Kaur et al. (2024)</w:t>
            </w:r>
          </w:p>
        </w:tc>
        <w:tc>
          <w:tcPr>
            <w:tcW w:w="1600" w:type="dxa"/>
            <w:shd w:val="clear" w:color="auto" w:fill="F8FAFC"/>
            <w:tcMar>
              <w:top w:w="100" w:type="dxa"/>
              <w:left w:w="140" w:type="dxa"/>
              <w:bottom w:w="100" w:type="dxa"/>
              <w:right w:w="140" w:type="dxa"/>
            </w:tcMar>
          </w:tcPr>
          <w:p w14:paraId="612F961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Domain adaptation in supervised NER pipelines</w:t>
            </w:r>
          </w:p>
        </w:tc>
        <w:tc>
          <w:tcPr>
            <w:tcW w:w="1800" w:type="dxa"/>
            <w:shd w:val="clear" w:color="auto" w:fill="F8FAFC"/>
            <w:tcMar>
              <w:top w:w="100" w:type="dxa"/>
              <w:left w:w="140" w:type="dxa"/>
              <w:bottom w:w="100" w:type="dxa"/>
              <w:right w:w="140" w:type="dxa"/>
            </w:tcMar>
          </w:tcPr>
          <w:p w14:paraId="799D395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Fine-tuned BERT transformer with token-classification head</w:t>
            </w:r>
          </w:p>
        </w:tc>
        <w:tc>
          <w:tcPr>
            <w:tcW w:w="1100" w:type="dxa"/>
            <w:shd w:val="clear" w:color="auto" w:fill="F8FAFC"/>
            <w:tcMar>
              <w:top w:w="100" w:type="dxa"/>
              <w:left w:w="140" w:type="dxa"/>
              <w:bottom w:w="100" w:type="dxa"/>
              <w:right w:w="140" w:type="dxa"/>
            </w:tcMar>
          </w:tcPr>
          <w:p w14:paraId="1FAE4BD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 R, F1</w:t>
            </w:r>
          </w:p>
        </w:tc>
        <w:tc>
          <w:tcPr>
            <w:tcW w:w="1600" w:type="dxa"/>
            <w:shd w:val="clear" w:color="auto" w:fill="FFFFFF" w:themeFill="background1"/>
            <w:tcMar>
              <w:top w:w="100" w:type="dxa"/>
              <w:left w:w="140" w:type="dxa"/>
              <w:bottom w:w="100" w:type="dxa"/>
              <w:right w:w="140" w:type="dxa"/>
            </w:tcMar>
          </w:tcPr>
          <w:p w14:paraId="7C9FA98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Superior P/R over CRF and dictionary baselines</w:t>
            </w:r>
          </w:p>
        </w:tc>
        <w:tc>
          <w:tcPr>
            <w:tcW w:w="1900" w:type="dxa"/>
            <w:shd w:val="clear" w:color="auto" w:fill="F8FAFC"/>
            <w:tcMar>
              <w:top w:w="100" w:type="dxa"/>
              <w:left w:w="140" w:type="dxa"/>
              <w:bottom w:w="100" w:type="dxa"/>
              <w:right w:w="140" w:type="dxa"/>
            </w:tcMar>
          </w:tcPr>
          <w:p w14:paraId="1438868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Tested only on generic corpora; lacks financial notation awareness.</w:t>
            </w:r>
          </w:p>
        </w:tc>
      </w:tr>
      <w:tr w:rsidR="007705B8" w:rsidRPr="00C300D7" w14:paraId="5E4AEC83" w14:textId="77777777" w:rsidTr="00C300D7">
        <w:tc>
          <w:tcPr>
            <w:tcW w:w="1400" w:type="dxa"/>
            <w:tcMar>
              <w:top w:w="100" w:type="dxa"/>
              <w:left w:w="140" w:type="dxa"/>
              <w:bottom w:w="100" w:type="dxa"/>
              <w:right w:w="140" w:type="dxa"/>
            </w:tcMar>
          </w:tcPr>
          <w:p w14:paraId="4C0DFB5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[3] </w:t>
            </w:r>
            <w:proofErr w:type="spellStart"/>
            <w:r w:rsidRPr="00C300D7">
              <w:rPr>
                <w:rFonts w:ascii="Times New Roman" w:hAnsi="Times New Roman" w:cs="Times New Roman"/>
                <w:color w:val="auto"/>
                <w:sz w:val="19"/>
                <w:szCs w:val="19"/>
              </w:rPr>
              <w:t>Aejas</w:t>
            </w:r>
            <w:proofErr w:type="spellEnd"/>
            <w:r w:rsidRPr="00C300D7">
              <w:rPr>
                <w:rFonts w:ascii="Times New Roman" w:hAnsi="Times New Roman" w:cs="Times New Roman"/>
                <w:color w:val="auto"/>
                <w:sz w:val="19"/>
                <w:szCs w:val="19"/>
              </w:rPr>
              <w:t xml:space="preserve"> et al. (2024)</w:t>
            </w:r>
          </w:p>
        </w:tc>
        <w:tc>
          <w:tcPr>
            <w:tcW w:w="1600" w:type="dxa"/>
            <w:tcMar>
              <w:top w:w="100" w:type="dxa"/>
              <w:left w:w="140" w:type="dxa"/>
              <w:bottom w:w="100" w:type="dxa"/>
              <w:right w:w="140" w:type="dxa"/>
            </w:tcMar>
          </w:tcPr>
          <w:p w14:paraId="4F7053E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Lack of standardized legal/financial NER benchmark</w:t>
            </w:r>
          </w:p>
        </w:tc>
        <w:tc>
          <w:tcPr>
            <w:tcW w:w="1800" w:type="dxa"/>
            <w:tcMar>
              <w:top w:w="100" w:type="dxa"/>
              <w:left w:w="140" w:type="dxa"/>
              <w:bottom w:w="100" w:type="dxa"/>
              <w:right w:w="140" w:type="dxa"/>
            </w:tcMar>
          </w:tcPr>
          <w:p w14:paraId="2350C00F"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BERT-family transformers benchmarked against </w:t>
            </w:r>
            <w:proofErr w:type="spellStart"/>
            <w:r w:rsidRPr="00C300D7">
              <w:rPr>
                <w:rFonts w:ascii="Times New Roman" w:hAnsi="Times New Roman" w:cs="Times New Roman"/>
                <w:color w:val="auto"/>
                <w:sz w:val="19"/>
                <w:szCs w:val="19"/>
              </w:rPr>
              <w:t>BiLSTM</w:t>
            </w:r>
            <w:proofErr w:type="spellEnd"/>
            <w:r w:rsidRPr="00C300D7">
              <w:rPr>
                <w:rFonts w:ascii="Times New Roman" w:hAnsi="Times New Roman" w:cs="Times New Roman"/>
                <w:color w:val="auto"/>
                <w:sz w:val="19"/>
                <w:szCs w:val="19"/>
              </w:rPr>
              <w:t>-CRF</w:t>
            </w:r>
          </w:p>
        </w:tc>
        <w:tc>
          <w:tcPr>
            <w:tcW w:w="1100" w:type="dxa"/>
            <w:tcMar>
              <w:top w:w="100" w:type="dxa"/>
              <w:left w:w="140" w:type="dxa"/>
              <w:bottom w:w="100" w:type="dxa"/>
              <w:right w:w="140" w:type="dxa"/>
            </w:tcMar>
          </w:tcPr>
          <w:p w14:paraId="6BE4B6D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Entity F1, P, R</w:t>
            </w:r>
          </w:p>
        </w:tc>
        <w:tc>
          <w:tcPr>
            <w:tcW w:w="1600" w:type="dxa"/>
            <w:shd w:val="clear" w:color="auto" w:fill="FFFFFF" w:themeFill="background1"/>
            <w:tcMar>
              <w:top w:w="100" w:type="dxa"/>
              <w:left w:w="140" w:type="dxa"/>
              <w:bottom w:w="100" w:type="dxa"/>
              <w:right w:w="140" w:type="dxa"/>
            </w:tcMar>
          </w:tcPr>
          <w:p w14:paraId="4046790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Transformer models attained strongest overall F1</w:t>
            </w:r>
          </w:p>
        </w:tc>
        <w:tc>
          <w:tcPr>
            <w:tcW w:w="1900" w:type="dxa"/>
            <w:tcMar>
              <w:top w:w="100" w:type="dxa"/>
              <w:left w:w="140" w:type="dxa"/>
              <w:bottom w:w="100" w:type="dxa"/>
              <w:right w:w="140" w:type="dxa"/>
            </w:tcMar>
          </w:tcPr>
          <w:p w14:paraId="6A9E846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Benchmark confined to formal contracts; lacks informal financial text.</w:t>
            </w:r>
          </w:p>
        </w:tc>
      </w:tr>
      <w:tr w:rsidR="007705B8" w:rsidRPr="00C300D7" w14:paraId="02279BF7" w14:textId="77777777" w:rsidTr="00C300D7">
        <w:tc>
          <w:tcPr>
            <w:tcW w:w="1400" w:type="dxa"/>
            <w:shd w:val="clear" w:color="auto" w:fill="F8FAFC"/>
            <w:tcMar>
              <w:top w:w="100" w:type="dxa"/>
              <w:left w:w="140" w:type="dxa"/>
              <w:bottom w:w="100" w:type="dxa"/>
              <w:right w:w="140" w:type="dxa"/>
            </w:tcMar>
          </w:tcPr>
          <w:p w14:paraId="7B60502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[4] Abilio et al. (2024)</w:t>
            </w:r>
          </w:p>
        </w:tc>
        <w:tc>
          <w:tcPr>
            <w:tcW w:w="1600" w:type="dxa"/>
            <w:shd w:val="clear" w:color="auto" w:fill="F8FAFC"/>
            <w:tcMar>
              <w:top w:w="100" w:type="dxa"/>
              <w:left w:w="140" w:type="dxa"/>
              <w:bottom w:w="100" w:type="dxa"/>
              <w:right w:w="140" w:type="dxa"/>
            </w:tcMar>
          </w:tcPr>
          <w:p w14:paraId="38EFDDF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Non-English earnings call transcripts (</w:t>
            </w:r>
            <w:proofErr w:type="spellStart"/>
            <w:r w:rsidRPr="00C300D7">
              <w:rPr>
                <w:rFonts w:ascii="Times New Roman" w:hAnsi="Times New Roman" w:cs="Times New Roman"/>
                <w:color w:val="auto"/>
                <w:sz w:val="19"/>
                <w:szCs w:val="19"/>
              </w:rPr>
              <w:t>BraFiNER</w:t>
            </w:r>
            <w:proofErr w:type="spellEnd"/>
            <w:r w:rsidRPr="00C300D7">
              <w:rPr>
                <w:rFonts w:ascii="Times New Roman" w:hAnsi="Times New Roman" w:cs="Times New Roman"/>
                <w:color w:val="auto"/>
                <w:sz w:val="19"/>
                <w:szCs w:val="19"/>
              </w:rPr>
              <w:t>)</w:t>
            </w:r>
          </w:p>
        </w:tc>
        <w:tc>
          <w:tcPr>
            <w:tcW w:w="1800" w:type="dxa"/>
            <w:shd w:val="clear" w:color="auto" w:fill="F8FAFC"/>
            <w:tcMar>
              <w:top w:w="100" w:type="dxa"/>
              <w:left w:w="140" w:type="dxa"/>
              <w:bottom w:w="100" w:type="dxa"/>
              <w:right w:w="140" w:type="dxa"/>
            </w:tcMar>
          </w:tcPr>
          <w:p w14:paraId="6522C828"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BERTimbau</w:t>
            </w:r>
            <w:proofErr w:type="spellEnd"/>
            <w:r w:rsidRPr="00C300D7">
              <w:rPr>
                <w:rFonts w:ascii="Times New Roman" w:hAnsi="Times New Roman" w:cs="Times New Roman"/>
                <w:color w:val="auto"/>
                <w:sz w:val="19"/>
                <w:szCs w:val="19"/>
              </w:rPr>
              <w:t xml:space="preserve">, </w:t>
            </w:r>
            <w:proofErr w:type="spellStart"/>
            <w:r w:rsidRPr="00C300D7">
              <w:rPr>
                <w:rFonts w:ascii="Times New Roman" w:hAnsi="Times New Roman" w:cs="Times New Roman"/>
                <w:color w:val="auto"/>
                <w:sz w:val="19"/>
                <w:szCs w:val="19"/>
              </w:rPr>
              <w:t>mBERT</w:t>
            </w:r>
            <w:proofErr w:type="spellEnd"/>
            <w:r w:rsidRPr="00C300D7">
              <w:rPr>
                <w:rFonts w:ascii="Times New Roman" w:hAnsi="Times New Roman" w:cs="Times New Roman"/>
                <w:color w:val="auto"/>
                <w:sz w:val="19"/>
                <w:szCs w:val="19"/>
              </w:rPr>
              <w:t xml:space="preserve"> vs. PTT5, mT5 encoder-decoder</w:t>
            </w:r>
          </w:p>
        </w:tc>
        <w:tc>
          <w:tcPr>
            <w:tcW w:w="1100" w:type="dxa"/>
            <w:shd w:val="clear" w:color="auto" w:fill="F8FAFC"/>
            <w:tcMar>
              <w:top w:w="100" w:type="dxa"/>
              <w:left w:w="140" w:type="dxa"/>
              <w:bottom w:w="100" w:type="dxa"/>
              <w:right w:w="140" w:type="dxa"/>
            </w:tcMar>
          </w:tcPr>
          <w:p w14:paraId="0265A3A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Macro F1, Error rate</w:t>
            </w:r>
          </w:p>
        </w:tc>
        <w:tc>
          <w:tcPr>
            <w:tcW w:w="1600" w:type="dxa"/>
            <w:shd w:val="clear" w:color="auto" w:fill="FFFFFF" w:themeFill="background1"/>
            <w:tcMar>
              <w:top w:w="100" w:type="dxa"/>
              <w:left w:w="140" w:type="dxa"/>
              <w:bottom w:w="100" w:type="dxa"/>
              <w:right w:w="140" w:type="dxa"/>
            </w:tcMar>
          </w:tcPr>
          <w:p w14:paraId="1044714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Macro F1 reached 98.33% - 98.99% (BERT-family)</w:t>
            </w:r>
          </w:p>
        </w:tc>
        <w:tc>
          <w:tcPr>
            <w:tcW w:w="1900" w:type="dxa"/>
            <w:shd w:val="clear" w:color="auto" w:fill="F8FAFC"/>
            <w:tcMar>
              <w:top w:w="100" w:type="dxa"/>
              <w:left w:w="140" w:type="dxa"/>
              <w:bottom w:w="100" w:type="dxa"/>
              <w:right w:w="140" w:type="dxa"/>
            </w:tcMar>
          </w:tcPr>
          <w:p w14:paraId="2CBA4CF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Generative T5 models altered numeric/percentage values during generation.</w:t>
            </w:r>
          </w:p>
        </w:tc>
      </w:tr>
      <w:tr w:rsidR="007705B8" w:rsidRPr="00C300D7" w14:paraId="6F4726C5" w14:textId="77777777" w:rsidTr="00C300D7">
        <w:tc>
          <w:tcPr>
            <w:tcW w:w="1400" w:type="dxa"/>
            <w:tcMar>
              <w:top w:w="100" w:type="dxa"/>
              <w:left w:w="140" w:type="dxa"/>
              <w:bottom w:w="100" w:type="dxa"/>
              <w:right w:w="140" w:type="dxa"/>
            </w:tcMar>
          </w:tcPr>
          <w:p w14:paraId="44970C5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[5] </w:t>
            </w:r>
            <w:proofErr w:type="spellStart"/>
            <w:r w:rsidRPr="00C300D7">
              <w:rPr>
                <w:rFonts w:ascii="Times New Roman" w:hAnsi="Times New Roman" w:cs="Times New Roman"/>
                <w:color w:val="auto"/>
                <w:sz w:val="19"/>
                <w:szCs w:val="19"/>
              </w:rPr>
              <w:t>IPerFEX</w:t>
            </w:r>
            <w:proofErr w:type="spellEnd"/>
            <w:r w:rsidRPr="00C300D7">
              <w:rPr>
                <w:rFonts w:ascii="Times New Roman" w:hAnsi="Times New Roman" w:cs="Times New Roman"/>
                <w:color w:val="auto"/>
                <w:sz w:val="19"/>
                <w:szCs w:val="19"/>
              </w:rPr>
              <w:t xml:space="preserve"> (2024)</w:t>
            </w:r>
          </w:p>
        </w:tc>
        <w:tc>
          <w:tcPr>
            <w:tcW w:w="1600" w:type="dxa"/>
            <w:tcMar>
              <w:top w:w="100" w:type="dxa"/>
              <w:left w:w="140" w:type="dxa"/>
              <w:bottom w:w="100" w:type="dxa"/>
              <w:right w:w="140" w:type="dxa"/>
            </w:tcMar>
          </w:tcPr>
          <w:p w14:paraId="71C1A65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Personal finance entity extraction from informal text</w:t>
            </w:r>
          </w:p>
        </w:tc>
        <w:tc>
          <w:tcPr>
            <w:tcW w:w="1800" w:type="dxa"/>
            <w:tcMar>
              <w:top w:w="100" w:type="dxa"/>
              <w:left w:w="140" w:type="dxa"/>
              <w:bottom w:w="100" w:type="dxa"/>
              <w:right w:w="140" w:type="dxa"/>
            </w:tcMar>
          </w:tcPr>
          <w:p w14:paraId="2D168F87"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IndoBERT</w:t>
            </w:r>
            <w:proofErr w:type="spellEnd"/>
            <w:r w:rsidRPr="00C300D7">
              <w:rPr>
                <w:rFonts w:ascii="Times New Roman" w:hAnsi="Times New Roman" w:cs="Times New Roman"/>
                <w:color w:val="auto"/>
                <w:sz w:val="19"/>
                <w:szCs w:val="19"/>
              </w:rPr>
              <w:t xml:space="preserve"> embeddings + </w:t>
            </w:r>
            <w:proofErr w:type="spellStart"/>
            <w:r w:rsidRPr="00C300D7">
              <w:rPr>
                <w:rFonts w:ascii="Times New Roman" w:hAnsi="Times New Roman" w:cs="Times New Roman"/>
                <w:color w:val="auto"/>
                <w:sz w:val="19"/>
                <w:szCs w:val="19"/>
              </w:rPr>
              <w:t>BiGRU</w:t>
            </w:r>
            <w:proofErr w:type="spellEnd"/>
            <w:r w:rsidRPr="00C300D7">
              <w:rPr>
                <w:rFonts w:ascii="Times New Roman" w:hAnsi="Times New Roman" w:cs="Times New Roman"/>
                <w:color w:val="auto"/>
                <w:sz w:val="19"/>
                <w:szCs w:val="19"/>
              </w:rPr>
              <w:t xml:space="preserve"> + CRF layer</w:t>
            </w:r>
          </w:p>
        </w:tc>
        <w:tc>
          <w:tcPr>
            <w:tcW w:w="1100" w:type="dxa"/>
            <w:tcMar>
              <w:top w:w="100" w:type="dxa"/>
              <w:left w:w="140" w:type="dxa"/>
              <w:bottom w:w="100" w:type="dxa"/>
              <w:right w:w="140" w:type="dxa"/>
            </w:tcMar>
          </w:tcPr>
          <w:p w14:paraId="558CEBB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F1, Latency</w:t>
            </w:r>
          </w:p>
        </w:tc>
        <w:tc>
          <w:tcPr>
            <w:tcW w:w="1600" w:type="dxa"/>
            <w:shd w:val="clear" w:color="auto" w:fill="FFFFFF" w:themeFill="background1"/>
            <w:tcMar>
              <w:top w:w="100" w:type="dxa"/>
              <w:left w:w="140" w:type="dxa"/>
              <w:bottom w:w="100" w:type="dxa"/>
              <w:right w:w="140" w:type="dxa"/>
            </w:tcMar>
          </w:tcPr>
          <w:p w14:paraId="1A3B6B6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F1 0.73; ~14% faster than </w:t>
            </w:r>
            <w:proofErr w:type="spellStart"/>
            <w:r w:rsidRPr="00C300D7">
              <w:rPr>
                <w:rFonts w:ascii="Times New Roman" w:hAnsi="Times New Roman" w:cs="Times New Roman"/>
                <w:color w:val="auto"/>
                <w:sz w:val="19"/>
                <w:szCs w:val="19"/>
              </w:rPr>
              <w:t>BiLSTM</w:t>
            </w:r>
            <w:proofErr w:type="spellEnd"/>
            <w:r w:rsidRPr="00C300D7">
              <w:rPr>
                <w:rFonts w:ascii="Times New Roman" w:hAnsi="Times New Roman" w:cs="Times New Roman"/>
                <w:color w:val="auto"/>
                <w:sz w:val="19"/>
                <w:szCs w:val="19"/>
              </w:rPr>
              <w:t>-CRF baseline</w:t>
            </w:r>
          </w:p>
        </w:tc>
        <w:tc>
          <w:tcPr>
            <w:tcW w:w="1900" w:type="dxa"/>
            <w:tcMar>
              <w:top w:w="100" w:type="dxa"/>
              <w:left w:w="140" w:type="dxa"/>
              <w:bottom w:w="100" w:type="dxa"/>
              <w:right w:w="140" w:type="dxa"/>
            </w:tcMar>
          </w:tcPr>
          <w:p w14:paraId="7494106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Numeric entity extraction weak on unnormalized currency phrases.</w:t>
            </w:r>
          </w:p>
        </w:tc>
      </w:tr>
      <w:tr w:rsidR="007705B8" w:rsidRPr="00C300D7" w14:paraId="43229521" w14:textId="77777777" w:rsidTr="00C300D7">
        <w:tc>
          <w:tcPr>
            <w:tcW w:w="1400" w:type="dxa"/>
            <w:shd w:val="clear" w:color="auto" w:fill="F8FAFC"/>
            <w:tcMar>
              <w:top w:w="100" w:type="dxa"/>
              <w:left w:w="140" w:type="dxa"/>
              <w:bottom w:w="100" w:type="dxa"/>
              <w:right w:w="140" w:type="dxa"/>
            </w:tcMar>
          </w:tcPr>
          <w:p w14:paraId="17A7597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[6] </w:t>
            </w:r>
            <w:proofErr w:type="spellStart"/>
            <w:r w:rsidRPr="00C300D7">
              <w:rPr>
                <w:rFonts w:ascii="Times New Roman" w:hAnsi="Times New Roman" w:cs="Times New Roman"/>
                <w:color w:val="auto"/>
                <w:sz w:val="19"/>
                <w:szCs w:val="19"/>
              </w:rPr>
              <w:t>Shobayo</w:t>
            </w:r>
            <w:proofErr w:type="spellEnd"/>
            <w:r w:rsidRPr="00C300D7">
              <w:rPr>
                <w:rFonts w:ascii="Times New Roman" w:hAnsi="Times New Roman" w:cs="Times New Roman"/>
                <w:color w:val="auto"/>
                <w:sz w:val="19"/>
                <w:szCs w:val="19"/>
              </w:rPr>
              <w:t xml:space="preserve"> et al. (2024)</w:t>
            </w:r>
          </w:p>
        </w:tc>
        <w:tc>
          <w:tcPr>
            <w:tcW w:w="1600" w:type="dxa"/>
            <w:shd w:val="clear" w:color="auto" w:fill="F8FAFC"/>
            <w:tcMar>
              <w:top w:w="100" w:type="dxa"/>
              <w:left w:w="140" w:type="dxa"/>
              <w:bottom w:w="100" w:type="dxa"/>
              <w:right w:w="140" w:type="dxa"/>
            </w:tcMar>
          </w:tcPr>
          <w:p w14:paraId="0A1FF47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Financial news sentiment for stock market prediction</w:t>
            </w:r>
          </w:p>
        </w:tc>
        <w:tc>
          <w:tcPr>
            <w:tcW w:w="1800" w:type="dxa"/>
            <w:shd w:val="clear" w:color="auto" w:fill="F8FAFC"/>
            <w:tcMar>
              <w:top w:w="100" w:type="dxa"/>
              <w:left w:w="140" w:type="dxa"/>
              <w:bottom w:w="100" w:type="dxa"/>
              <w:right w:w="140" w:type="dxa"/>
            </w:tcMar>
          </w:tcPr>
          <w:p w14:paraId="06F3131D"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vs. GPT-4 vs. Logistic Regression (</w:t>
            </w:r>
            <w:proofErr w:type="spellStart"/>
            <w:r w:rsidRPr="00C300D7">
              <w:rPr>
                <w:rFonts w:ascii="Times New Roman" w:hAnsi="Times New Roman" w:cs="Times New Roman"/>
                <w:color w:val="auto"/>
                <w:sz w:val="19"/>
                <w:szCs w:val="19"/>
              </w:rPr>
              <w:t>Optuna</w:t>
            </w:r>
            <w:proofErr w:type="spellEnd"/>
            <w:r w:rsidRPr="00C300D7">
              <w:rPr>
                <w:rFonts w:ascii="Times New Roman" w:hAnsi="Times New Roman" w:cs="Times New Roman"/>
                <w:color w:val="auto"/>
                <w:sz w:val="19"/>
                <w:szCs w:val="19"/>
              </w:rPr>
              <w:t>)</w:t>
            </w:r>
          </w:p>
        </w:tc>
        <w:tc>
          <w:tcPr>
            <w:tcW w:w="1100" w:type="dxa"/>
            <w:shd w:val="clear" w:color="auto" w:fill="F8FAFC"/>
            <w:tcMar>
              <w:top w:w="100" w:type="dxa"/>
              <w:left w:w="140" w:type="dxa"/>
              <w:bottom w:w="100" w:type="dxa"/>
              <w:right w:w="140" w:type="dxa"/>
            </w:tcMar>
          </w:tcPr>
          <w:p w14:paraId="3630FFC0"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P, R, F1, ROC</w:t>
            </w:r>
          </w:p>
        </w:tc>
        <w:tc>
          <w:tcPr>
            <w:tcW w:w="1600" w:type="dxa"/>
            <w:shd w:val="clear" w:color="auto" w:fill="FFFFFF" w:themeFill="background1"/>
            <w:tcMar>
              <w:top w:w="100" w:type="dxa"/>
              <w:left w:w="140" w:type="dxa"/>
              <w:bottom w:w="100" w:type="dxa"/>
              <w:right w:w="140" w:type="dxa"/>
            </w:tcMar>
          </w:tcPr>
          <w:p w14:paraId="10D035C8"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attained </w:t>
            </w: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xml:space="preserve"> 63.3%, F1 63.3%, ROC-AUC 65.6%</w:t>
            </w:r>
          </w:p>
        </w:tc>
        <w:tc>
          <w:tcPr>
            <w:tcW w:w="1900" w:type="dxa"/>
            <w:shd w:val="clear" w:color="auto" w:fill="F8FAFC"/>
            <w:tcMar>
              <w:top w:w="100" w:type="dxa"/>
              <w:left w:w="140" w:type="dxa"/>
              <w:bottom w:w="100" w:type="dxa"/>
              <w:right w:w="140" w:type="dxa"/>
            </w:tcMar>
          </w:tcPr>
          <w:p w14:paraId="1EABE2A5"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alone struggled with fast-moving market terminology.</w:t>
            </w:r>
          </w:p>
        </w:tc>
      </w:tr>
      <w:tr w:rsidR="007705B8" w:rsidRPr="00C300D7" w14:paraId="07903B51" w14:textId="77777777" w:rsidTr="00C300D7">
        <w:tc>
          <w:tcPr>
            <w:tcW w:w="1400" w:type="dxa"/>
            <w:tcMar>
              <w:top w:w="100" w:type="dxa"/>
              <w:left w:w="140" w:type="dxa"/>
              <w:bottom w:w="100" w:type="dxa"/>
              <w:right w:w="140" w:type="dxa"/>
            </w:tcMar>
          </w:tcPr>
          <w:p w14:paraId="20BFEDE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[7] Priya et al. (2025)</w:t>
            </w:r>
          </w:p>
        </w:tc>
        <w:tc>
          <w:tcPr>
            <w:tcW w:w="1600" w:type="dxa"/>
            <w:tcMar>
              <w:top w:w="100" w:type="dxa"/>
              <w:left w:w="140" w:type="dxa"/>
              <w:bottom w:w="100" w:type="dxa"/>
              <w:right w:w="140" w:type="dxa"/>
            </w:tcMar>
          </w:tcPr>
          <w:p w14:paraId="7E1590E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Capturing subtle sentiment dynamics in financial text</w:t>
            </w:r>
          </w:p>
        </w:tc>
        <w:tc>
          <w:tcPr>
            <w:tcW w:w="1800" w:type="dxa"/>
            <w:tcMar>
              <w:top w:w="100" w:type="dxa"/>
              <w:left w:w="140" w:type="dxa"/>
              <w:bottom w:w="100" w:type="dxa"/>
              <w:right w:w="140" w:type="dxa"/>
            </w:tcMar>
          </w:tcPr>
          <w:p w14:paraId="1C63CDCC"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vs. BERT vs. </w:t>
            </w:r>
            <w:proofErr w:type="spellStart"/>
            <w:r w:rsidRPr="00C300D7">
              <w:rPr>
                <w:rFonts w:ascii="Times New Roman" w:hAnsi="Times New Roman" w:cs="Times New Roman"/>
                <w:color w:val="auto"/>
                <w:sz w:val="19"/>
                <w:szCs w:val="19"/>
              </w:rPr>
              <w:t>DistilBERT</w:t>
            </w:r>
            <w:proofErr w:type="spellEnd"/>
            <w:r w:rsidRPr="00C300D7">
              <w:rPr>
                <w:rFonts w:ascii="Times New Roman" w:hAnsi="Times New Roman" w:cs="Times New Roman"/>
                <w:color w:val="auto"/>
                <w:sz w:val="19"/>
                <w:szCs w:val="19"/>
              </w:rPr>
              <w:t xml:space="preserve"> comparative study</w:t>
            </w:r>
          </w:p>
        </w:tc>
        <w:tc>
          <w:tcPr>
            <w:tcW w:w="1100" w:type="dxa"/>
            <w:tcMar>
              <w:top w:w="100" w:type="dxa"/>
              <w:left w:w="140" w:type="dxa"/>
              <w:bottom w:w="100" w:type="dxa"/>
              <w:right w:w="140" w:type="dxa"/>
            </w:tcMar>
          </w:tcPr>
          <w:p w14:paraId="3BDADEA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Accuracy, Nuance capture</w:t>
            </w:r>
          </w:p>
        </w:tc>
        <w:tc>
          <w:tcPr>
            <w:tcW w:w="1600" w:type="dxa"/>
            <w:shd w:val="clear" w:color="auto" w:fill="FFFFFF" w:themeFill="background1"/>
            <w:tcMar>
              <w:top w:w="100" w:type="dxa"/>
              <w:left w:w="140" w:type="dxa"/>
              <w:bottom w:w="100" w:type="dxa"/>
              <w:right w:w="140" w:type="dxa"/>
            </w:tcMar>
          </w:tcPr>
          <w:p w14:paraId="569C9AD0"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best for subtle shifts; </w:t>
            </w:r>
            <w:proofErr w:type="spellStart"/>
            <w:r w:rsidRPr="00C300D7">
              <w:rPr>
                <w:rFonts w:ascii="Times New Roman" w:hAnsi="Times New Roman" w:cs="Times New Roman"/>
                <w:color w:val="auto"/>
                <w:sz w:val="19"/>
                <w:szCs w:val="19"/>
              </w:rPr>
              <w:t>DistilBERT</w:t>
            </w:r>
            <w:proofErr w:type="spellEnd"/>
            <w:r w:rsidRPr="00C300D7">
              <w:rPr>
                <w:rFonts w:ascii="Times New Roman" w:hAnsi="Times New Roman" w:cs="Times New Roman"/>
                <w:color w:val="auto"/>
                <w:sz w:val="19"/>
                <w:szCs w:val="19"/>
              </w:rPr>
              <w:t xml:space="preserve"> best efficiency</w:t>
            </w:r>
          </w:p>
        </w:tc>
        <w:tc>
          <w:tcPr>
            <w:tcW w:w="1900" w:type="dxa"/>
            <w:tcMar>
              <w:top w:w="100" w:type="dxa"/>
              <w:left w:w="140" w:type="dxa"/>
              <w:bottom w:w="100" w:type="dxa"/>
              <w:right w:w="140" w:type="dxa"/>
            </w:tcMar>
          </w:tcPr>
          <w:p w14:paraId="50EBF7D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Accuracy-efficiency trade-off unresolved for large-scale pipelines.</w:t>
            </w:r>
          </w:p>
        </w:tc>
      </w:tr>
      <w:tr w:rsidR="007705B8" w:rsidRPr="00C300D7" w14:paraId="792CA6FC" w14:textId="77777777" w:rsidTr="00C300D7">
        <w:tc>
          <w:tcPr>
            <w:tcW w:w="1400" w:type="dxa"/>
            <w:shd w:val="clear" w:color="auto" w:fill="F8FAFC"/>
            <w:tcMar>
              <w:top w:w="100" w:type="dxa"/>
              <w:left w:w="140" w:type="dxa"/>
              <w:bottom w:w="100" w:type="dxa"/>
              <w:right w:w="140" w:type="dxa"/>
            </w:tcMar>
          </w:tcPr>
          <w:p w14:paraId="4340531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[8] </w:t>
            </w:r>
            <w:proofErr w:type="spellStart"/>
            <w:r w:rsidRPr="00C300D7">
              <w:rPr>
                <w:rFonts w:ascii="Times New Roman" w:hAnsi="Times New Roman" w:cs="Times New Roman"/>
                <w:color w:val="auto"/>
                <w:sz w:val="19"/>
                <w:szCs w:val="19"/>
              </w:rPr>
              <w:t>Zaâbi</w:t>
            </w:r>
            <w:proofErr w:type="spellEnd"/>
            <w:r w:rsidRPr="00C300D7">
              <w:rPr>
                <w:rFonts w:ascii="Times New Roman" w:hAnsi="Times New Roman" w:cs="Times New Roman"/>
                <w:color w:val="auto"/>
                <w:sz w:val="19"/>
                <w:szCs w:val="19"/>
              </w:rPr>
              <w:t xml:space="preserve"> &amp; </w:t>
            </w:r>
            <w:proofErr w:type="spellStart"/>
            <w:r w:rsidRPr="00C300D7">
              <w:rPr>
                <w:rFonts w:ascii="Times New Roman" w:hAnsi="Times New Roman" w:cs="Times New Roman"/>
                <w:color w:val="auto"/>
                <w:sz w:val="19"/>
                <w:szCs w:val="19"/>
              </w:rPr>
              <w:t>Boukhris</w:t>
            </w:r>
            <w:proofErr w:type="spellEnd"/>
            <w:r w:rsidRPr="00C300D7">
              <w:rPr>
                <w:rFonts w:ascii="Times New Roman" w:hAnsi="Times New Roman" w:cs="Times New Roman"/>
                <w:color w:val="auto"/>
                <w:sz w:val="19"/>
                <w:szCs w:val="19"/>
              </w:rPr>
              <w:t xml:space="preserve"> (2025)</w:t>
            </w:r>
          </w:p>
        </w:tc>
        <w:tc>
          <w:tcPr>
            <w:tcW w:w="1600" w:type="dxa"/>
            <w:shd w:val="clear" w:color="auto" w:fill="F8FAFC"/>
            <w:tcMar>
              <w:top w:w="100" w:type="dxa"/>
              <w:left w:w="140" w:type="dxa"/>
              <w:bottom w:w="100" w:type="dxa"/>
              <w:right w:w="140" w:type="dxa"/>
            </w:tcMar>
          </w:tcPr>
          <w:p w14:paraId="15C069D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Coarse sentiment categories miss fine-grained intensity</w:t>
            </w:r>
          </w:p>
        </w:tc>
        <w:tc>
          <w:tcPr>
            <w:tcW w:w="1800" w:type="dxa"/>
            <w:shd w:val="clear" w:color="auto" w:fill="F8FAFC"/>
            <w:tcMar>
              <w:top w:w="100" w:type="dxa"/>
              <w:left w:w="140" w:type="dxa"/>
              <w:bottom w:w="100" w:type="dxa"/>
              <w:right w:w="140" w:type="dxa"/>
            </w:tcMar>
          </w:tcPr>
          <w:p w14:paraId="11A8C70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Hybrid </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 </w:t>
            </w:r>
            <w:proofErr w:type="spellStart"/>
            <w:r w:rsidRPr="00C300D7">
              <w:rPr>
                <w:rFonts w:ascii="Times New Roman" w:hAnsi="Times New Roman" w:cs="Times New Roman"/>
                <w:color w:val="auto"/>
                <w:sz w:val="19"/>
                <w:szCs w:val="19"/>
              </w:rPr>
              <w:t>RoBERTa</w:t>
            </w:r>
            <w:proofErr w:type="spellEnd"/>
            <w:r w:rsidRPr="00C300D7">
              <w:rPr>
                <w:rFonts w:ascii="Times New Roman" w:hAnsi="Times New Roman" w:cs="Times New Roman"/>
                <w:color w:val="auto"/>
                <w:sz w:val="19"/>
                <w:szCs w:val="19"/>
              </w:rPr>
              <w:t xml:space="preserve"> ensemble classifier</w:t>
            </w:r>
          </w:p>
        </w:tc>
        <w:tc>
          <w:tcPr>
            <w:tcW w:w="1100" w:type="dxa"/>
            <w:shd w:val="clear" w:color="auto" w:fill="F8FAFC"/>
            <w:tcMar>
              <w:top w:w="100" w:type="dxa"/>
              <w:left w:w="140" w:type="dxa"/>
              <w:bottom w:w="100" w:type="dxa"/>
              <w:right w:w="140" w:type="dxa"/>
            </w:tcMar>
          </w:tcPr>
          <w:p w14:paraId="12E734C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Fine-grained F1</w:t>
            </w:r>
          </w:p>
        </w:tc>
        <w:tc>
          <w:tcPr>
            <w:tcW w:w="1600" w:type="dxa"/>
            <w:shd w:val="clear" w:color="auto" w:fill="FFFFFF" w:themeFill="background1"/>
            <w:tcMar>
              <w:top w:w="100" w:type="dxa"/>
              <w:left w:w="140" w:type="dxa"/>
              <w:bottom w:w="100" w:type="dxa"/>
              <w:right w:w="140" w:type="dxa"/>
            </w:tcMar>
          </w:tcPr>
          <w:p w14:paraId="4AE1623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Hybrid ensemble captured subtle sentiment grades</w:t>
            </w:r>
          </w:p>
        </w:tc>
        <w:tc>
          <w:tcPr>
            <w:tcW w:w="1900" w:type="dxa"/>
            <w:shd w:val="clear" w:color="auto" w:fill="F8FAFC"/>
            <w:tcMar>
              <w:top w:w="100" w:type="dxa"/>
              <w:left w:w="140" w:type="dxa"/>
              <w:bottom w:w="100" w:type="dxa"/>
              <w:right w:w="140" w:type="dxa"/>
            </w:tcMar>
          </w:tcPr>
          <w:p w14:paraId="43824F6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Significantly higher computational and training overhead.</w:t>
            </w:r>
          </w:p>
        </w:tc>
      </w:tr>
      <w:tr w:rsidR="007705B8" w:rsidRPr="00C300D7" w14:paraId="3A632ACF" w14:textId="77777777" w:rsidTr="00C300D7">
        <w:tc>
          <w:tcPr>
            <w:tcW w:w="1400" w:type="dxa"/>
            <w:tcMar>
              <w:top w:w="100" w:type="dxa"/>
              <w:left w:w="140" w:type="dxa"/>
              <w:bottom w:w="100" w:type="dxa"/>
              <w:right w:w="140" w:type="dxa"/>
            </w:tcMar>
          </w:tcPr>
          <w:p w14:paraId="410F14D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[9] </w:t>
            </w:r>
            <w:proofErr w:type="spellStart"/>
            <w:r w:rsidRPr="00C300D7">
              <w:rPr>
                <w:rFonts w:ascii="Times New Roman" w:hAnsi="Times New Roman" w:cs="Times New Roman"/>
                <w:color w:val="auto"/>
                <w:sz w:val="19"/>
                <w:szCs w:val="19"/>
              </w:rPr>
              <w:t>Kirtac</w:t>
            </w:r>
            <w:proofErr w:type="spellEnd"/>
            <w:r w:rsidRPr="00C300D7">
              <w:rPr>
                <w:rFonts w:ascii="Times New Roman" w:hAnsi="Times New Roman" w:cs="Times New Roman"/>
                <w:color w:val="auto"/>
                <w:sz w:val="19"/>
                <w:szCs w:val="19"/>
              </w:rPr>
              <w:t xml:space="preserve"> &amp; </w:t>
            </w:r>
            <w:proofErr w:type="spellStart"/>
            <w:r w:rsidRPr="00C300D7">
              <w:rPr>
                <w:rFonts w:ascii="Times New Roman" w:hAnsi="Times New Roman" w:cs="Times New Roman"/>
                <w:color w:val="auto"/>
                <w:sz w:val="19"/>
                <w:szCs w:val="19"/>
              </w:rPr>
              <w:t>Germano</w:t>
            </w:r>
            <w:proofErr w:type="spellEnd"/>
            <w:r w:rsidRPr="00C300D7">
              <w:rPr>
                <w:rFonts w:ascii="Times New Roman" w:hAnsi="Times New Roman" w:cs="Times New Roman"/>
                <w:color w:val="auto"/>
                <w:sz w:val="19"/>
                <w:szCs w:val="19"/>
              </w:rPr>
              <w:t xml:space="preserve"> (2024)</w:t>
            </w:r>
          </w:p>
        </w:tc>
        <w:tc>
          <w:tcPr>
            <w:tcW w:w="1600" w:type="dxa"/>
            <w:tcMar>
              <w:top w:w="100" w:type="dxa"/>
              <w:left w:w="140" w:type="dxa"/>
              <w:bottom w:w="100" w:type="dxa"/>
              <w:right w:w="140" w:type="dxa"/>
            </w:tcMar>
          </w:tcPr>
          <w:p w14:paraId="7A9E9F1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LLM sentiment vs. Loughran-McDonald dictionary</w:t>
            </w:r>
          </w:p>
        </w:tc>
        <w:tc>
          <w:tcPr>
            <w:tcW w:w="1800" w:type="dxa"/>
            <w:tcMar>
              <w:top w:w="100" w:type="dxa"/>
              <w:left w:w="140" w:type="dxa"/>
              <w:bottom w:w="100" w:type="dxa"/>
              <w:right w:w="140" w:type="dxa"/>
            </w:tcMar>
          </w:tcPr>
          <w:p w14:paraId="324B3224"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OPT, BERT, </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compared to LM dictionary</w:t>
            </w:r>
          </w:p>
        </w:tc>
        <w:tc>
          <w:tcPr>
            <w:tcW w:w="1100" w:type="dxa"/>
            <w:tcMar>
              <w:top w:w="100" w:type="dxa"/>
              <w:left w:w="140" w:type="dxa"/>
              <w:bottom w:w="100" w:type="dxa"/>
              <w:right w:w="140" w:type="dxa"/>
            </w:tcMar>
          </w:tcPr>
          <w:p w14:paraId="09CF6CD1"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P, R, F1, Sharpe</w:t>
            </w:r>
          </w:p>
        </w:tc>
        <w:tc>
          <w:tcPr>
            <w:tcW w:w="1600" w:type="dxa"/>
            <w:shd w:val="clear" w:color="auto" w:fill="FFFFFF" w:themeFill="background1"/>
            <w:tcMar>
              <w:top w:w="100" w:type="dxa"/>
              <w:left w:w="140" w:type="dxa"/>
              <w:bottom w:w="100" w:type="dxa"/>
              <w:right w:w="140" w:type="dxa"/>
            </w:tcMar>
          </w:tcPr>
          <w:p w14:paraId="758E4A51"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w:t>
            </w: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xml:space="preserve"> 72.2%, F1 73.1% (LM dictionary 50.1%)</w:t>
            </w:r>
          </w:p>
        </w:tc>
        <w:tc>
          <w:tcPr>
            <w:tcW w:w="1900" w:type="dxa"/>
            <w:tcMar>
              <w:top w:w="100" w:type="dxa"/>
              <w:left w:w="140" w:type="dxa"/>
              <w:bottom w:w="100" w:type="dxa"/>
              <w:right w:w="140" w:type="dxa"/>
            </w:tcMar>
          </w:tcPr>
          <w:p w14:paraId="6EC5EEB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General LLM (OPT) matched </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showing domain tuning has limits.</w:t>
            </w:r>
          </w:p>
        </w:tc>
      </w:tr>
      <w:tr w:rsidR="007705B8" w:rsidRPr="00C300D7" w14:paraId="4866E59F" w14:textId="77777777" w:rsidTr="00C300D7">
        <w:tc>
          <w:tcPr>
            <w:tcW w:w="1400" w:type="dxa"/>
            <w:shd w:val="clear" w:color="auto" w:fill="F8FAFC"/>
            <w:tcMar>
              <w:top w:w="100" w:type="dxa"/>
              <w:left w:w="140" w:type="dxa"/>
              <w:bottom w:w="100" w:type="dxa"/>
              <w:right w:w="140" w:type="dxa"/>
            </w:tcMar>
          </w:tcPr>
          <w:p w14:paraId="096E22B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[10] </w:t>
            </w:r>
            <w:proofErr w:type="spellStart"/>
            <w:r w:rsidRPr="00C300D7">
              <w:rPr>
                <w:rFonts w:ascii="Times New Roman" w:hAnsi="Times New Roman" w:cs="Times New Roman"/>
                <w:color w:val="auto"/>
                <w:sz w:val="19"/>
                <w:szCs w:val="19"/>
              </w:rPr>
              <w:t>Faccia</w:t>
            </w:r>
            <w:proofErr w:type="spellEnd"/>
            <w:r w:rsidRPr="00C300D7">
              <w:rPr>
                <w:rFonts w:ascii="Times New Roman" w:hAnsi="Times New Roman" w:cs="Times New Roman"/>
                <w:color w:val="auto"/>
                <w:sz w:val="19"/>
                <w:szCs w:val="19"/>
              </w:rPr>
              <w:t xml:space="preserve"> et al. (2024)</w:t>
            </w:r>
          </w:p>
        </w:tc>
        <w:tc>
          <w:tcPr>
            <w:tcW w:w="1600" w:type="dxa"/>
            <w:shd w:val="clear" w:color="auto" w:fill="F8FAFC"/>
            <w:tcMar>
              <w:top w:w="100" w:type="dxa"/>
              <w:left w:w="140" w:type="dxa"/>
              <w:bottom w:w="100" w:type="dxa"/>
              <w:right w:w="140" w:type="dxa"/>
            </w:tcMar>
          </w:tcPr>
          <w:p w14:paraId="61358B7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Automating accounting disclosure transparency review</w:t>
            </w:r>
          </w:p>
        </w:tc>
        <w:tc>
          <w:tcPr>
            <w:tcW w:w="1800" w:type="dxa"/>
            <w:shd w:val="clear" w:color="auto" w:fill="F8FAFC"/>
            <w:tcMar>
              <w:top w:w="100" w:type="dxa"/>
              <w:left w:w="140" w:type="dxa"/>
              <w:bottom w:w="100" w:type="dxa"/>
              <w:right w:w="140" w:type="dxa"/>
            </w:tcMar>
          </w:tcPr>
          <w:p w14:paraId="5E33F95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NLP sentiment scoring of accounting narratives</w:t>
            </w:r>
          </w:p>
        </w:tc>
        <w:tc>
          <w:tcPr>
            <w:tcW w:w="1100" w:type="dxa"/>
            <w:shd w:val="clear" w:color="auto" w:fill="F8FAFC"/>
            <w:tcMar>
              <w:top w:w="100" w:type="dxa"/>
              <w:left w:w="140" w:type="dxa"/>
              <w:bottom w:w="100" w:type="dxa"/>
              <w:right w:w="140" w:type="dxa"/>
            </w:tcMar>
          </w:tcPr>
          <w:p w14:paraId="0AF0954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Transparency score</w:t>
            </w:r>
          </w:p>
        </w:tc>
        <w:tc>
          <w:tcPr>
            <w:tcW w:w="1600" w:type="dxa"/>
            <w:shd w:val="clear" w:color="auto" w:fill="FFFFFF" w:themeFill="background1"/>
            <w:tcMar>
              <w:top w:w="100" w:type="dxa"/>
              <w:left w:w="140" w:type="dxa"/>
              <w:bottom w:w="100" w:type="dxa"/>
              <w:right w:w="140" w:type="dxa"/>
            </w:tcMar>
          </w:tcPr>
          <w:p w14:paraId="4A9ACFF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Demonstrated automated flagging of evasive disclosures</w:t>
            </w:r>
          </w:p>
        </w:tc>
        <w:tc>
          <w:tcPr>
            <w:tcW w:w="1900" w:type="dxa"/>
            <w:shd w:val="clear" w:color="auto" w:fill="F8FAFC"/>
            <w:tcMar>
              <w:top w:w="100" w:type="dxa"/>
              <w:left w:w="140" w:type="dxa"/>
              <w:bottom w:w="100" w:type="dxa"/>
              <w:right w:w="140" w:type="dxa"/>
            </w:tcMar>
          </w:tcPr>
          <w:p w14:paraId="3029A33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Qualitative evaluation; lacks standardized quantitative benchmark.</w:t>
            </w:r>
          </w:p>
        </w:tc>
      </w:tr>
      <w:tr w:rsidR="007705B8" w:rsidRPr="00C300D7" w14:paraId="0CC41299" w14:textId="77777777" w:rsidTr="00C300D7">
        <w:tc>
          <w:tcPr>
            <w:tcW w:w="1400" w:type="dxa"/>
            <w:tcMar>
              <w:top w:w="100" w:type="dxa"/>
              <w:left w:w="140" w:type="dxa"/>
              <w:bottom w:w="100" w:type="dxa"/>
              <w:right w:w="140" w:type="dxa"/>
            </w:tcMar>
          </w:tcPr>
          <w:p w14:paraId="2E83D58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[11] Darji et al. (2024)</w:t>
            </w:r>
          </w:p>
        </w:tc>
        <w:tc>
          <w:tcPr>
            <w:tcW w:w="1600" w:type="dxa"/>
            <w:tcMar>
              <w:top w:w="100" w:type="dxa"/>
              <w:left w:w="140" w:type="dxa"/>
              <w:bottom w:w="100" w:type="dxa"/>
              <w:right w:w="140" w:type="dxa"/>
            </w:tcMar>
          </w:tcPr>
          <w:p w14:paraId="12A3BB4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Hallucinations in financial risk document reasoning</w:t>
            </w:r>
          </w:p>
        </w:tc>
        <w:tc>
          <w:tcPr>
            <w:tcW w:w="1800" w:type="dxa"/>
            <w:tcMar>
              <w:top w:w="100" w:type="dxa"/>
              <w:left w:w="140" w:type="dxa"/>
              <w:bottom w:w="100" w:type="dxa"/>
              <w:right w:w="140" w:type="dxa"/>
            </w:tcMar>
          </w:tcPr>
          <w:p w14:paraId="2E53F90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Dense retriever + generative LLM (RAG pipeline)</w:t>
            </w:r>
          </w:p>
        </w:tc>
        <w:tc>
          <w:tcPr>
            <w:tcW w:w="1100" w:type="dxa"/>
            <w:tcMar>
              <w:top w:w="100" w:type="dxa"/>
              <w:left w:w="140" w:type="dxa"/>
              <w:bottom w:w="100" w:type="dxa"/>
              <w:right w:w="140" w:type="dxa"/>
            </w:tcMar>
          </w:tcPr>
          <w:p w14:paraId="6684FC1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Faithfulness, Relevance</w:t>
            </w:r>
          </w:p>
        </w:tc>
        <w:tc>
          <w:tcPr>
            <w:tcW w:w="1600" w:type="dxa"/>
            <w:shd w:val="clear" w:color="auto" w:fill="FFFFFF" w:themeFill="background1"/>
            <w:tcMar>
              <w:top w:w="100" w:type="dxa"/>
              <w:left w:w="140" w:type="dxa"/>
              <w:bottom w:w="100" w:type="dxa"/>
              <w:right w:w="140" w:type="dxa"/>
            </w:tcMar>
          </w:tcPr>
          <w:p w14:paraId="16C734C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RAG grounding substantially cut hallucinated numbers</w:t>
            </w:r>
          </w:p>
        </w:tc>
        <w:tc>
          <w:tcPr>
            <w:tcW w:w="1900" w:type="dxa"/>
            <w:tcMar>
              <w:top w:w="100" w:type="dxa"/>
              <w:left w:w="140" w:type="dxa"/>
              <w:bottom w:w="100" w:type="dxa"/>
              <w:right w:w="140" w:type="dxa"/>
            </w:tcMar>
          </w:tcPr>
          <w:p w14:paraId="734081E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Retrieval degraded on long, table-heavy SEC filings.</w:t>
            </w:r>
          </w:p>
        </w:tc>
      </w:tr>
      <w:tr w:rsidR="007705B8" w:rsidRPr="00C300D7" w14:paraId="0B6DDC6E" w14:textId="77777777" w:rsidTr="00C300D7">
        <w:tc>
          <w:tcPr>
            <w:tcW w:w="1400" w:type="dxa"/>
            <w:shd w:val="clear" w:color="auto" w:fill="F8FAFC"/>
            <w:tcMar>
              <w:top w:w="100" w:type="dxa"/>
              <w:left w:w="140" w:type="dxa"/>
              <w:bottom w:w="100" w:type="dxa"/>
              <w:right w:w="140" w:type="dxa"/>
            </w:tcMar>
          </w:tcPr>
          <w:p w14:paraId="590A3A5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lastRenderedPageBreak/>
              <w:t>[12] Sarmah et al. (2024)</w:t>
            </w:r>
          </w:p>
        </w:tc>
        <w:tc>
          <w:tcPr>
            <w:tcW w:w="1600" w:type="dxa"/>
            <w:shd w:val="clear" w:color="auto" w:fill="F8FAFC"/>
            <w:tcMar>
              <w:top w:w="100" w:type="dxa"/>
              <w:left w:w="140" w:type="dxa"/>
              <w:bottom w:w="100" w:type="dxa"/>
              <w:right w:w="140" w:type="dxa"/>
            </w:tcMar>
          </w:tcPr>
          <w:p w14:paraId="786D15BC"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Vector-only RAG misses relational facts across docs</w:t>
            </w:r>
          </w:p>
        </w:tc>
        <w:tc>
          <w:tcPr>
            <w:tcW w:w="1800" w:type="dxa"/>
            <w:shd w:val="clear" w:color="auto" w:fill="F8FAFC"/>
            <w:tcMar>
              <w:top w:w="100" w:type="dxa"/>
              <w:left w:w="140" w:type="dxa"/>
              <w:bottom w:w="100" w:type="dxa"/>
              <w:right w:w="140" w:type="dxa"/>
            </w:tcMar>
          </w:tcPr>
          <w:p w14:paraId="0BE7D05A"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HybridRAG</w:t>
            </w:r>
            <w:proofErr w:type="spellEnd"/>
            <w:r w:rsidRPr="00C300D7">
              <w:rPr>
                <w:rFonts w:ascii="Times New Roman" w:hAnsi="Times New Roman" w:cs="Times New Roman"/>
                <w:color w:val="auto"/>
                <w:sz w:val="19"/>
                <w:szCs w:val="19"/>
              </w:rPr>
              <w:t>: Knowledge Graph + Vector Retrieval</w:t>
            </w:r>
          </w:p>
        </w:tc>
        <w:tc>
          <w:tcPr>
            <w:tcW w:w="1100" w:type="dxa"/>
            <w:shd w:val="clear" w:color="auto" w:fill="F8FAFC"/>
            <w:tcMar>
              <w:top w:w="100" w:type="dxa"/>
              <w:left w:w="140" w:type="dxa"/>
              <w:bottom w:w="100" w:type="dxa"/>
              <w:right w:w="140" w:type="dxa"/>
            </w:tcMar>
          </w:tcPr>
          <w:p w14:paraId="5730B45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Faithfulness, Context P</w:t>
            </w:r>
          </w:p>
        </w:tc>
        <w:tc>
          <w:tcPr>
            <w:tcW w:w="1600" w:type="dxa"/>
            <w:shd w:val="clear" w:color="auto" w:fill="FFFFFF" w:themeFill="background1"/>
            <w:tcMar>
              <w:top w:w="100" w:type="dxa"/>
              <w:left w:w="140" w:type="dxa"/>
              <w:bottom w:w="100" w:type="dxa"/>
              <w:right w:w="140" w:type="dxa"/>
            </w:tcMar>
          </w:tcPr>
          <w:p w14:paraId="0282FE18"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HybridRAG</w:t>
            </w:r>
            <w:proofErr w:type="spellEnd"/>
            <w:r w:rsidRPr="00C300D7">
              <w:rPr>
                <w:rFonts w:ascii="Times New Roman" w:hAnsi="Times New Roman" w:cs="Times New Roman"/>
                <w:color w:val="auto"/>
                <w:sz w:val="19"/>
                <w:szCs w:val="19"/>
              </w:rPr>
              <w:t xml:space="preserve"> significantly improved answer faithfulness</w:t>
            </w:r>
          </w:p>
        </w:tc>
        <w:tc>
          <w:tcPr>
            <w:tcW w:w="1900" w:type="dxa"/>
            <w:shd w:val="clear" w:color="auto" w:fill="F8FAFC"/>
            <w:tcMar>
              <w:top w:w="100" w:type="dxa"/>
              <w:left w:w="140" w:type="dxa"/>
              <w:bottom w:w="100" w:type="dxa"/>
              <w:right w:w="140" w:type="dxa"/>
            </w:tcMar>
          </w:tcPr>
          <w:p w14:paraId="765A90B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Knowledge graph construction is </w:t>
            </w:r>
            <w:proofErr w:type="spellStart"/>
            <w:r w:rsidRPr="00C300D7">
              <w:rPr>
                <w:rFonts w:ascii="Times New Roman" w:hAnsi="Times New Roman" w:cs="Times New Roman"/>
                <w:color w:val="auto"/>
                <w:sz w:val="19"/>
                <w:szCs w:val="19"/>
              </w:rPr>
              <w:t>labor-intensive</w:t>
            </w:r>
            <w:proofErr w:type="spellEnd"/>
            <w:r w:rsidRPr="00C300D7">
              <w:rPr>
                <w:rFonts w:ascii="Times New Roman" w:hAnsi="Times New Roman" w:cs="Times New Roman"/>
                <w:color w:val="auto"/>
                <w:sz w:val="19"/>
                <w:szCs w:val="19"/>
              </w:rPr>
              <w:t xml:space="preserve"> and costly.</w:t>
            </w:r>
          </w:p>
        </w:tc>
      </w:tr>
      <w:tr w:rsidR="007705B8" w:rsidRPr="00C300D7" w14:paraId="3F876AD5" w14:textId="77777777" w:rsidTr="00C300D7">
        <w:tc>
          <w:tcPr>
            <w:tcW w:w="1400" w:type="dxa"/>
            <w:tcMar>
              <w:top w:w="100" w:type="dxa"/>
              <w:left w:w="140" w:type="dxa"/>
              <w:bottom w:w="100" w:type="dxa"/>
              <w:right w:w="140" w:type="dxa"/>
            </w:tcMar>
          </w:tcPr>
          <w:p w14:paraId="10AE116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[13] </w:t>
            </w:r>
            <w:proofErr w:type="spellStart"/>
            <w:r w:rsidRPr="00C300D7">
              <w:rPr>
                <w:rFonts w:ascii="Times New Roman" w:hAnsi="Times New Roman" w:cs="Times New Roman"/>
                <w:color w:val="auto"/>
                <w:sz w:val="19"/>
                <w:szCs w:val="19"/>
              </w:rPr>
              <w:t>Aejas</w:t>
            </w:r>
            <w:proofErr w:type="spellEnd"/>
            <w:r w:rsidRPr="00C300D7">
              <w:rPr>
                <w:rFonts w:ascii="Times New Roman" w:hAnsi="Times New Roman" w:cs="Times New Roman"/>
                <w:color w:val="auto"/>
                <w:sz w:val="19"/>
                <w:szCs w:val="19"/>
              </w:rPr>
              <w:t xml:space="preserve"> et al. (2024)</w:t>
            </w:r>
          </w:p>
        </w:tc>
        <w:tc>
          <w:tcPr>
            <w:tcW w:w="1600" w:type="dxa"/>
            <w:tcMar>
              <w:top w:w="100" w:type="dxa"/>
              <w:left w:w="140" w:type="dxa"/>
              <w:bottom w:w="100" w:type="dxa"/>
              <w:right w:w="140" w:type="dxa"/>
            </w:tcMar>
          </w:tcPr>
          <w:p w14:paraId="00DE3AB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Manual extraction of termination &amp; liability clauses</w:t>
            </w:r>
          </w:p>
        </w:tc>
        <w:tc>
          <w:tcPr>
            <w:tcW w:w="1800" w:type="dxa"/>
            <w:tcMar>
              <w:top w:w="100" w:type="dxa"/>
              <w:left w:w="140" w:type="dxa"/>
              <w:bottom w:w="100" w:type="dxa"/>
              <w:right w:w="140" w:type="dxa"/>
            </w:tcMar>
          </w:tcPr>
          <w:p w14:paraId="687E5A7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Extractive QA transformers fine-tuned on CUAD</w:t>
            </w:r>
          </w:p>
        </w:tc>
        <w:tc>
          <w:tcPr>
            <w:tcW w:w="1100" w:type="dxa"/>
            <w:tcMar>
              <w:top w:w="100" w:type="dxa"/>
              <w:left w:w="140" w:type="dxa"/>
              <w:bottom w:w="100" w:type="dxa"/>
              <w:right w:w="140" w:type="dxa"/>
            </w:tcMar>
          </w:tcPr>
          <w:p w14:paraId="5261499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Exact Match, F1</w:t>
            </w:r>
          </w:p>
        </w:tc>
        <w:tc>
          <w:tcPr>
            <w:tcW w:w="1600" w:type="dxa"/>
            <w:shd w:val="clear" w:color="auto" w:fill="FFFFFF" w:themeFill="background1"/>
            <w:tcMar>
              <w:top w:w="100" w:type="dxa"/>
              <w:left w:w="140" w:type="dxa"/>
              <w:bottom w:w="100" w:type="dxa"/>
              <w:right w:w="140" w:type="dxa"/>
            </w:tcMar>
          </w:tcPr>
          <w:p w14:paraId="7952152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Strong span-level accuracy on target clauses</w:t>
            </w:r>
          </w:p>
        </w:tc>
        <w:tc>
          <w:tcPr>
            <w:tcW w:w="1900" w:type="dxa"/>
            <w:tcMar>
              <w:top w:w="100" w:type="dxa"/>
              <w:left w:w="140" w:type="dxa"/>
              <w:bottom w:w="100" w:type="dxa"/>
              <w:right w:w="140" w:type="dxa"/>
            </w:tcMar>
          </w:tcPr>
          <w:p w14:paraId="5D02627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Limited to CUAD categories; lacks financial covenant clauses.</w:t>
            </w:r>
          </w:p>
        </w:tc>
      </w:tr>
      <w:tr w:rsidR="007705B8" w:rsidRPr="00C300D7" w14:paraId="620D3FF5" w14:textId="77777777" w:rsidTr="00C300D7">
        <w:tc>
          <w:tcPr>
            <w:tcW w:w="1400" w:type="dxa"/>
            <w:shd w:val="clear" w:color="auto" w:fill="F8FAFC"/>
            <w:tcMar>
              <w:top w:w="100" w:type="dxa"/>
              <w:left w:w="140" w:type="dxa"/>
              <w:bottom w:w="100" w:type="dxa"/>
              <w:right w:w="140" w:type="dxa"/>
            </w:tcMar>
          </w:tcPr>
          <w:p w14:paraId="491A48C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[14] </w:t>
            </w:r>
            <w:proofErr w:type="spellStart"/>
            <w:r w:rsidRPr="00C300D7">
              <w:rPr>
                <w:rFonts w:ascii="Times New Roman" w:hAnsi="Times New Roman" w:cs="Times New Roman"/>
                <w:color w:val="auto"/>
                <w:sz w:val="19"/>
                <w:szCs w:val="19"/>
              </w:rPr>
              <w:t>Memar</w:t>
            </w:r>
            <w:proofErr w:type="spellEnd"/>
            <w:r w:rsidRPr="00C300D7">
              <w:rPr>
                <w:rFonts w:ascii="Times New Roman" w:hAnsi="Times New Roman" w:cs="Times New Roman"/>
                <w:color w:val="auto"/>
                <w:sz w:val="19"/>
                <w:szCs w:val="19"/>
              </w:rPr>
              <w:t xml:space="preserve"> et al. (2026)</w:t>
            </w:r>
          </w:p>
        </w:tc>
        <w:tc>
          <w:tcPr>
            <w:tcW w:w="1600" w:type="dxa"/>
            <w:shd w:val="clear" w:color="auto" w:fill="F8FAFC"/>
            <w:tcMar>
              <w:top w:w="100" w:type="dxa"/>
              <w:left w:w="140" w:type="dxa"/>
              <w:bottom w:w="100" w:type="dxa"/>
              <w:right w:w="140" w:type="dxa"/>
            </w:tcMar>
          </w:tcPr>
          <w:p w14:paraId="10675E4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Automated Low/Med/High risk scoring of clauses</w:t>
            </w:r>
          </w:p>
        </w:tc>
        <w:tc>
          <w:tcPr>
            <w:tcW w:w="1800" w:type="dxa"/>
            <w:shd w:val="clear" w:color="auto" w:fill="F8FAFC"/>
            <w:tcMar>
              <w:top w:w="100" w:type="dxa"/>
              <w:left w:w="140" w:type="dxa"/>
              <w:bottom w:w="100" w:type="dxa"/>
              <w:right w:w="140" w:type="dxa"/>
            </w:tcMar>
          </w:tcPr>
          <w:p w14:paraId="68997F8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Fine-tuned BERT and </w:t>
            </w:r>
            <w:proofErr w:type="spellStart"/>
            <w:r w:rsidRPr="00C300D7">
              <w:rPr>
                <w:rFonts w:ascii="Times New Roman" w:hAnsi="Times New Roman" w:cs="Times New Roman"/>
                <w:color w:val="auto"/>
                <w:sz w:val="19"/>
                <w:szCs w:val="19"/>
              </w:rPr>
              <w:t>RoBERTa</w:t>
            </w:r>
            <w:proofErr w:type="spellEnd"/>
            <w:r w:rsidRPr="00C300D7">
              <w:rPr>
                <w:rFonts w:ascii="Times New Roman" w:hAnsi="Times New Roman" w:cs="Times New Roman"/>
                <w:color w:val="auto"/>
                <w:sz w:val="19"/>
                <w:szCs w:val="19"/>
              </w:rPr>
              <w:t xml:space="preserve"> risk classifiers</w:t>
            </w:r>
          </w:p>
        </w:tc>
        <w:tc>
          <w:tcPr>
            <w:tcW w:w="1100" w:type="dxa"/>
            <w:shd w:val="clear" w:color="auto" w:fill="F8FAFC"/>
            <w:tcMar>
              <w:top w:w="100" w:type="dxa"/>
              <w:left w:w="140" w:type="dxa"/>
              <w:bottom w:w="100" w:type="dxa"/>
              <w:right w:w="140" w:type="dxa"/>
            </w:tcMar>
          </w:tcPr>
          <w:p w14:paraId="63BEF3F3"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Macro-F1</w:t>
            </w:r>
          </w:p>
        </w:tc>
        <w:tc>
          <w:tcPr>
            <w:tcW w:w="1600" w:type="dxa"/>
            <w:shd w:val="clear" w:color="auto" w:fill="FFFFFF" w:themeFill="background1"/>
            <w:tcMar>
              <w:top w:w="100" w:type="dxa"/>
              <w:left w:w="140" w:type="dxa"/>
              <w:bottom w:w="100" w:type="dxa"/>
              <w:right w:w="140" w:type="dxa"/>
            </w:tcMar>
          </w:tcPr>
          <w:p w14:paraId="2FA1A62B" w14:textId="77777777" w:rsidR="007705B8" w:rsidRPr="00C300D7" w:rsidRDefault="00000000">
            <w:pPr>
              <w:spacing w:line="240" w:lineRule="auto"/>
              <w:rPr>
                <w:rFonts w:ascii="Times New Roman" w:hAnsi="Times New Roman" w:cs="Times New Roman"/>
                <w:color w:val="auto"/>
              </w:rPr>
            </w:pPr>
            <w:proofErr w:type="spellStart"/>
            <w:r w:rsidRPr="00C300D7">
              <w:rPr>
                <w:rFonts w:ascii="Times New Roman" w:hAnsi="Times New Roman" w:cs="Times New Roman"/>
                <w:color w:val="auto"/>
                <w:sz w:val="19"/>
                <w:szCs w:val="19"/>
              </w:rPr>
              <w:t>RoBERTa</w:t>
            </w:r>
            <w:proofErr w:type="spellEnd"/>
            <w:r w:rsidRPr="00C300D7">
              <w:rPr>
                <w:rFonts w:ascii="Times New Roman" w:hAnsi="Times New Roman" w:cs="Times New Roman"/>
                <w:color w:val="auto"/>
                <w:sz w:val="19"/>
                <w:szCs w:val="19"/>
              </w:rPr>
              <w:t xml:space="preserve"> </w:t>
            </w:r>
            <w:proofErr w:type="spellStart"/>
            <w:r w:rsidRPr="00C300D7">
              <w:rPr>
                <w:rFonts w:ascii="Times New Roman" w:hAnsi="Times New Roman" w:cs="Times New Roman"/>
                <w:color w:val="auto"/>
                <w:sz w:val="19"/>
                <w:szCs w:val="19"/>
              </w:rPr>
              <w:t>Acc</w:t>
            </w:r>
            <w:proofErr w:type="spellEnd"/>
            <w:r w:rsidRPr="00C300D7">
              <w:rPr>
                <w:rFonts w:ascii="Times New Roman" w:hAnsi="Times New Roman" w:cs="Times New Roman"/>
                <w:color w:val="auto"/>
                <w:sz w:val="19"/>
                <w:szCs w:val="19"/>
              </w:rPr>
              <w:t xml:space="preserve"> 82.8%, Macro-F1 0.805</w:t>
            </w:r>
          </w:p>
        </w:tc>
        <w:tc>
          <w:tcPr>
            <w:tcW w:w="1900" w:type="dxa"/>
            <w:shd w:val="clear" w:color="auto" w:fill="F8FAFC"/>
            <w:tcMar>
              <w:top w:w="100" w:type="dxa"/>
              <w:left w:w="140" w:type="dxa"/>
              <w:bottom w:w="100" w:type="dxa"/>
              <w:right w:w="140" w:type="dxa"/>
            </w:tcMar>
          </w:tcPr>
          <w:p w14:paraId="677080E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Confusion between Med and High risk due to overlapping terms.</w:t>
            </w:r>
          </w:p>
        </w:tc>
      </w:tr>
      <w:tr w:rsidR="007705B8" w:rsidRPr="00C300D7" w14:paraId="6A5669F2" w14:textId="77777777" w:rsidTr="00C300D7">
        <w:tc>
          <w:tcPr>
            <w:tcW w:w="1400" w:type="dxa"/>
            <w:tcMar>
              <w:top w:w="100" w:type="dxa"/>
              <w:left w:w="140" w:type="dxa"/>
              <w:bottom w:w="100" w:type="dxa"/>
              <w:right w:w="140" w:type="dxa"/>
            </w:tcMar>
          </w:tcPr>
          <w:p w14:paraId="315B7C6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[15] </w:t>
            </w:r>
            <w:proofErr w:type="spellStart"/>
            <w:r w:rsidRPr="00C300D7">
              <w:rPr>
                <w:rFonts w:ascii="Times New Roman" w:hAnsi="Times New Roman" w:cs="Times New Roman"/>
                <w:color w:val="auto"/>
                <w:sz w:val="19"/>
                <w:szCs w:val="19"/>
              </w:rPr>
              <w:t>Aejas</w:t>
            </w:r>
            <w:proofErr w:type="spellEnd"/>
            <w:r w:rsidRPr="00C300D7">
              <w:rPr>
                <w:rFonts w:ascii="Times New Roman" w:hAnsi="Times New Roman" w:cs="Times New Roman"/>
                <w:color w:val="auto"/>
                <w:sz w:val="19"/>
                <w:szCs w:val="19"/>
              </w:rPr>
              <w:t xml:space="preserve"> et al. (2025)</w:t>
            </w:r>
          </w:p>
        </w:tc>
        <w:tc>
          <w:tcPr>
            <w:tcW w:w="1600" w:type="dxa"/>
            <w:tcMar>
              <w:top w:w="100" w:type="dxa"/>
              <w:left w:w="140" w:type="dxa"/>
              <w:bottom w:w="100" w:type="dxa"/>
              <w:right w:w="140" w:type="dxa"/>
            </w:tcMar>
          </w:tcPr>
          <w:p w14:paraId="1DBFA86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Heavy transformer latency during real-time review</w:t>
            </w:r>
          </w:p>
        </w:tc>
        <w:tc>
          <w:tcPr>
            <w:tcW w:w="1800" w:type="dxa"/>
            <w:tcMar>
              <w:top w:w="100" w:type="dxa"/>
              <w:left w:w="140" w:type="dxa"/>
              <w:bottom w:w="100" w:type="dxa"/>
              <w:right w:w="140" w:type="dxa"/>
            </w:tcMar>
          </w:tcPr>
          <w:p w14:paraId="5CAC210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Teacher-student knowledge distillation for QA clauses</w:t>
            </w:r>
          </w:p>
        </w:tc>
        <w:tc>
          <w:tcPr>
            <w:tcW w:w="1100" w:type="dxa"/>
            <w:tcMar>
              <w:top w:w="100" w:type="dxa"/>
              <w:left w:w="140" w:type="dxa"/>
              <w:bottom w:w="100" w:type="dxa"/>
              <w:right w:w="140" w:type="dxa"/>
            </w:tcMar>
          </w:tcPr>
          <w:p w14:paraId="527AF5EF"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F1 retention, Latency</w:t>
            </w:r>
          </w:p>
        </w:tc>
        <w:tc>
          <w:tcPr>
            <w:tcW w:w="1600" w:type="dxa"/>
            <w:shd w:val="clear" w:color="auto" w:fill="FFFFFF" w:themeFill="background1"/>
            <w:tcMar>
              <w:top w:w="100" w:type="dxa"/>
              <w:left w:w="140" w:type="dxa"/>
              <w:bottom w:w="100" w:type="dxa"/>
              <w:right w:w="140" w:type="dxa"/>
            </w:tcMar>
          </w:tcPr>
          <w:p w14:paraId="5239B21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Student model retained &gt;92% F1 with 60% lower latency</w:t>
            </w:r>
          </w:p>
        </w:tc>
        <w:tc>
          <w:tcPr>
            <w:tcW w:w="1900" w:type="dxa"/>
            <w:tcMar>
              <w:top w:w="100" w:type="dxa"/>
              <w:left w:w="140" w:type="dxa"/>
              <w:bottom w:w="100" w:type="dxa"/>
              <w:right w:w="140" w:type="dxa"/>
            </w:tcMar>
          </w:tcPr>
          <w:p w14:paraId="0A729F5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Accuracy dropped on under-represented / rare clause types.</w:t>
            </w:r>
          </w:p>
        </w:tc>
      </w:tr>
    </w:tbl>
    <w:p w14:paraId="102B575D"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2.2 Synthesis of Literature Gaps and Proposed Architecture</w:t>
      </w:r>
    </w:p>
    <w:p w14:paraId="69C33438"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A systematic analysis of the literature reveals three persistent shortcomings across existing works: First, single-task isolation: papers [1]-[5] focus exclusively on entity tagging, [6]-[10] on sentiment classification, and [11]-[15] on clause extraction or question answering, forcing practitioners to stitch together disparate, incompatible tools. Second, numeric vulnerability: generative approaches [4] frequently hallucinate or distort monetary figures and percentages, a fatal flaw in financial analysis. Third, infrastructure fragility: advanced RAG pipelines [11], [12] collapse when third-party cloud APIs experience downtime, rate limits, or network partitions. </w:t>
      </w:r>
      <w:proofErr w:type="spellStart"/>
      <w:r w:rsidRPr="00C300D7">
        <w:rPr>
          <w:rFonts w:ascii="Times New Roman" w:hAnsi="Times New Roman" w:cs="Times New Roman"/>
          <w:color w:val="auto"/>
        </w:rPr>
        <w:t>FinSight</w:t>
      </w:r>
      <w:proofErr w:type="spellEnd"/>
      <w:r w:rsidRPr="00C300D7">
        <w:rPr>
          <w:rFonts w:ascii="Times New Roman" w:hAnsi="Times New Roman" w:cs="Times New Roman"/>
          <w:color w:val="auto"/>
        </w:rPr>
        <w:t xml:space="preserve"> AI resolves these limitations through a unified multi-service architecture featuring deterministic rule-based guarantees for numeric entities, local offline fallbacks for LLM inference, and synchronized multi-service orchestration behind a unified REST gateway.</w:t>
      </w:r>
    </w:p>
    <w:p w14:paraId="0F397922" w14:textId="616015A0" w:rsidR="007705B8" w:rsidRPr="00C300D7" w:rsidRDefault="00000000" w:rsidP="00C300D7">
      <w:pPr>
        <w:rPr>
          <w:rFonts w:ascii="Times New Roman" w:hAnsi="Times New Roman" w:cs="Times New Roman"/>
          <w:color w:val="auto"/>
        </w:rPr>
      </w:pPr>
      <w:r w:rsidRPr="00C300D7">
        <w:rPr>
          <w:rFonts w:ascii="Times New Roman" w:hAnsi="Times New Roman" w:cs="Times New Roman"/>
          <w:b/>
          <w:bCs/>
          <w:color w:val="auto"/>
          <w:sz w:val="30"/>
          <w:szCs w:val="30"/>
        </w:rPr>
        <w:t>3. System Architecture and Implementation Design</w:t>
      </w:r>
    </w:p>
    <w:p w14:paraId="2AE8CFBE" w14:textId="77777777" w:rsidR="007705B8" w:rsidRPr="00C300D7" w:rsidRDefault="00000000">
      <w:pPr>
        <w:spacing w:after="140"/>
        <w:jc w:val="both"/>
        <w:rPr>
          <w:rFonts w:ascii="Times New Roman" w:hAnsi="Times New Roman" w:cs="Times New Roman"/>
          <w:color w:val="auto"/>
        </w:rPr>
      </w:pPr>
      <w:proofErr w:type="spellStart"/>
      <w:r w:rsidRPr="00C300D7">
        <w:rPr>
          <w:rFonts w:ascii="Times New Roman" w:hAnsi="Times New Roman" w:cs="Times New Roman"/>
          <w:color w:val="auto"/>
        </w:rPr>
        <w:t>FinSight</w:t>
      </w:r>
      <w:proofErr w:type="spellEnd"/>
      <w:r w:rsidRPr="00C300D7">
        <w:rPr>
          <w:rFonts w:ascii="Times New Roman" w:hAnsi="Times New Roman" w:cs="Times New Roman"/>
          <w:color w:val="auto"/>
        </w:rPr>
        <w:t xml:space="preserve"> AI is structured as a decoupled, three-tier client-server system designed for high computational efficiency, offline resilience, and modular service extensibility. The system comprises a React 18 / Vite 5 single-page application, an asynchronous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backend gateway, four specialized NLP processing microservices, and provisioned storage containers (PostgreSQL and Azurite blob emulator).</w:t>
      </w:r>
    </w:p>
    <w:p w14:paraId="40766874"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3.1 Implementation Architecture Diagram</w:t>
      </w:r>
    </w:p>
    <w:p w14:paraId="199203B8"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lastRenderedPageBreak/>
        <w:drawing>
          <wp:inline distT="0" distB="0" distL="0" distR="0" wp14:anchorId="54451A14" wp14:editId="7A064B1A">
            <wp:extent cx="5619750" cy="400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4000500"/>
                    </a:xfrm>
                    <a:prstGeom prst="rect">
                      <a:avLst/>
                    </a:prstGeom>
                  </pic:spPr>
                </pic:pic>
              </a:graphicData>
            </a:graphic>
          </wp:inline>
        </w:drawing>
      </w:r>
    </w:p>
    <w:p w14:paraId="11A57646"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 xml:space="preserve">Figure 1: </w:t>
      </w:r>
      <w:proofErr w:type="spellStart"/>
      <w:r w:rsidRPr="00C300D7">
        <w:rPr>
          <w:rFonts w:ascii="Times New Roman" w:hAnsi="Times New Roman" w:cs="Times New Roman"/>
          <w:b/>
          <w:bCs/>
          <w:i/>
          <w:iCs/>
          <w:color w:val="auto"/>
          <w:sz w:val="19"/>
          <w:szCs w:val="19"/>
        </w:rPr>
        <w:t>FinSight</w:t>
      </w:r>
      <w:proofErr w:type="spellEnd"/>
      <w:r w:rsidRPr="00C300D7">
        <w:rPr>
          <w:rFonts w:ascii="Times New Roman" w:hAnsi="Times New Roman" w:cs="Times New Roman"/>
          <w:b/>
          <w:bCs/>
          <w:i/>
          <w:iCs/>
          <w:color w:val="auto"/>
          <w:sz w:val="19"/>
          <w:szCs w:val="19"/>
        </w:rPr>
        <w:t xml:space="preserve"> AI Implementation Architecture — Router Orchestration, NLP Microservices, Fallbacks, and Client Tier</w:t>
      </w:r>
    </w:p>
    <w:p w14:paraId="13B71966"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3.2 Request Flow and Pipeline Execution</w:t>
      </w:r>
    </w:p>
    <w:p w14:paraId="725619D8"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A document submitted via the web dashboard traverses the following sequential stages:</w:t>
      </w:r>
    </w:p>
    <w:p w14:paraId="6C2A71B8"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1: </w:t>
      </w:r>
      <w:r w:rsidRPr="00C300D7">
        <w:rPr>
          <w:rFonts w:ascii="Times New Roman" w:hAnsi="Times New Roman" w:cs="Times New Roman"/>
          <w:color w:val="auto"/>
        </w:rPr>
        <w:t xml:space="preserve">Multipart Form Submission: The frontend sends the selected file (PDF, DOCX, TXT, HTML) and </w:t>
      </w:r>
      <w:proofErr w:type="spellStart"/>
      <w:r w:rsidRPr="00C300D7">
        <w:rPr>
          <w:rFonts w:ascii="Times New Roman" w:hAnsi="Times New Roman" w:cs="Times New Roman"/>
          <w:color w:val="auto"/>
        </w:rPr>
        <w:t>boolean</w:t>
      </w:r>
      <w:proofErr w:type="spellEnd"/>
      <w:r w:rsidRPr="00C300D7">
        <w:rPr>
          <w:rFonts w:ascii="Times New Roman" w:hAnsi="Times New Roman" w:cs="Times New Roman"/>
          <w:color w:val="auto"/>
        </w:rPr>
        <w:t xml:space="preserve"> feature flags (</w:t>
      </w:r>
      <w:proofErr w:type="spellStart"/>
      <w:r w:rsidRPr="00C300D7">
        <w:rPr>
          <w:rFonts w:ascii="Times New Roman" w:hAnsi="Times New Roman" w:cs="Times New Roman"/>
          <w:color w:val="auto"/>
        </w:rPr>
        <w:t>include_ner</w:t>
      </w:r>
      <w:proofErr w:type="spellEnd"/>
      <w:r w:rsidRPr="00C300D7">
        <w:rPr>
          <w:rFonts w:ascii="Times New Roman" w:hAnsi="Times New Roman" w:cs="Times New Roman"/>
          <w:color w:val="auto"/>
        </w:rPr>
        <w:t xml:space="preserve">, </w:t>
      </w:r>
      <w:proofErr w:type="spellStart"/>
      <w:r w:rsidRPr="00C300D7">
        <w:rPr>
          <w:rFonts w:ascii="Times New Roman" w:hAnsi="Times New Roman" w:cs="Times New Roman"/>
          <w:color w:val="auto"/>
        </w:rPr>
        <w:t>include_finbert</w:t>
      </w:r>
      <w:proofErr w:type="spellEnd"/>
      <w:r w:rsidRPr="00C300D7">
        <w:rPr>
          <w:rFonts w:ascii="Times New Roman" w:hAnsi="Times New Roman" w:cs="Times New Roman"/>
          <w:color w:val="auto"/>
        </w:rPr>
        <w:t xml:space="preserve">, </w:t>
      </w:r>
      <w:proofErr w:type="spellStart"/>
      <w:r w:rsidRPr="00C300D7">
        <w:rPr>
          <w:rFonts w:ascii="Times New Roman" w:hAnsi="Times New Roman" w:cs="Times New Roman"/>
          <w:color w:val="auto"/>
        </w:rPr>
        <w:t>include_langextract</w:t>
      </w:r>
      <w:proofErr w:type="spellEnd"/>
      <w:r w:rsidRPr="00C300D7">
        <w:rPr>
          <w:rFonts w:ascii="Times New Roman" w:hAnsi="Times New Roman" w:cs="Times New Roman"/>
          <w:color w:val="auto"/>
        </w:rPr>
        <w:t>) to POST /</w:t>
      </w:r>
      <w:proofErr w:type="spellStart"/>
      <w:r w:rsidRPr="00C300D7">
        <w:rPr>
          <w:rFonts w:ascii="Times New Roman" w:hAnsi="Times New Roman" w:cs="Times New Roman"/>
          <w:color w:val="auto"/>
        </w:rPr>
        <w:t>api</w:t>
      </w:r>
      <w:proofErr w:type="spellEnd"/>
      <w:r w:rsidRPr="00C300D7">
        <w:rPr>
          <w:rFonts w:ascii="Times New Roman" w:hAnsi="Times New Roman" w:cs="Times New Roman"/>
          <w:color w:val="auto"/>
        </w:rPr>
        <w:t>/v1/pipeline/process-document.</w:t>
      </w:r>
    </w:p>
    <w:p w14:paraId="3359A298"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2: </w:t>
      </w:r>
      <w:r w:rsidRPr="00C300D7">
        <w:rPr>
          <w:rFonts w:ascii="Times New Roman" w:hAnsi="Times New Roman" w:cs="Times New Roman"/>
          <w:color w:val="auto"/>
        </w:rPr>
        <w:t>Ingestion &amp; Validation: The pipeline router validates file presence, extension, and enforces a 50 MB payload ceiling. The file is temporarily staged in local buffer storage.</w:t>
      </w:r>
    </w:p>
    <w:p w14:paraId="10BF79B6"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3: </w:t>
      </w:r>
      <w:r w:rsidRPr="00C300D7">
        <w:rPr>
          <w:rFonts w:ascii="Times New Roman" w:hAnsi="Times New Roman" w:cs="Times New Roman"/>
          <w:color w:val="auto"/>
        </w:rPr>
        <w:t xml:space="preserve">Text Extraction: </w:t>
      </w:r>
      <w:proofErr w:type="spellStart"/>
      <w:r w:rsidRPr="00C300D7">
        <w:rPr>
          <w:rFonts w:ascii="Times New Roman" w:hAnsi="Times New Roman" w:cs="Times New Roman"/>
          <w:color w:val="auto"/>
        </w:rPr>
        <w:t>DoclingService</w:t>
      </w:r>
      <w:proofErr w:type="spellEnd"/>
      <w:r w:rsidRPr="00C300D7">
        <w:rPr>
          <w:rFonts w:ascii="Times New Roman" w:hAnsi="Times New Roman" w:cs="Times New Roman"/>
          <w:color w:val="auto"/>
        </w:rPr>
        <w:t xml:space="preserve"> parses the file using </w:t>
      </w:r>
      <w:proofErr w:type="spellStart"/>
      <w:r w:rsidRPr="00C300D7">
        <w:rPr>
          <w:rFonts w:ascii="Times New Roman" w:hAnsi="Times New Roman" w:cs="Times New Roman"/>
          <w:color w:val="auto"/>
        </w:rPr>
        <w:t>pypdf</w:t>
      </w:r>
      <w:proofErr w:type="spellEnd"/>
      <w:r w:rsidRPr="00C300D7">
        <w:rPr>
          <w:rFonts w:ascii="Times New Roman" w:hAnsi="Times New Roman" w:cs="Times New Roman"/>
          <w:color w:val="auto"/>
        </w:rPr>
        <w:t xml:space="preserve"> (for PDF binaries), python-docx (for Word documents), or direct UTF-8 reading (for plain text), generating plain text and structured metadata.</w:t>
      </w:r>
    </w:p>
    <w:p w14:paraId="1CAD0274"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4: </w:t>
      </w:r>
      <w:r w:rsidRPr="00C300D7">
        <w:rPr>
          <w:rFonts w:ascii="Times New Roman" w:hAnsi="Times New Roman" w:cs="Times New Roman"/>
          <w:color w:val="auto"/>
        </w:rPr>
        <w:t xml:space="preserve">Concurrent Service Dispatch: The extracted text is concurrently dispatched to the active analytical services: </w:t>
      </w:r>
      <w:proofErr w:type="spellStart"/>
      <w:r w:rsidRPr="00C300D7">
        <w:rPr>
          <w:rFonts w:ascii="Times New Roman" w:hAnsi="Times New Roman" w:cs="Times New Roman"/>
          <w:color w:val="auto"/>
        </w:rPr>
        <w:t>NERService</w:t>
      </w:r>
      <w:proofErr w:type="spellEnd"/>
      <w:r w:rsidRPr="00C300D7">
        <w:rPr>
          <w:rFonts w:ascii="Times New Roman" w:hAnsi="Times New Roman" w:cs="Times New Roman"/>
          <w:color w:val="auto"/>
        </w:rPr>
        <w:t xml:space="preserve"> tags financial tokens; </w:t>
      </w:r>
      <w:proofErr w:type="spellStart"/>
      <w:r w:rsidRPr="00C300D7">
        <w:rPr>
          <w:rFonts w:ascii="Times New Roman" w:hAnsi="Times New Roman" w:cs="Times New Roman"/>
          <w:color w:val="auto"/>
        </w:rPr>
        <w:t>FinBERTService</w:t>
      </w:r>
      <w:proofErr w:type="spellEnd"/>
      <w:r w:rsidRPr="00C300D7">
        <w:rPr>
          <w:rFonts w:ascii="Times New Roman" w:hAnsi="Times New Roman" w:cs="Times New Roman"/>
          <w:color w:val="auto"/>
        </w:rPr>
        <w:t xml:space="preserve"> calculates sentence sentiments; </w:t>
      </w:r>
      <w:proofErr w:type="spellStart"/>
      <w:r w:rsidRPr="00C300D7">
        <w:rPr>
          <w:rFonts w:ascii="Times New Roman" w:hAnsi="Times New Roman" w:cs="Times New Roman"/>
          <w:color w:val="auto"/>
        </w:rPr>
        <w:t>LangExtractService</w:t>
      </w:r>
      <w:proofErr w:type="spellEnd"/>
      <w:r w:rsidRPr="00C300D7">
        <w:rPr>
          <w:rFonts w:ascii="Times New Roman" w:hAnsi="Times New Roman" w:cs="Times New Roman"/>
          <w:color w:val="auto"/>
        </w:rPr>
        <w:t xml:space="preserve"> extracts clauses and assigns risk tiers.</w:t>
      </w:r>
    </w:p>
    <w:p w14:paraId="3443CC9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5: </w:t>
      </w:r>
      <w:r w:rsidRPr="00C300D7">
        <w:rPr>
          <w:rFonts w:ascii="Times New Roman" w:hAnsi="Times New Roman" w:cs="Times New Roman"/>
          <w:color w:val="auto"/>
        </w:rPr>
        <w:t>RAG Vector Indexing: The parsed text is segmented into semantic chunks, vectorized via deterministic embeddings (or Google Gemini if configured), and indexed into the in-memory RAG vector store.</w:t>
      </w:r>
    </w:p>
    <w:p w14:paraId="280DB73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Step 6: </w:t>
      </w:r>
      <w:r w:rsidRPr="00C300D7">
        <w:rPr>
          <w:rFonts w:ascii="Times New Roman" w:hAnsi="Times New Roman" w:cs="Times New Roman"/>
          <w:color w:val="auto"/>
        </w:rPr>
        <w:t>Response Consolidation: Results from all microservices are merged into an integrated JSON payload and transmitted to the frontend, which renders interactive visualization tabs.</w:t>
      </w:r>
    </w:p>
    <w:p w14:paraId="313BAA4E" w14:textId="77777777" w:rsidR="007705B8" w:rsidRPr="00C300D7" w:rsidRDefault="00000000">
      <w:pPr>
        <w:rPr>
          <w:rFonts w:ascii="Times New Roman" w:hAnsi="Times New Roman" w:cs="Times New Roman"/>
          <w:color w:val="auto"/>
        </w:rPr>
      </w:pPr>
      <w:r w:rsidRPr="00C300D7">
        <w:rPr>
          <w:rFonts w:ascii="Times New Roman" w:hAnsi="Times New Roman" w:cs="Times New Roman"/>
          <w:color w:val="auto"/>
        </w:rPr>
        <w:br w:type="page"/>
      </w:r>
    </w:p>
    <w:p w14:paraId="59013193"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lastRenderedPageBreak/>
        <w:t>4. Backend Implementation and Service Specifications</w:t>
      </w:r>
    </w:p>
    <w:p w14:paraId="1DD7B9EF"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4.1 Document Ingestion Service (</w:t>
      </w:r>
      <w:proofErr w:type="spellStart"/>
      <w:r w:rsidRPr="00C300D7">
        <w:rPr>
          <w:rFonts w:ascii="Times New Roman" w:hAnsi="Times New Roman" w:cs="Times New Roman"/>
          <w:b/>
          <w:bCs/>
          <w:color w:val="auto"/>
          <w:sz w:val="24"/>
          <w:szCs w:val="24"/>
        </w:rPr>
        <w:t>DoclingService</w:t>
      </w:r>
      <w:proofErr w:type="spellEnd"/>
      <w:r w:rsidRPr="00C300D7">
        <w:rPr>
          <w:rFonts w:ascii="Times New Roman" w:hAnsi="Times New Roman" w:cs="Times New Roman"/>
          <w:b/>
          <w:bCs/>
          <w:color w:val="auto"/>
          <w:sz w:val="24"/>
          <w:szCs w:val="24"/>
        </w:rPr>
        <w:t>)</w:t>
      </w:r>
    </w:p>
    <w:p w14:paraId="7804BE04"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The </w:t>
      </w:r>
      <w:proofErr w:type="spellStart"/>
      <w:r w:rsidRPr="00C300D7">
        <w:rPr>
          <w:rFonts w:ascii="Times New Roman" w:hAnsi="Times New Roman" w:cs="Times New Roman"/>
          <w:color w:val="auto"/>
        </w:rPr>
        <w:t>DoclingService</w:t>
      </w:r>
      <w:proofErr w:type="spellEnd"/>
      <w:r w:rsidRPr="00C300D7">
        <w:rPr>
          <w:rFonts w:ascii="Times New Roman" w:hAnsi="Times New Roman" w:cs="Times New Roman"/>
          <w:color w:val="auto"/>
        </w:rPr>
        <w:t xml:space="preserve"> (backend/services/docling_service.py) acts as the ingestion boundary. It accepts multipart file uploads and implements dedicated format extractors: </w:t>
      </w:r>
      <w:proofErr w:type="spellStart"/>
      <w:proofErr w:type="gramStart"/>
      <w:r w:rsidRPr="00C300D7">
        <w:rPr>
          <w:rFonts w:ascii="Times New Roman" w:hAnsi="Times New Roman" w:cs="Times New Roman"/>
          <w:color w:val="auto"/>
        </w:rPr>
        <w:t>pypdf.PdfReader</w:t>
      </w:r>
      <w:proofErr w:type="spellEnd"/>
      <w:proofErr w:type="gramEnd"/>
      <w:r w:rsidRPr="00C300D7">
        <w:rPr>
          <w:rFonts w:ascii="Times New Roman" w:hAnsi="Times New Roman" w:cs="Times New Roman"/>
          <w:color w:val="auto"/>
        </w:rPr>
        <w:t xml:space="preserve"> for PDF extraction, </w:t>
      </w:r>
      <w:proofErr w:type="spellStart"/>
      <w:proofErr w:type="gramStart"/>
      <w:r w:rsidRPr="00C300D7">
        <w:rPr>
          <w:rFonts w:ascii="Times New Roman" w:hAnsi="Times New Roman" w:cs="Times New Roman"/>
          <w:color w:val="auto"/>
        </w:rPr>
        <w:t>docx.Document</w:t>
      </w:r>
      <w:proofErr w:type="spellEnd"/>
      <w:proofErr w:type="gramEnd"/>
      <w:r w:rsidRPr="00C300D7">
        <w:rPr>
          <w:rFonts w:ascii="Times New Roman" w:hAnsi="Times New Roman" w:cs="Times New Roman"/>
          <w:color w:val="auto"/>
        </w:rPr>
        <w:t xml:space="preserve"> for Microsoft Word documents, and direct UTF-8 decoding for raw text and HTML files. Extracted text is normalized by stripping extraneous whitespace, non-printable characters, and carriage returns, while recording structural metadata (original filename, byte size, page count, and extraction method).</w:t>
      </w:r>
    </w:p>
    <w:p w14:paraId="68FAA87F"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4.2 Custom Financial Named Entity Recognition (</w:t>
      </w:r>
      <w:proofErr w:type="spellStart"/>
      <w:r w:rsidRPr="00C300D7">
        <w:rPr>
          <w:rFonts w:ascii="Times New Roman" w:hAnsi="Times New Roman" w:cs="Times New Roman"/>
          <w:b/>
          <w:bCs/>
          <w:color w:val="auto"/>
          <w:sz w:val="24"/>
          <w:szCs w:val="24"/>
        </w:rPr>
        <w:t>NERService</w:t>
      </w:r>
      <w:proofErr w:type="spellEnd"/>
      <w:r w:rsidRPr="00C300D7">
        <w:rPr>
          <w:rFonts w:ascii="Times New Roman" w:hAnsi="Times New Roman" w:cs="Times New Roman"/>
          <w:b/>
          <w:bCs/>
          <w:color w:val="auto"/>
          <w:sz w:val="24"/>
          <w:szCs w:val="24"/>
        </w:rPr>
        <w:t>)</w:t>
      </w:r>
    </w:p>
    <w:p w14:paraId="731EF284"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Financial entity recognition requires capturing both general categories (organizations, persons, dates) and domain-specific financial constructs (monetary amounts, percentage yields, payment terms, and durations). </w:t>
      </w:r>
      <w:proofErr w:type="spellStart"/>
      <w:r w:rsidRPr="00C300D7">
        <w:rPr>
          <w:rFonts w:ascii="Times New Roman" w:hAnsi="Times New Roman" w:cs="Times New Roman"/>
          <w:color w:val="auto"/>
        </w:rPr>
        <w:t>NERService</w:t>
      </w:r>
      <w:proofErr w:type="spellEnd"/>
      <w:r w:rsidRPr="00C300D7">
        <w:rPr>
          <w:rFonts w:ascii="Times New Roman" w:hAnsi="Times New Roman" w:cs="Times New Roman"/>
          <w:color w:val="auto"/>
        </w:rPr>
        <w:t xml:space="preserve"> loads a custom </w:t>
      </w:r>
      <w:proofErr w:type="spellStart"/>
      <w:r w:rsidRPr="00C300D7">
        <w:rPr>
          <w:rFonts w:ascii="Times New Roman" w:hAnsi="Times New Roman" w:cs="Times New Roman"/>
          <w:color w:val="auto"/>
        </w:rPr>
        <w:t>spaCy</w:t>
      </w:r>
      <w:proofErr w:type="spellEnd"/>
      <w:r w:rsidRPr="00C300D7">
        <w:rPr>
          <w:rFonts w:ascii="Times New Roman" w:hAnsi="Times New Roman" w:cs="Times New Roman"/>
          <w:color w:val="auto"/>
        </w:rPr>
        <w:t xml:space="preserve"> pipeline from models/</w:t>
      </w:r>
      <w:proofErr w:type="spellStart"/>
      <w:r w:rsidRPr="00C300D7">
        <w:rPr>
          <w:rFonts w:ascii="Times New Roman" w:hAnsi="Times New Roman" w:cs="Times New Roman"/>
          <w:color w:val="auto"/>
        </w:rPr>
        <w:t>ner_model</w:t>
      </w:r>
      <w:proofErr w:type="spellEnd"/>
      <w:r w:rsidRPr="00C300D7">
        <w:rPr>
          <w:rFonts w:ascii="Times New Roman" w:hAnsi="Times New Roman" w:cs="Times New Roman"/>
          <w:color w:val="auto"/>
        </w:rPr>
        <w:t xml:space="preserve">/model-best, backed by </w:t>
      </w:r>
      <w:proofErr w:type="spellStart"/>
      <w:r w:rsidRPr="00C300D7">
        <w:rPr>
          <w:rFonts w:ascii="Times New Roman" w:hAnsi="Times New Roman" w:cs="Times New Roman"/>
          <w:color w:val="auto"/>
        </w:rPr>
        <w:t>en_core_web_sm</w:t>
      </w:r>
      <w:proofErr w:type="spellEnd"/>
      <w:r w:rsidRPr="00C300D7">
        <w:rPr>
          <w:rFonts w:ascii="Times New Roman" w:hAnsi="Times New Roman" w:cs="Times New Roman"/>
          <w:color w:val="auto"/>
        </w:rPr>
        <w:t xml:space="preserve">. To achieve high precision on financial notation without generative drift [4], the pipeline layers a </w:t>
      </w:r>
      <w:proofErr w:type="spellStart"/>
      <w:r w:rsidRPr="00C300D7">
        <w:rPr>
          <w:rFonts w:ascii="Times New Roman" w:hAnsi="Times New Roman" w:cs="Times New Roman"/>
          <w:color w:val="auto"/>
        </w:rPr>
        <w:t>spaCy</w:t>
      </w:r>
      <w:proofErr w:type="spellEnd"/>
      <w:r w:rsidRPr="00C300D7">
        <w:rPr>
          <w:rFonts w:ascii="Times New Roman" w:hAnsi="Times New Roman" w:cs="Times New Roman"/>
          <w:color w:val="auto"/>
        </w:rPr>
        <w:t xml:space="preserve"> </w:t>
      </w:r>
      <w:proofErr w:type="spellStart"/>
      <w:r w:rsidRPr="00C300D7">
        <w:rPr>
          <w:rFonts w:ascii="Times New Roman" w:hAnsi="Times New Roman" w:cs="Times New Roman"/>
          <w:color w:val="auto"/>
        </w:rPr>
        <w:t>EntityRuler</w:t>
      </w:r>
      <w:proofErr w:type="spellEnd"/>
      <w:r w:rsidRPr="00C300D7">
        <w:rPr>
          <w:rFonts w:ascii="Times New Roman" w:hAnsi="Times New Roman" w:cs="Times New Roman"/>
          <w:color w:val="auto"/>
        </w:rPr>
        <w:t xml:space="preserve"> loaded with 96 curated financial entity patterns and exact regex matchers for monetary amounts (e.g., '$89.5 billion', 'GBP 20,000') and payment schedules ('within 30 days', 'net 60').</w:t>
      </w:r>
    </w:p>
    <w:p w14:paraId="054A9EC1"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 xml:space="preserve">4.3 </w:t>
      </w:r>
      <w:proofErr w:type="spellStart"/>
      <w:r w:rsidRPr="00C300D7">
        <w:rPr>
          <w:rFonts w:ascii="Times New Roman" w:hAnsi="Times New Roman" w:cs="Times New Roman"/>
          <w:b/>
          <w:bCs/>
          <w:color w:val="auto"/>
          <w:sz w:val="24"/>
          <w:szCs w:val="24"/>
        </w:rPr>
        <w:t>FinBERT</w:t>
      </w:r>
      <w:proofErr w:type="spellEnd"/>
      <w:r w:rsidRPr="00C300D7">
        <w:rPr>
          <w:rFonts w:ascii="Times New Roman" w:hAnsi="Times New Roman" w:cs="Times New Roman"/>
          <w:b/>
          <w:bCs/>
          <w:color w:val="auto"/>
          <w:sz w:val="24"/>
          <w:szCs w:val="24"/>
        </w:rPr>
        <w:t xml:space="preserve"> Financial Sentiment Analysis (</w:t>
      </w:r>
      <w:proofErr w:type="spellStart"/>
      <w:r w:rsidRPr="00C300D7">
        <w:rPr>
          <w:rFonts w:ascii="Times New Roman" w:hAnsi="Times New Roman" w:cs="Times New Roman"/>
          <w:b/>
          <w:bCs/>
          <w:color w:val="auto"/>
          <w:sz w:val="24"/>
          <w:szCs w:val="24"/>
        </w:rPr>
        <w:t>FinBERTService</w:t>
      </w:r>
      <w:proofErr w:type="spellEnd"/>
      <w:r w:rsidRPr="00C300D7">
        <w:rPr>
          <w:rFonts w:ascii="Times New Roman" w:hAnsi="Times New Roman" w:cs="Times New Roman"/>
          <w:b/>
          <w:bCs/>
          <w:color w:val="auto"/>
          <w:sz w:val="24"/>
          <w:szCs w:val="24"/>
        </w:rPr>
        <w:t>)</w:t>
      </w:r>
    </w:p>
    <w:p w14:paraId="1AB8FBB3" w14:textId="77777777" w:rsidR="007705B8" w:rsidRPr="00C300D7" w:rsidRDefault="00000000">
      <w:pPr>
        <w:spacing w:after="140"/>
        <w:jc w:val="both"/>
        <w:rPr>
          <w:rFonts w:ascii="Times New Roman" w:hAnsi="Times New Roman" w:cs="Times New Roman"/>
          <w:color w:val="auto"/>
        </w:rPr>
      </w:pPr>
      <w:proofErr w:type="spellStart"/>
      <w:r w:rsidRPr="00C300D7">
        <w:rPr>
          <w:rFonts w:ascii="Times New Roman" w:hAnsi="Times New Roman" w:cs="Times New Roman"/>
          <w:color w:val="auto"/>
        </w:rPr>
        <w:t>FinBERTService</w:t>
      </w:r>
      <w:proofErr w:type="spellEnd"/>
      <w:r w:rsidRPr="00C300D7">
        <w:rPr>
          <w:rFonts w:ascii="Times New Roman" w:hAnsi="Times New Roman" w:cs="Times New Roman"/>
          <w:color w:val="auto"/>
        </w:rPr>
        <w:t xml:space="preserve"> wraps the </w:t>
      </w:r>
      <w:proofErr w:type="spellStart"/>
      <w:r w:rsidRPr="00C300D7">
        <w:rPr>
          <w:rFonts w:ascii="Times New Roman" w:hAnsi="Times New Roman" w:cs="Times New Roman"/>
          <w:color w:val="auto"/>
        </w:rPr>
        <w:t>ProsusAI</w:t>
      </w:r>
      <w:proofErr w:type="spellEnd"/>
      <w:r w:rsidRPr="00C300D7">
        <w:rPr>
          <w:rFonts w:ascii="Times New Roman" w:hAnsi="Times New Roman" w:cs="Times New Roman"/>
          <w:color w:val="auto"/>
        </w:rPr>
        <w:t>/</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transformer model via the Hugging Face Transformers pipeline.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is specifically pre-trained on the Financial </w:t>
      </w:r>
      <w:proofErr w:type="spellStart"/>
      <w:r w:rsidRPr="00C300D7">
        <w:rPr>
          <w:rFonts w:ascii="Times New Roman" w:hAnsi="Times New Roman" w:cs="Times New Roman"/>
          <w:color w:val="auto"/>
        </w:rPr>
        <w:t>PhraseBank</w:t>
      </w:r>
      <w:proofErr w:type="spellEnd"/>
      <w:r w:rsidRPr="00C300D7">
        <w:rPr>
          <w:rFonts w:ascii="Times New Roman" w:hAnsi="Times New Roman" w:cs="Times New Roman"/>
          <w:color w:val="auto"/>
        </w:rPr>
        <w:t xml:space="preserve"> corpus to discern financial tone. Text is segmented into sentences using NLTK's </w:t>
      </w:r>
      <w:proofErr w:type="spellStart"/>
      <w:r w:rsidRPr="00C300D7">
        <w:rPr>
          <w:rFonts w:ascii="Times New Roman" w:hAnsi="Times New Roman" w:cs="Times New Roman"/>
          <w:color w:val="auto"/>
        </w:rPr>
        <w:t>punkt</w:t>
      </w:r>
      <w:proofErr w:type="spellEnd"/>
      <w:r w:rsidRPr="00C300D7">
        <w:rPr>
          <w:rFonts w:ascii="Times New Roman" w:hAnsi="Times New Roman" w:cs="Times New Roman"/>
          <w:color w:val="auto"/>
        </w:rPr>
        <w:t xml:space="preserve"> tokenizer. Each sentence is independently evaluated, outputting a discrete label (positive, negative, neutral) and a </w:t>
      </w:r>
      <w:proofErr w:type="spellStart"/>
      <w:r w:rsidRPr="00C300D7">
        <w:rPr>
          <w:rFonts w:ascii="Times New Roman" w:hAnsi="Times New Roman" w:cs="Times New Roman"/>
          <w:color w:val="auto"/>
        </w:rPr>
        <w:t>softmax</w:t>
      </w:r>
      <w:proofErr w:type="spellEnd"/>
      <w:r w:rsidRPr="00C300D7">
        <w:rPr>
          <w:rFonts w:ascii="Times New Roman" w:hAnsi="Times New Roman" w:cs="Times New Roman"/>
          <w:color w:val="auto"/>
        </w:rPr>
        <w:t xml:space="preserve"> probability score. </w:t>
      </w:r>
      <w:proofErr w:type="spellStart"/>
      <w:r w:rsidRPr="00C300D7">
        <w:rPr>
          <w:rFonts w:ascii="Times New Roman" w:hAnsi="Times New Roman" w:cs="Times New Roman"/>
          <w:color w:val="auto"/>
        </w:rPr>
        <w:t>FinBERTService</w:t>
      </w:r>
      <w:proofErr w:type="spellEnd"/>
      <w:r w:rsidRPr="00C300D7">
        <w:rPr>
          <w:rFonts w:ascii="Times New Roman" w:hAnsi="Times New Roman" w:cs="Times New Roman"/>
          <w:color w:val="auto"/>
        </w:rPr>
        <w:t xml:space="preserve"> computes aggregate document statistics: dominant polarity, sentiment distribution counts, and per-label average confidence scores.</w:t>
      </w:r>
    </w:p>
    <w:p w14:paraId="459CD499"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4.4 Contract Clause Extraction and Risk Engine (</w:t>
      </w:r>
      <w:proofErr w:type="spellStart"/>
      <w:r w:rsidRPr="00C300D7">
        <w:rPr>
          <w:rFonts w:ascii="Times New Roman" w:hAnsi="Times New Roman" w:cs="Times New Roman"/>
          <w:b/>
          <w:bCs/>
          <w:color w:val="auto"/>
          <w:sz w:val="24"/>
          <w:szCs w:val="24"/>
        </w:rPr>
        <w:t>LangExtractService</w:t>
      </w:r>
      <w:proofErr w:type="spellEnd"/>
      <w:r w:rsidRPr="00C300D7">
        <w:rPr>
          <w:rFonts w:ascii="Times New Roman" w:hAnsi="Times New Roman" w:cs="Times New Roman"/>
          <w:b/>
          <w:bCs/>
          <w:color w:val="auto"/>
          <w:sz w:val="24"/>
          <w:szCs w:val="24"/>
        </w:rPr>
        <w:t>)</w:t>
      </w:r>
    </w:p>
    <w:p w14:paraId="2C94D1DE" w14:textId="77777777" w:rsidR="007705B8" w:rsidRPr="00C300D7" w:rsidRDefault="00000000">
      <w:pPr>
        <w:spacing w:after="140"/>
        <w:jc w:val="both"/>
        <w:rPr>
          <w:rFonts w:ascii="Times New Roman" w:hAnsi="Times New Roman" w:cs="Times New Roman"/>
          <w:color w:val="auto"/>
        </w:rPr>
      </w:pPr>
      <w:proofErr w:type="spellStart"/>
      <w:r w:rsidRPr="00C300D7">
        <w:rPr>
          <w:rFonts w:ascii="Times New Roman" w:hAnsi="Times New Roman" w:cs="Times New Roman"/>
          <w:color w:val="auto"/>
        </w:rPr>
        <w:t>LangExtractService</w:t>
      </w:r>
      <w:proofErr w:type="spellEnd"/>
      <w:r w:rsidRPr="00C300D7">
        <w:rPr>
          <w:rFonts w:ascii="Times New Roman" w:hAnsi="Times New Roman" w:cs="Times New Roman"/>
          <w:color w:val="auto"/>
        </w:rPr>
        <w:t xml:space="preserve"> implements an advanced three-tier fallback hierarchy to guarantee continuous operation in the absence of internet connectivity or paid API quotas: (1) Primary Engine: Local LM Studio instance running Qwen3-8B or Gemma3-4B on port 1234; (2) Secondary Engine: Cloud </w:t>
      </w:r>
      <w:proofErr w:type="spellStart"/>
      <w:r w:rsidRPr="00C300D7">
        <w:rPr>
          <w:rFonts w:ascii="Times New Roman" w:hAnsi="Times New Roman" w:cs="Times New Roman"/>
          <w:color w:val="auto"/>
        </w:rPr>
        <w:t>Groq</w:t>
      </w:r>
      <w:proofErr w:type="spellEnd"/>
      <w:r w:rsidRPr="00C300D7">
        <w:rPr>
          <w:rFonts w:ascii="Times New Roman" w:hAnsi="Times New Roman" w:cs="Times New Roman"/>
          <w:color w:val="auto"/>
        </w:rPr>
        <w:t xml:space="preserve"> API running llama-3.1-8b-instant; (3) Tertiary Engine: Deterministic rule-based regex parser matching eight clause categories (Payment, Termination, Confidentiality, Liability, Governing Law, Force Majeure, Renewal, Intellectual Property). Each extracted clause is assigned an objective risk tier (Critical, High, Medium, Low) based on contractual thresholds [14].</w:t>
      </w:r>
    </w:p>
    <w:p w14:paraId="6443F4C8"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4.5 Contextual RAG AI Guide (</w:t>
      </w:r>
      <w:proofErr w:type="spellStart"/>
      <w:r w:rsidRPr="00C300D7">
        <w:rPr>
          <w:rFonts w:ascii="Times New Roman" w:hAnsi="Times New Roman" w:cs="Times New Roman"/>
          <w:b/>
          <w:bCs/>
          <w:color w:val="auto"/>
          <w:sz w:val="24"/>
          <w:szCs w:val="24"/>
        </w:rPr>
        <w:t>RAGService</w:t>
      </w:r>
      <w:proofErr w:type="spellEnd"/>
      <w:r w:rsidRPr="00C300D7">
        <w:rPr>
          <w:rFonts w:ascii="Times New Roman" w:hAnsi="Times New Roman" w:cs="Times New Roman"/>
          <w:b/>
          <w:bCs/>
          <w:color w:val="auto"/>
          <w:sz w:val="24"/>
          <w:szCs w:val="24"/>
        </w:rPr>
        <w:t>)</w:t>
      </w:r>
    </w:p>
    <w:p w14:paraId="1E129345" w14:textId="77777777" w:rsidR="007705B8" w:rsidRPr="00C300D7" w:rsidRDefault="00000000">
      <w:pPr>
        <w:spacing w:after="140"/>
        <w:jc w:val="both"/>
        <w:rPr>
          <w:rFonts w:ascii="Times New Roman" w:hAnsi="Times New Roman" w:cs="Times New Roman"/>
          <w:color w:val="auto"/>
        </w:rPr>
      </w:pPr>
      <w:proofErr w:type="spellStart"/>
      <w:r w:rsidRPr="00C300D7">
        <w:rPr>
          <w:rFonts w:ascii="Times New Roman" w:hAnsi="Times New Roman" w:cs="Times New Roman"/>
          <w:color w:val="auto"/>
        </w:rPr>
        <w:t>RAGService</w:t>
      </w:r>
      <w:proofErr w:type="spellEnd"/>
      <w:r w:rsidRPr="00C300D7">
        <w:rPr>
          <w:rFonts w:ascii="Times New Roman" w:hAnsi="Times New Roman" w:cs="Times New Roman"/>
          <w:color w:val="auto"/>
        </w:rPr>
        <w:t xml:space="preserve"> enables semantic question-answering grounded strictly within uploaded documents to eliminate hallucination [11]. The service chunks text into 300-word passages with 50-word overlaps. Embeddings are generated using Google Gemini (if GOOGLE_API_KEY is supplied) or a local deterministic 256-dimensional hashed n-gram embedding requiring zero external network calls. Incoming queries are matched via cosine similarity, and top passages are synthesized into contextual responses with explicit source citations.</w:t>
      </w:r>
    </w:p>
    <w:p w14:paraId="49A88626"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4.6 Export and Reporting Router (export_router.py)</w:t>
      </w:r>
    </w:p>
    <w:p w14:paraId="612F2F9A"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lastRenderedPageBreak/>
        <w:t>The export engine serializes analysis results into four standardized formats: structured JSON (for machine-to-machine pipelines), tabular CSV (for spreadsheet analysis), plain text summary, and an executive self-contained HTML report with inline responsive CSS styling, enabling seamless sharing without server dependencies.</w:t>
      </w:r>
    </w:p>
    <w:p w14:paraId="03B73314" w14:textId="7D829D26" w:rsidR="007705B8" w:rsidRPr="00C300D7" w:rsidRDefault="00000000" w:rsidP="00C300D7">
      <w:pPr>
        <w:rPr>
          <w:rFonts w:ascii="Times New Roman" w:hAnsi="Times New Roman" w:cs="Times New Roman"/>
          <w:color w:val="auto"/>
        </w:rPr>
      </w:pPr>
      <w:r w:rsidRPr="00C300D7">
        <w:rPr>
          <w:rFonts w:ascii="Times New Roman" w:hAnsi="Times New Roman" w:cs="Times New Roman"/>
          <w:b/>
          <w:bCs/>
          <w:color w:val="auto"/>
          <w:sz w:val="30"/>
          <w:szCs w:val="30"/>
        </w:rPr>
        <w:t>5. Frontend Architecture and Platform Visual Walkthrough</w:t>
      </w:r>
    </w:p>
    <w:p w14:paraId="262F48A7"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The frontend is implemented as a modern Single-Page Application (SPA) utilizing React 18, Vite 5, Tailwind CSS, Framer Motion for micro-animations, and </w:t>
      </w:r>
      <w:proofErr w:type="spellStart"/>
      <w:r w:rsidRPr="00C300D7">
        <w:rPr>
          <w:rFonts w:ascii="Times New Roman" w:hAnsi="Times New Roman" w:cs="Times New Roman"/>
          <w:color w:val="auto"/>
        </w:rPr>
        <w:t>Lucide</w:t>
      </w:r>
      <w:proofErr w:type="spellEnd"/>
      <w:r w:rsidRPr="00C300D7">
        <w:rPr>
          <w:rFonts w:ascii="Times New Roman" w:hAnsi="Times New Roman" w:cs="Times New Roman"/>
          <w:color w:val="auto"/>
        </w:rPr>
        <w:t xml:space="preserve"> React iconography. The client architecture emphasizes visual hierarchy, responsive layout, dark/light theme switching, and seamless state transitions across routes.</w:t>
      </w:r>
    </w:p>
    <w:p w14:paraId="7F0305F5"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5.1 Visual Walkthrough and Empirical Interface Captures</w:t>
      </w:r>
    </w:p>
    <w:p w14:paraId="3208794C"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The following figures present high-resolution captures of the active platform, documenting the end-to-end user workflow from initial landing to document upload, multi-service results exploration, and conversational question-answering.</w:t>
      </w:r>
    </w:p>
    <w:p w14:paraId="0A2224AA"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drawing>
          <wp:inline distT="0" distB="0" distL="0" distR="0" wp14:anchorId="5E7C1C7B" wp14:editId="5A5D7439">
            <wp:extent cx="5524500" cy="2762250"/>
            <wp:effectExtent l="0" t="0" r="0" b="0"/>
            <wp:docPr id="83162483" name="Picture 83162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762250"/>
                    </a:xfrm>
                    <a:prstGeom prst="rect">
                      <a:avLst/>
                    </a:prstGeom>
                  </pic:spPr>
                </pic:pic>
              </a:graphicData>
            </a:graphic>
          </wp:inline>
        </w:drawing>
      </w:r>
    </w:p>
    <w:p w14:paraId="5AE54F3E"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 xml:space="preserve">Figure 2: </w:t>
      </w:r>
      <w:proofErr w:type="spellStart"/>
      <w:r w:rsidRPr="00C300D7">
        <w:rPr>
          <w:rFonts w:ascii="Times New Roman" w:hAnsi="Times New Roman" w:cs="Times New Roman"/>
          <w:b/>
          <w:bCs/>
          <w:i/>
          <w:iCs/>
          <w:color w:val="auto"/>
          <w:sz w:val="19"/>
          <w:szCs w:val="19"/>
        </w:rPr>
        <w:t>FinSight</w:t>
      </w:r>
      <w:proofErr w:type="spellEnd"/>
      <w:r w:rsidRPr="00C300D7">
        <w:rPr>
          <w:rFonts w:ascii="Times New Roman" w:hAnsi="Times New Roman" w:cs="Times New Roman"/>
          <w:b/>
          <w:bCs/>
          <w:i/>
          <w:iCs/>
          <w:color w:val="auto"/>
          <w:sz w:val="19"/>
          <w:szCs w:val="19"/>
        </w:rPr>
        <w:t xml:space="preserve"> AI Landing Page — Hero Section, Architecture Overview, and Navigation Header</w:t>
      </w:r>
    </w:p>
    <w:p w14:paraId="2A1DF449"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2 illustrates the platform's entry point. The interface features a prominent value-proposition headline ('Financial Document Intelligence Platform'), capability pills (NER,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Sentiment, Contract Clause Extraction, RAG), and quick navigation controls. The top navigation bar provides instant access to Home, Upload, Results, About, and RAG routes, alongside light/dark theme toggles and Clerk authentication controls.</w:t>
      </w:r>
    </w:p>
    <w:p w14:paraId="5A316A89"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lastRenderedPageBreak/>
        <w:drawing>
          <wp:inline distT="0" distB="0" distL="0" distR="0" wp14:anchorId="4E408ADE" wp14:editId="1D1C5086">
            <wp:extent cx="5524500" cy="2762250"/>
            <wp:effectExtent l="0" t="0" r="0" b="0"/>
            <wp:docPr id="1283401724" name="Picture 1283401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762250"/>
                    </a:xfrm>
                    <a:prstGeom prst="rect">
                      <a:avLst/>
                    </a:prstGeom>
                  </pic:spPr>
                </pic:pic>
              </a:graphicData>
            </a:graphic>
          </wp:inline>
        </w:drawing>
      </w:r>
    </w:p>
    <w:p w14:paraId="34D0F7B1"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 xml:space="preserve">Figure 3: Multi-Stage Document Upload Wizard — Drag-and-Drop </w:t>
      </w:r>
      <w:proofErr w:type="spellStart"/>
      <w:r w:rsidRPr="00C300D7">
        <w:rPr>
          <w:rFonts w:ascii="Times New Roman" w:hAnsi="Times New Roman" w:cs="Times New Roman"/>
          <w:b/>
          <w:bCs/>
          <w:i/>
          <w:iCs/>
          <w:color w:val="auto"/>
          <w:sz w:val="19"/>
          <w:szCs w:val="19"/>
        </w:rPr>
        <w:t>Dropzone</w:t>
      </w:r>
      <w:proofErr w:type="spellEnd"/>
      <w:r w:rsidRPr="00C300D7">
        <w:rPr>
          <w:rFonts w:ascii="Times New Roman" w:hAnsi="Times New Roman" w:cs="Times New Roman"/>
          <w:b/>
          <w:bCs/>
          <w:i/>
          <w:iCs/>
          <w:color w:val="auto"/>
          <w:sz w:val="19"/>
          <w:szCs w:val="19"/>
        </w:rPr>
        <w:t>, Format Support, and Feature Toggles</w:t>
      </w:r>
    </w:p>
    <w:p w14:paraId="4FBB06AF"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3 depicts the three-step upload wizard (/upload). Users can drag-and-drop or browse files with visual badges for supported extensions (PDF, DOCX, TXT). Below the </w:t>
      </w:r>
      <w:proofErr w:type="spellStart"/>
      <w:r w:rsidRPr="00C300D7">
        <w:rPr>
          <w:rFonts w:ascii="Times New Roman" w:hAnsi="Times New Roman" w:cs="Times New Roman"/>
          <w:color w:val="auto"/>
        </w:rPr>
        <w:t>dropzone</w:t>
      </w:r>
      <w:proofErr w:type="spellEnd"/>
      <w:r w:rsidRPr="00C300D7">
        <w:rPr>
          <w:rFonts w:ascii="Times New Roman" w:hAnsi="Times New Roman" w:cs="Times New Roman"/>
          <w:color w:val="auto"/>
        </w:rPr>
        <w:t xml:space="preserve">, modular toggle cards allow analysts to independently enable or disable Named Entity Recognition,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Sentiment Analysis, and Clause Extraction prior to initiating server-side processing.</w:t>
      </w:r>
    </w:p>
    <w:p w14:paraId="54FC490E"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drawing>
          <wp:inline distT="0" distB="0" distL="0" distR="0" wp14:anchorId="6249F168" wp14:editId="49BEFC9F">
            <wp:extent cx="5524500" cy="2762250"/>
            <wp:effectExtent l="0" t="0" r="0" b="0"/>
            <wp:docPr id="280456433" name="Picture 280456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762250"/>
                    </a:xfrm>
                    <a:prstGeom prst="rect">
                      <a:avLst/>
                    </a:prstGeom>
                  </pic:spPr>
                </pic:pic>
              </a:graphicData>
            </a:graphic>
          </wp:inline>
        </w:drawing>
      </w:r>
    </w:p>
    <w:p w14:paraId="6D8B83FC"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Figure 4: Comprehensive Results Dashboard — KPI Cards, Entity Pie Chart, Sentiment Histogram, and Risk Donut Chart</w:t>
      </w:r>
    </w:p>
    <w:p w14:paraId="1C535BF3"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4 showcases the primary Results Dashboard (/results) after processing </w:t>
      </w:r>
      <w:proofErr w:type="spellStart"/>
      <w:r w:rsidRPr="00C300D7">
        <w:rPr>
          <w:rFonts w:ascii="Times New Roman" w:hAnsi="Times New Roman" w:cs="Times New Roman"/>
          <w:color w:val="auto"/>
        </w:rPr>
        <w:t>sample_data</w:t>
      </w:r>
      <w:proofErr w:type="spellEnd"/>
      <w:r w:rsidRPr="00C300D7">
        <w:rPr>
          <w:rFonts w:ascii="Times New Roman" w:hAnsi="Times New Roman" w:cs="Times New Roman"/>
          <w:color w:val="auto"/>
        </w:rPr>
        <w:t xml:space="preserve">/test_document.txt. Four executive KPI cards display Analysis Duration (2.4s), Entities Extracted (53), Documents Processed (1), and Overall Confidence (94%). Below, </w:t>
      </w:r>
      <w:proofErr w:type="gramStart"/>
      <w:r w:rsidRPr="00C300D7">
        <w:rPr>
          <w:rFonts w:ascii="Times New Roman" w:hAnsi="Times New Roman" w:cs="Times New Roman"/>
          <w:color w:val="auto"/>
        </w:rPr>
        <w:t>Recharts</w:t>
      </w:r>
      <w:proofErr w:type="gramEnd"/>
      <w:r w:rsidRPr="00C300D7">
        <w:rPr>
          <w:rFonts w:ascii="Times New Roman" w:hAnsi="Times New Roman" w:cs="Times New Roman"/>
          <w:color w:val="auto"/>
        </w:rPr>
        <w:t xml:space="preserve"> visual components depict the Entity Distribution pie chart (breaking down percentages across Duration, Money, Person, Org, Date), Sentiment Distribution bar chart, and Contract Risk Profile donut chart (identifying 2 High-Risk and 1 Medium-Risk clauses).</w:t>
      </w:r>
    </w:p>
    <w:p w14:paraId="44FB476D"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lastRenderedPageBreak/>
        <w:drawing>
          <wp:inline distT="0" distB="0" distL="0" distR="0" wp14:anchorId="3EEE316F" wp14:editId="52EB48B6">
            <wp:extent cx="5524500" cy="2762250"/>
            <wp:effectExtent l="0" t="0" r="0" b="0"/>
            <wp:docPr id="1845887411" name="Picture 1845887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762250"/>
                    </a:xfrm>
                    <a:prstGeom prst="rect">
                      <a:avLst/>
                    </a:prstGeom>
                  </pic:spPr>
                </pic:pic>
              </a:graphicData>
            </a:graphic>
          </wp:inline>
        </w:drawing>
      </w:r>
    </w:p>
    <w:p w14:paraId="76F00BBE"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Figure 5: Custom Named Entity Recognition Tab — Entity Category Badges, Extracted Tokens, and Metrics</w:t>
      </w:r>
    </w:p>
    <w:p w14:paraId="71FF6E7B"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Figure 5 displays the Named Entity Recognition tab. The top metric strip indicates 14 Total Entities across 7 distinct Entity Types with 94% Precision and 92% Confidence. The lower grid categorizes extracted spans into color-coded cards: Organization (Apple Inc.), Money ($89.5 billion, 150.25), Date (the quarter, Tuesday), Person (Tim Cook), and Payment Term ('within 30 days').</w:t>
      </w:r>
    </w:p>
    <w:p w14:paraId="6F3E6BA0"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drawing>
          <wp:inline distT="0" distB="0" distL="0" distR="0" wp14:anchorId="275162B5" wp14:editId="78448581">
            <wp:extent cx="5524500" cy="2762250"/>
            <wp:effectExtent l="0" t="0" r="0" b="0"/>
            <wp:docPr id="1377502163" name="Picture 1377502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762250"/>
                    </a:xfrm>
                    <a:prstGeom prst="rect">
                      <a:avLst/>
                    </a:prstGeom>
                  </pic:spPr>
                </pic:pic>
              </a:graphicData>
            </a:graphic>
          </wp:inline>
        </w:drawing>
      </w:r>
    </w:p>
    <w:p w14:paraId="48B3DE92"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 xml:space="preserve">Figure 6: </w:t>
      </w:r>
      <w:proofErr w:type="spellStart"/>
      <w:r w:rsidRPr="00C300D7">
        <w:rPr>
          <w:rFonts w:ascii="Times New Roman" w:hAnsi="Times New Roman" w:cs="Times New Roman"/>
          <w:b/>
          <w:bCs/>
          <w:i/>
          <w:iCs/>
          <w:color w:val="auto"/>
          <w:sz w:val="19"/>
          <w:szCs w:val="19"/>
        </w:rPr>
        <w:t>FinBERT</w:t>
      </w:r>
      <w:proofErr w:type="spellEnd"/>
      <w:r w:rsidRPr="00C300D7">
        <w:rPr>
          <w:rFonts w:ascii="Times New Roman" w:hAnsi="Times New Roman" w:cs="Times New Roman"/>
          <w:b/>
          <w:bCs/>
          <w:i/>
          <w:iCs/>
          <w:color w:val="auto"/>
          <w:sz w:val="19"/>
          <w:szCs w:val="19"/>
        </w:rPr>
        <w:t xml:space="preserve"> Sentiment Analysis Tab — Polarity Scores and Sentence-Level </w:t>
      </w:r>
      <w:proofErr w:type="spellStart"/>
      <w:r w:rsidRPr="00C300D7">
        <w:rPr>
          <w:rFonts w:ascii="Times New Roman" w:hAnsi="Times New Roman" w:cs="Times New Roman"/>
          <w:b/>
          <w:bCs/>
          <w:i/>
          <w:iCs/>
          <w:color w:val="auto"/>
          <w:sz w:val="19"/>
          <w:szCs w:val="19"/>
        </w:rPr>
        <w:t>Color</w:t>
      </w:r>
      <w:proofErr w:type="spellEnd"/>
      <w:r w:rsidRPr="00C300D7">
        <w:rPr>
          <w:rFonts w:ascii="Times New Roman" w:hAnsi="Times New Roman" w:cs="Times New Roman"/>
          <w:b/>
          <w:bCs/>
          <w:i/>
          <w:iCs/>
          <w:color w:val="auto"/>
          <w:sz w:val="19"/>
          <w:szCs w:val="19"/>
        </w:rPr>
        <w:t xml:space="preserve"> Coding</w:t>
      </w:r>
    </w:p>
    <w:p w14:paraId="376E7436"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6 details the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Sentiment Analysis interface. Sentences within the document are independently classified and presented in a line-by-line inspection container. </w:t>
      </w:r>
      <w:proofErr w:type="spellStart"/>
      <w:r w:rsidRPr="00C300D7">
        <w:rPr>
          <w:rFonts w:ascii="Times New Roman" w:hAnsi="Times New Roman" w:cs="Times New Roman"/>
          <w:color w:val="auto"/>
        </w:rPr>
        <w:t>Favorable</w:t>
      </w:r>
      <w:proofErr w:type="spellEnd"/>
      <w:r w:rsidRPr="00C300D7">
        <w:rPr>
          <w:rFonts w:ascii="Times New Roman" w:hAnsi="Times New Roman" w:cs="Times New Roman"/>
          <w:color w:val="auto"/>
        </w:rPr>
        <w:t xml:space="preserve"> sentences ('The stock price rose to $150.25 per share') are highlighted in light green with an 83% confidence rating, while neutral contractual terms ('Payment shall be made within 30 days') are classified as neutral with up to 94% confidence.</w:t>
      </w:r>
    </w:p>
    <w:p w14:paraId="236D080C"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lastRenderedPageBreak/>
        <w:drawing>
          <wp:inline distT="0" distB="0" distL="0" distR="0" wp14:anchorId="77C29833" wp14:editId="7F55E3EB">
            <wp:extent cx="5524500" cy="2762250"/>
            <wp:effectExtent l="0" t="0" r="0" b="0"/>
            <wp:docPr id="1406084743" name="Picture 14060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762250"/>
                    </a:xfrm>
                    <a:prstGeom prst="rect">
                      <a:avLst/>
                    </a:prstGeom>
                  </pic:spPr>
                </pic:pic>
              </a:graphicData>
            </a:graphic>
          </wp:inline>
        </w:drawing>
      </w:r>
    </w:p>
    <w:p w14:paraId="28DA7254"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Figure 7: Legal Clause Extraction &amp; Risk Assessment — Interactive Text Highlighter and Clause Classification Cards</w:t>
      </w:r>
    </w:p>
    <w:p w14:paraId="5F60BC4F"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7 presents the Clause Extraction and Risk Assessment view. Extracted legal clauses are dynamically highlighted in the primary document viewing pane using distinct </w:t>
      </w:r>
      <w:proofErr w:type="spellStart"/>
      <w:r w:rsidRPr="00C300D7">
        <w:rPr>
          <w:rFonts w:ascii="Times New Roman" w:hAnsi="Times New Roman" w:cs="Times New Roman"/>
          <w:color w:val="auto"/>
        </w:rPr>
        <w:t>color</w:t>
      </w:r>
      <w:proofErr w:type="spellEnd"/>
      <w:r w:rsidRPr="00C300D7">
        <w:rPr>
          <w:rFonts w:ascii="Times New Roman" w:hAnsi="Times New Roman" w:cs="Times New Roman"/>
          <w:color w:val="auto"/>
        </w:rPr>
        <w:t xml:space="preserve"> </w:t>
      </w:r>
      <w:proofErr w:type="spellStart"/>
      <w:r w:rsidRPr="00C300D7">
        <w:rPr>
          <w:rFonts w:ascii="Times New Roman" w:hAnsi="Times New Roman" w:cs="Times New Roman"/>
          <w:color w:val="auto"/>
        </w:rPr>
        <w:t>codings</w:t>
      </w:r>
      <w:proofErr w:type="spellEnd"/>
      <w:r w:rsidRPr="00C300D7">
        <w:rPr>
          <w:rFonts w:ascii="Times New Roman" w:hAnsi="Times New Roman" w:cs="Times New Roman"/>
          <w:color w:val="auto"/>
        </w:rPr>
        <w:t xml:space="preserve"> (Green for Payment, Orange for Termination, Purple for Confidentiality). The right-hand panel renders structured metadata cards displaying clause type, raw excerpt, and assessed risk level (e.g., Critical Priority for termination clauses).</w:t>
      </w:r>
    </w:p>
    <w:p w14:paraId="1D24FA98"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drawing>
          <wp:inline distT="0" distB="0" distL="0" distR="0" wp14:anchorId="1D15B744" wp14:editId="65248025">
            <wp:extent cx="5524500" cy="2762250"/>
            <wp:effectExtent l="0" t="0" r="0" b="0"/>
            <wp:docPr id="1595916123" name="Picture 1595916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524500" cy="2762250"/>
                    </a:xfrm>
                    <a:prstGeom prst="rect">
                      <a:avLst/>
                    </a:prstGeom>
                  </pic:spPr>
                </pic:pic>
              </a:graphicData>
            </a:graphic>
          </wp:inline>
        </w:drawing>
      </w:r>
    </w:p>
    <w:p w14:paraId="2EAE4F2B"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Figure 8: Contextual RAG AI Guide — Document-Grounded Conversational Interface with Source Attribution</w:t>
      </w:r>
    </w:p>
    <w:p w14:paraId="701FF611"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Figure 8 demonstrates the RAG Contextual AI Guide (/chatbot). The conversation reflects an analyst query: 'What is the payment term specified in the contract?'. The RAG assistant retrieves the indexed passages from test_document.txt and synthesizes a direct, grounded response citing Key Passage 1 ('Payment shall be made within 30 days of invoice date') and Key Passage 2, confirming zero hallucination.</w:t>
      </w:r>
    </w:p>
    <w:p w14:paraId="152FD507" w14:textId="77777777" w:rsidR="007705B8" w:rsidRPr="00C300D7" w:rsidRDefault="00000000">
      <w:pPr>
        <w:spacing w:before="200" w:after="100"/>
        <w:jc w:val="center"/>
        <w:rPr>
          <w:rFonts w:ascii="Times New Roman" w:hAnsi="Times New Roman" w:cs="Times New Roman"/>
          <w:color w:val="auto"/>
        </w:rPr>
      </w:pPr>
      <w:r w:rsidRPr="00C300D7">
        <w:rPr>
          <w:rFonts w:ascii="Times New Roman" w:hAnsi="Times New Roman" w:cs="Times New Roman"/>
          <w:noProof/>
          <w:color w:val="auto"/>
        </w:rPr>
        <w:lastRenderedPageBreak/>
        <w:drawing>
          <wp:inline distT="0" distB="0" distL="0" distR="0" wp14:anchorId="4455007B" wp14:editId="0C003DE3">
            <wp:extent cx="5524500" cy="2762250"/>
            <wp:effectExtent l="0" t="0" r="0" b="0"/>
            <wp:docPr id="1662408246" name="Picture 1662408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24500" cy="2762250"/>
                    </a:xfrm>
                    <a:prstGeom prst="rect">
                      <a:avLst/>
                    </a:prstGeom>
                  </pic:spPr>
                </pic:pic>
              </a:graphicData>
            </a:graphic>
          </wp:inline>
        </w:drawing>
      </w:r>
    </w:p>
    <w:p w14:paraId="670C21EA" w14:textId="77777777" w:rsidR="007705B8" w:rsidRPr="00C300D7" w:rsidRDefault="00000000">
      <w:pPr>
        <w:spacing w:after="220"/>
        <w:jc w:val="center"/>
        <w:rPr>
          <w:rFonts w:ascii="Times New Roman" w:hAnsi="Times New Roman" w:cs="Times New Roman"/>
          <w:color w:val="auto"/>
        </w:rPr>
      </w:pPr>
      <w:r w:rsidRPr="00C300D7">
        <w:rPr>
          <w:rFonts w:ascii="Times New Roman" w:hAnsi="Times New Roman" w:cs="Times New Roman"/>
          <w:b/>
          <w:bCs/>
          <w:i/>
          <w:iCs/>
          <w:color w:val="auto"/>
          <w:sz w:val="19"/>
          <w:szCs w:val="19"/>
        </w:rPr>
        <w:t xml:space="preserve">Figure 9: </w:t>
      </w:r>
      <w:proofErr w:type="spellStart"/>
      <w:r w:rsidRPr="00C300D7">
        <w:rPr>
          <w:rFonts w:ascii="Times New Roman" w:hAnsi="Times New Roman" w:cs="Times New Roman"/>
          <w:b/>
          <w:bCs/>
          <w:i/>
          <w:iCs/>
          <w:color w:val="auto"/>
          <w:sz w:val="19"/>
          <w:szCs w:val="19"/>
        </w:rPr>
        <w:t>FastAPI</w:t>
      </w:r>
      <w:proofErr w:type="spellEnd"/>
      <w:r w:rsidRPr="00C300D7">
        <w:rPr>
          <w:rFonts w:ascii="Times New Roman" w:hAnsi="Times New Roman" w:cs="Times New Roman"/>
          <w:b/>
          <w:bCs/>
          <w:i/>
          <w:iCs/>
          <w:color w:val="auto"/>
          <w:sz w:val="19"/>
          <w:szCs w:val="19"/>
        </w:rPr>
        <w:t xml:space="preserve"> </w:t>
      </w:r>
      <w:proofErr w:type="spellStart"/>
      <w:r w:rsidRPr="00C300D7">
        <w:rPr>
          <w:rFonts w:ascii="Times New Roman" w:hAnsi="Times New Roman" w:cs="Times New Roman"/>
          <w:b/>
          <w:bCs/>
          <w:i/>
          <w:iCs/>
          <w:color w:val="auto"/>
          <w:sz w:val="19"/>
          <w:szCs w:val="19"/>
        </w:rPr>
        <w:t>OpenAPI</w:t>
      </w:r>
      <w:proofErr w:type="spellEnd"/>
      <w:r w:rsidRPr="00C300D7">
        <w:rPr>
          <w:rFonts w:ascii="Times New Roman" w:hAnsi="Times New Roman" w:cs="Times New Roman"/>
          <w:b/>
          <w:bCs/>
          <w:i/>
          <w:iCs/>
          <w:color w:val="auto"/>
          <w:sz w:val="19"/>
          <w:szCs w:val="19"/>
        </w:rPr>
        <w:t xml:space="preserve"> / Swagger Interactive Documentation Interface (/docs)</w:t>
      </w:r>
    </w:p>
    <w:p w14:paraId="577E0CEF"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Figure 9 illustrates the interactive </w:t>
      </w:r>
      <w:proofErr w:type="spellStart"/>
      <w:r w:rsidRPr="00C300D7">
        <w:rPr>
          <w:rFonts w:ascii="Times New Roman" w:hAnsi="Times New Roman" w:cs="Times New Roman"/>
          <w:color w:val="auto"/>
        </w:rPr>
        <w:t>OpenAPI</w:t>
      </w:r>
      <w:proofErr w:type="spellEnd"/>
      <w:r w:rsidRPr="00C300D7">
        <w:rPr>
          <w:rFonts w:ascii="Times New Roman" w:hAnsi="Times New Roman" w:cs="Times New Roman"/>
          <w:color w:val="auto"/>
        </w:rPr>
        <w:t xml:space="preserve"> Swagger documentation (/docs) generated natively by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detailing all pipeline, NER, sentiment, RAG, and export endpoints.</w:t>
      </w:r>
    </w:p>
    <w:p w14:paraId="19C3217D"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t>6. API Specifications and System Interoperability</w:t>
      </w:r>
    </w:p>
    <w:p w14:paraId="6DE88B21"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The backend exposes a versioned RESTful API under the /</w:t>
      </w:r>
      <w:proofErr w:type="spellStart"/>
      <w:r w:rsidRPr="00C300D7">
        <w:rPr>
          <w:rFonts w:ascii="Times New Roman" w:hAnsi="Times New Roman" w:cs="Times New Roman"/>
          <w:color w:val="auto"/>
        </w:rPr>
        <w:t>api</w:t>
      </w:r>
      <w:proofErr w:type="spellEnd"/>
      <w:r w:rsidRPr="00C300D7">
        <w:rPr>
          <w:rFonts w:ascii="Times New Roman" w:hAnsi="Times New Roman" w:cs="Times New Roman"/>
          <w:color w:val="auto"/>
        </w:rPr>
        <w:t>/v1 prefix, documented in Table 2:</w:t>
      </w:r>
    </w:p>
    <w:p w14:paraId="0D2E5F36"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6.1 Core API Endpoint Directory</w:t>
      </w:r>
    </w:p>
    <w:tbl>
      <w:tblPr>
        <w:tblW w:w="9800" w:type="dxa"/>
        <w:tblBorders>
          <w:top w:val="single" w:sz="4" w:space="0" w:color="CBD5E0"/>
          <w:left w:val="single" w:sz="4" w:space="0" w:color="CBD5E0"/>
          <w:bottom w:val="single" w:sz="4" w:space="0" w:color="CBD5E0"/>
          <w:right w:val="single" w:sz="4" w:space="0" w:color="CBD5E0"/>
          <w:insideH w:val="single" w:sz="2" w:space="0" w:color="CBD5E0"/>
          <w:insideV w:val="single" w:sz="2" w:space="0" w:color="CBD5E0"/>
        </w:tblBorders>
        <w:tblCellMar>
          <w:left w:w="10" w:type="dxa"/>
          <w:right w:w="10" w:type="dxa"/>
        </w:tblCellMar>
        <w:tblLook w:val="0000" w:firstRow="0" w:lastRow="0" w:firstColumn="0" w:lastColumn="0" w:noHBand="0" w:noVBand="0"/>
      </w:tblPr>
      <w:tblGrid>
        <w:gridCol w:w="1380"/>
        <w:gridCol w:w="2589"/>
        <w:gridCol w:w="1979"/>
        <w:gridCol w:w="1494"/>
        <w:gridCol w:w="2358"/>
      </w:tblGrid>
      <w:tr w:rsidR="007705B8" w:rsidRPr="00C300D7" w14:paraId="5F016DC2" w14:textId="77777777" w:rsidTr="00C300D7">
        <w:trPr>
          <w:tblHeader/>
        </w:trPr>
        <w:tc>
          <w:tcPr>
            <w:tcW w:w="1400" w:type="dxa"/>
            <w:shd w:val="clear" w:color="auto" w:fill="FFFFFF" w:themeFill="background1"/>
            <w:tcMar>
              <w:top w:w="100" w:type="dxa"/>
              <w:left w:w="140" w:type="dxa"/>
              <w:bottom w:w="100" w:type="dxa"/>
              <w:right w:w="140" w:type="dxa"/>
            </w:tcMar>
          </w:tcPr>
          <w:p w14:paraId="4707559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HTTP Method</w:t>
            </w:r>
          </w:p>
        </w:tc>
        <w:tc>
          <w:tcPr>
            <w:tcW w:w="2600" w:type="dxa"/>
            <w:shd w:val="clear" w:color="auto" w:fill="FFFFFF" w:themeFill="background1"/>
            <w:tcMar>
              <w:top w:w="100" w:type="dxa"/>
              <w:left w:w="140" w:type="dxa"/>
              <w:bottom w:w="100" w:type="dxa"/>
              <w:right w:w="140" w:type="dxa"/>
            </w:tcMar>
          </w:tcPr>
          <w:p w14:paraId="7F6B3374"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Endpoint Route</w:t>
            </w:r>
          </w:p>
        </w:tc>
        <w:tc>
          <w:tcPr>
            <w:tcW w:w="2000" w:type="dxa"/>
            <w:shd w:val="clear" w:color="auto" w:fill="FFFFFF" w:themeFill="background1"/>
            <w:tcMar>
              <w:top w:w="100" w:type="dxa"/>
              <w:left w:w="140" w:type="dxa"/>
              <w:bottom w:w="100" w:type="dxa"/>
              <w:right w:w="140" w:type="dxa"/>
            </w:tcMar>
          </w:tcPr>
          <w:p w14:paraId="4EA1F2C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Consumes / Payload</w:t>
            </w:r>
          </w:p>
        </w:tc>
        <w:tc>
          <w:tcPr>
            <w:tcW w:w="1400" w:type="dxa"/>
            <w:shd w:val="clear" w:color="auto" w:fill="FFFFFF" w:themeFill="background1"/>
            <w:tcMar>
              <w:top w:w="100" w:type="dxa"/>
              <w:left w:w="140" w:type="dxa"/>
              <w:bottom w:w="100" w:type="dxa"/>
              <w:right w:w="140" w:type="dxa"/>
            </w:tcMar>
          </w:tcPr>
          <w:p w14:paraId="35EBD66C"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Produces</w:t>
            </w:r>
          </w:p>
        </w:tc>
        <w:tc>
          <w:tcPr>
            <w:tcW w:w="2400" w:type="dxa"/>
            <w:shd w:val="clear" w:color="auto" w:fill="FFFFFF" w:themeFill="background1"/>
            <w:tcMar>
              <w:top w:w="100" w:type="dxa"/>
              <w:left w:w="140" w:type="dxa"/>
              <w:bottom w:w="100" w:type="dxa"/>
              <w:right w:w="140" w:type="dxa"/>
            </w:tcMar>
          </w:tcPr>
          <w:p w14:paraId="338DB91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b/>
                <w:bCs/>
                <w:color w:val="auto"/>
                <w:sz w:val="19"/>
                <w:szCs w:val="19"/>
              </w:rPr>
              <w:t>Functional Description</w:t>
            </w:r>
          </w:p>
        </w:tc>
      </w:tr>
      <w:tr w:rsidR="007705B8" w:rsidRPr="00C300D7" w14:paraId="150D0E7F" w14:textId="77777777">
        <w:tc>
          <w:tcPr>
            <w:tcW w:w="1400" w:type="dxa"/>
            <w:tcMar>
              <w:top w:w="100" w:type="dxa"/>
              <w:left w:w="140" w:type="dxa"/>
              <w:bottom w:w="100" w:type="dxa"/>
              <w:right w:w="140" w:type="dxa"/>
            </w:tcMar>
          </w:tcPr>
          <w:p w14:paraId="54DC883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tcMar>
              <w:top w:w="100" w:type="dxa"/>
              <w:left w:w="140" w:type="dxa"/>
              <w:bottom w:w="100" w:type="dxa"/>
              <w:right w:w="140" w:type="dxa"/>
            </w:tcMar>
          </w:tcPr>
          <w:p w14:paraId="2B63610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/v1/pipeline/process-document</w:t>
            </w:r>
          </w:p>
        </w:tc>
        <w:tc>
          <w:tcPr>
            <w:tcW w:w="2000" w:type="dxa"/>
            <w:tcMar>
              <w:top w:w="100" w:type="dxa"/>
              <w:left w:w="140" w:type="dxa"/>
              <w:bottom w:w="100" w:type="dxa"/>
              <w:right w:w="140" w:type="dxa"/>
            </w:tcMar>
          </w:tcPr>
          <w:p w14:paraId="1E8F283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multipart/form-data (file, flags)</w:t>
            </w:r>
          </w:p>
        </w:tc>
        <w:tc>
          <w:tcPr>
            <w:tcW w:w="1400" w:type="dxa"/>
            <w:tcMar>
              <w:top w:w="100" w:type="dxa"/>
              <w:left w:w="140" w:type="dxa"/>
              <w:bottom w:w="100" w:type="dxa"/>
              <w:right w:w="140" w:type="dxa"/>
            </w:tcMar>
          </w:tcPr>
          <w:p w14:paraId="7506561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tcMar>
              <w:top w:w="100" w:type="dxa"/>
              <w:left w:w="140" w:type="dxa"/>
              <w:bottom w:w="100" w:type="dxa"/>
              <w:right w:w="140" w:type="dxa"/>
            </w:tcMar>
          </w:tcPr>
          <w:p w14:paraId="0F218C3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Executes full document pipeline (Text extraction, NER, </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Clause extraction, RAG index).</w:t>
            </w:r>
          </w:p>
        </w:tc>
      </w:tr>
      <w:tr w:rsidR="007705B8" w:rsidRPr="00C300D7" w14:paraId="6D26AEBD" w14:textId="77777777">
        <w:tc>
          <w:tcPr>
            <w:tcW w:w="1400" w:type="dxa"/>
            <w:shd w:val="clear" w:color="auto" w:fill="F8FAFC"/>
            <w:tcMar>
              <w:top w:w="100" w:type="dxa"/>
              <w:left w:w="140" w:type="dxa"/>
              <w:bottom w:w="100" w:type="dxa"/>
              <w:right w:w="140" w:type="dxa"/>
            </w:tcMar>
          </w:tcPr>
          <w:p w14:paraId="30F1E2EC"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GET</w:t>
            </w:r>
          </w:p>
        </w:tc>
        <w:tc>
          <w:tcPr>
            <w:tcW w:w="2600" w:type="dxa"/>
            <w:shd w:val="clear" w:color="auto" w:fill="F8FAFC"/>
            <w:tcMar>
              <w:top w:w="100" w:type="dxa"/>
              <w:left w:w="140" w:type="dxa"/>
              <w:bottom w:w="100" w:type="dxa"/>
              <w:right w:w="140" w:type="dxa"/>
            </w:tcMar>
          </w:tcPr>
          <w:p w14:paraId="4A9B47D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/v1/pipeline/pipeline-status</w:t>
            </w:r>
          </w:p>
        </w:tc>
        <w:tc>
          <w:tcPr>
            <w:tcW w:w="2000" w:type="dxa"/>
            <w:shd w:val="clear" w:color="auto" w:fill="F8FAFC"/>
            <w:tcMar>
              <w:top w:w="100" w:type="dxa"/>
              <w:left w:w="140" w:type="dxa"/>
              <w:bottom w:w="100" w:type="dxa"/>
              <w:right w:w="140" w:type="dxa"/>
            </w:tcMar>
          </w:tcPr>
          <w:p w14:paraId="421F96E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None</w:t>
            </w:r>
          </w:p>
        </w:tc>
        <w:tc>
          <w:tcPr>
            <w:tcW w:w="1400" w:type="dxa"/>
            <w:shd w:val="clear" w:color="auto" w:fill="F8FAFC"/>
            <w:tcMar>
              <w:top w:w="100" w:type="dxa"/>
              <w:left w:w="140" w:type="dxa"/>
              <w:bottom w:w="100" w:type="dxa"/>
              <w:right w:w="140" w:type="dxa"/>
            </w:tcMar>
          </w:tcPr>
          <w:p w14:paraId="50EC5A8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shd w:val="clear" w:color="auto" w:fill="F8FAFC"/>
            <w:tcMar>
              <w:top w:w="100" w:type="dxa"/>
              <w:left w:w="140" w:type="dxa"/>
              <w:bottom w:w="100" w:type="dxa"/>
              <w:right w:w="140" w:type="dxa"/>
            </w:tcMar>
          </w:tcPr>
          <w:p w14:paraId="1658F11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Returns operational health and readiness of all integrated NLP microservices.</w:t>
            </w:r>
          </w:p>
        </w:tc>
      </w:tr>
      <w:tr w:rsidR="007705B8" w:rsidRPr="00C300D7" w14:paraId="670A5E6E" w14:textId="77777777">
        <w:tc>
          <w:tcPr>
            <w:tcW w:w="1400" w:type="dxa"/>
            <w:tcMar>
              <w:top w:w="100" w:type="dxa"/>
              <w:left w:w="140" w:type="dxa"/>
              <w:bottom w:w="100" w:type="dxa"/>
              <w:right w:w="140" w:type="dxa"/>
            </w:tcMar>
          </w:tcPr>
          <w:p w14:paraId="000A744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tcMar>
              <w:top w:w="100" w:type="dxa"/>
              <w:left w:w="140" w:type="dxa"/>
              <w:bottom w:w="100" w:type="dxa"/>
              <w:right w:w="140" w:type="dxa"/>
            </w:tcMar>
          </w:tcPr>
          <w:p w14:paraId="2C1ADB86"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w:t>
            </w:r>
            <w:proofErr w:type="spellStart"/>
            <w:r w:rsidRPr="00C300D7">
              <w:rPr>
                <w:rFonts w:ascii="Times New Roman" w:hAnsi="Times New Roman" w:cs="Times New Roman"/>
                <w:color w:val="auto"/>
                <w:sz w:val="19"/>
                <w:szCs w:val="19"/>
              </w:rPr>
              <w:t>ner</w:t>
            </w:r>
            <w:proofErr w:type="spellEnd"/>
            <w:r w:rsidRPr="00C300D7">
              <w:rPr>
                <w:rFonts w:ascii="Times New Roman" w:hAnsi="Times New Roman" w:cs="Times New Roman"/>
                <w:color w:val="auto"/>
                <w:sz w:val="19"/>
                <w:szCs w:val="19"/>
              </w:rPr>
              <w:t>/extract-entities</w:t>
            </w:r>
          </w:p>
        </w:tc>
        <w:tc>
          <w:tcPr>
            <w:tcW w:w="2000" w:type="dxa"/>
            <w:tcMar>
              <w:top w:w="100" w:type="dxa"/>
              <w:left w:w="140" w:type="dxa"/>
              <w:bottom w:w="100" w:type="dxa"/>
              <w:right w:w="140" w:type="dxa"/>
            </w:tcMar>
          </w:tcPr>
          <w:p w14:paraId="1D646B7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r w:rsidRPr="00C300D7">
              <w:rPr>
                <w:rFonts w:ascii="Times New Roman" w:hAnsi="Times New Roman" w:cs="Times New Roman"/>
                <w:color w:val="auto"/>
                <w:sz w:val="19"/>
                <w:szCs w:val="19"/>
              </w:rPr>
              <w:t xml:space="preserve"> (text, threshold)</w:t>
            </w:r>
          </w:p>
        </w:tc>
        <w:tc>
          <w:tcPr>
            <w:tcW w:w="1400" w:type="dxa"/>
            <w:tcMar>
              <w:top w:w="100" w:type="dxa"/>
              <w:left w:w="140" w:type="dxa"/>
              <w:bottom w:w="100" w:type="dxa"/>
              <w:right w:w="140" w:type="dxa"/>
            </w:tcMar>
          </w:tcPr>
          <w:p w14:paraId="307B75CB"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tcMar>
              <w:top w:w="100" w:type="dxa"/>
              <w:left w:w="140" w:type="dxa"/>
              <w:bottom w:w="100" w:type="dxa"/>
              <w:right w:w="140" w:type="dxa"/>
            </w:tcMar>
          </w:tcPr>
          <w:p w14:paraId="0B62C41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Extracts financial entities, token spans, labels, and confidence metrics.</w:t>
            </w:r>
          </w:p>
        </w:tc>
      </w:tr>
      <w:tr w:rsidR="007705B8" w:rsidRPr="00C300D7" w14:paraId="6BBFEF8B" w14:textId="77777777">
        <w:tc>
          <w:tcPr>
            <w:tcW w:w="1400" w:type="dxa"/>
            <w:shd w:val="clear" w:color="auto" w:fill="F8FAFC"/>
            <w:tcMar>
              <w:top w:w="100" w:type="dxa"/>
              <w:left w:w="140" w:type="dxa"/>
              <w:bottom w:w="100" w:type="dxa"/>
              <w:right w:w="140" w:type="dxa"/>
            </w:tcMar>
          </w:tcPr>
          <w:p w14:paraId="13D5904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shd w:val="clear" w:color="auto" w:fill="F8FAFC"/>
            <w:tcMar>
              <w:top w:w="100" w:type="dxa"/>
              <w:left w:w="140" w:type="dxa"/>
              <w:bottom w:w="100" w:type="dxa"/>
              <w:right w:w="140" w:type="dxa"/>
            </w:tcMar>
          </w:tcPr>
          <w:p w14:paraId="030BF5D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analyze</w:t>
            </w:r>
            <w:proofErr w:type="spellEnd"/>
            <w:r w:rsidRPr="00C300D7">
              <w:rPr>
                <w:rFonts w:ascii="Times New Roman" w:hAnsi="Times New Roman" w:cs="Times New Roman"/>
                <w:color w:val="auto"/>
                <w:sz w:val="19"/>
                <w:szCs w:val="19"/>
              </w:rPr>
              <w:t>-sentiment</w:t>
            </w:r>
          </w:p>
        </w:tc>
        <w:tc>
          <w:tcPr>
            <w:tcW w:w="2000" w:type="dxa"/>
            <w:shd w:val="clear" w:color="auto" w:fill="F8FAFC"/>
            <w:tcMar>
              <w:top w:w="100" w:type="dxa"/>
              <w:left w:w="140" w:type="dxa"/>
              <w:bottom w:w="100" w:type="dxa"/>
              <w:right w:w="140" w:type="dxa"/>
            </w:tcMar>
          </w:tcPr>
          <w:p w14:paraId="7CE305F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r w:rsidRPr="00C300D7">
              <w:rPr>
                <w:rFonts w:ascii="Times New Roman" w:hAnsi="Times New Roman" w:cs="Times New Roman"/>
                <w:color w:val="auto"/>
                <w:sz w:val="19"/>
                <w:szCs w:val="19"/>
              </w:rPr>
              <w:t xml:space="preserve"> (text)</w:t>
            </w:r>
          </w:p>
        </w:tc>
        <w:tc>
          <w:tcPr>
            <w:tcW w:w="1400" w:type="dxa"/>
            <w:shd w:val="clear" w:color="auto" w:fill="F8FAFC"/>
            <w:tcMar>
              <w:top w:w="100" w:type="dxa"/>
              <w:left w:w="140" w:type="dxa"/>
              <w:bottom w:w="100" w:type="dxa"/>
              <w:right w:w="140" w:type="dxa"/>
            </w:tcMar>
          </w:tcPr>
          <w:p w14:paraId="2C6955F7"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shd w:val="clear" w:color="auto" w:fill="F8FAFC"/>
            <w:tcMar>
              <w:top w:w="100" w:type="dxa"/>
              <w:left w:w="140" w:type="dxa"/>
              <w:bottom w:w="100" w:type="dxa"/>
              <w:right w:w="140" w:type="dxa"/>
            </w:tcMar>
          </w:tcPr>
          <w:p w14:paraId="60139ECC"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 xml:space="preserve">Executes sentence-level </w:t>
            </w:r>
            <w:proofErr w:type="spellStart"/>
            <w:r w:rsidRPr="00C300D7">
              <w:rPr>
                <w:rFonts w:ascii="Times New Roman" w:hAnsi="Times New Roman" w:cs="Times New Roman"/>
                <w:color w:val="auto"/>
                <w:sz w:val="19"/>
                <w:szCs w:val="19"/>
              </w:rPr>
              <w:t>FinBERT</w:t>
            </w:r>
            <w:proofErr w:type="spellEnd"/>
            <w:r w:rsidRPr="00C300D7">
              <w:rPr>
                <w:rFonts w:ascii="Times New Roman" w:hAnsi="Times New Roman" w:cs="Times New Roman"/>
                <w:color w:val="auto"/>
                <w:sz w:val="19"/>
                <w:szCs w:val="19"/>
              </w:rPr>
              <w:t xml:space="preserve"> sentiment scoring and returns aggregate distribution.</w:t>
            </w:r>
          </w:p>
        </w:tc>
      </w:tr>
      <w:tr w:rsidR="007705B8" w:rsidRPr="00C300D7" w14:paraId="33084D82" w14:textId="77777777">
        <w:tc>
          <w:tcPr>
            <w:tcW w:w="1400" w:type="dxa"/>
            <w:tcMar>
              <w:top w:w="100" w:type="dxa"/>
              <w:left w:w="140" w:type="dxa"/>
              <w:bottom w:w="100" w:type="dxa"/>
              <w:right w:w="140" w:type="dxa"/>
            </w:tcMar>
          </w:tcPr>
          <w:p w14:paraId="3D5595D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tcMar>
              <w:top w:w="100" w:type="dxa"/>
              <w:left w:w="140" w:type="dxa"/>
              <w:bottom w:w="100" w:type="dxa"/>
              <w:right w:w="140" w:type="dxa"/>
            </w:tcMar>
          </w:tcPr>
          <w:p w14:paraId="17632E8E"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w:t>
            </w:r>
            <w:proofErr w:type="spellStart"/>
            <w:r w:rsidRPr="00C300D7">
              <w:rPr>
                <w:rFonts w:ascii="Times New Roman" w:hAnsi="Times New Roman" w:cs="Times New Roman"/>
                <w:color w:val="auto"/>
                <w:sz w:val="19"/>
                <w:szCs w:val="19"/>
              </w:rPr>
              <w:t>langextract</w:t>
            </w:r>
            <w:proofErr w:type="spellEnd"/>
            <w:r w:rsidRPr="00C300D7">
              <w:rPr>
                <w:rFonts w:ascii="Times New Roman" w:hAnsi="Times New Roman" w:cs="Times New Roman"/>
                <w:color w:val="auto"/>
                <w:sz w:val="19"/>
                <w:szCs w:val="19"/>
              </w:rPr>
              <w:t>/extract-clauses</w:t>
            </w:r>
          </w:p>
        </w:tc>
        <w:tc>
          <w:tcPr>
            <w:tcW w:w="2000" w:type="dxa"/>
            <w:tcMar>
              <w:top w:w="100" w:type="dxa"/>
              <w:left w:w="140" w:type="dxa"/>
              <w:bottom w:w="100" w:type="dxa"/>
              <w:right w:w="140" w:type="dxa"/>
            </w:tcMar>
          </w:tcPr>
          <w:p w14:paraId="52FDCD4F"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r w:rsidRPr="00C300D7">
              <w:rPr>
                <w:rFonts w:ascii="Times New Roman" w:hAnsi="Times New Roman" w:cs="Times New Roman"/>
                <w:color w:val="auto"/>
                <w:sz w:val="19"/>
                <w:szCs w:val="19"/>
              </w:rPr>
              <w:t xml:space="preserve"> (text, prompt)</w:t>
            </w:r>
          </w:p>
        </w:tc>
        <w:tc>
          <w:tcPr>
            <w:tcW w:w="1400" w:type="dxa"/>
            <w:tcMar>
              <w:top w:w="100" w:type="dxa"/>
              <w:left w:w="140" w:type="dxa"/>
              <w:bottom w:w="100" w:type="dxa"/>
              <w:right w:w="140" w:type="dxa"/>
            </w:tcMar>
          </w:tcPr>
          <w:p w14:paraId="6DBA33B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tcMar>
              <w:top w:w="100" w:type="dxa"/>
              <w:left w:w="140" w:type="dxa"/>
              <w:bottom w:w="100" w:type="dxa"/>
              <w:right w:w="140" w:type="dxa"/>
            </w:tcMar>
          </w:tcPr>
          <w:p w14:paraId="1B5F533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Classifies legal/financial clauses and calculates contractual risk levels.</w:t>
            </w:r>
          </w:p>
        </w:tc>
      </w:tr>
      <w:tr w:rsidR="007705B8" w:rsidRPr="00C300D7" w14:paraId="11ABC8E7" w14:textId="77777777">
        <w:tc>
          <w:tcPr>
            <w:tcW w:w="1400" w:type="dxa"/>
            <w:shd w:val="clear" w:color="auto" w:fill="F8FAFC"/>
            <w:tcMar>
              <w:top w:w="100" w:type="dxa"/>
              <w:left w:w="140" w:type="dxa"/>
              <w:bottom w:w="100" w:type="dxa"/>
              <w:right w:w="140" w:type="dxa"/>
            </w:tcMar>
          </w:tcPr>
          <w:p w14:paraId="6092369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lastRenderedPageBreak/>
              <w:t>POST</w:t>
            </w:r>
          </w:p>
        </w:tc>
        <w:tc>
          <w:tcPr>
            <w:tcW w:w="2600" w:type="dxa"/>
            <w:shd w:val="clear" w:color="auto" w:fill="F8FAFC"/>
            <w:tcMar>
              <w:top w:w="100" w:type="dxa"/>
              <w:left w:w="140" w:type="dxa"/>
              <w:bottom w:w="100" w:type="dxa"/>
              <w:right w:w="140" w:type="dxa"/>
            </w:tcMar>
          </w:tcPr>
          <w:p w14:paraId="6445FC53"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/v1/rag/upload-document</w:t>
            </w:r>
          </w:p>
        </w:tc>
        <w:tc>
          <w:tcPr>
            <w:tcW w:w="2000" w:type="dxa"/>
            <w:shd w:val="clear" w:color="auto" w:fill="F8FAFC"/>
            <w:tcMar>
              <w:top w:w="100" w:type="dxa"/>
              <w:left w:w="140" w:type="dxa"/>
              <w:bottom w:w="100" w:type="dxa"/>
              <w:right w:w="140" w:type="dxa"/>
            </w:tcMar>
          </w:tcPr>
          <w:p w14:paraId="6BEDED71"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multipart/form-data (file)</w:t>
            </w:r>
          </w:p>
        </w:tc>
        <w:tc>
          <w:tcPr>
            <w:tcW w:w="1400" w:type="dxa"/>
            <w:shd w:val="clear" w:color="auto" w:fill="F8FAFC"/>
            <w:tcMar>
              <w:top w:w="100" w:type="dxa"/>
              <w:left w:w="140" w:type="dxa"/>
              <w:bottom w:w="100" w:type="dxa"/>
              <w:right w:w="140" w:type="dxa"/>
            </w:tcMar>
          </w:tcPr>
          <w:p w14:paraId="21BAFA78"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shd w:val="clear" w:color="auto" w:fill="F8FAFC"/>
            <w:tcMar>
              <w:top w:w="100" w:type="dxa"/>
              <w:left w:w="140" w:type="dxa"/>
              <w:bottom w:w="100" w:type="dxa"/>
              <w:right w:w="140" w:type="dxa"/>
            </w:tcMar>
          </w:tcPr>
          <w:p w14:paraId="1D278F29"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Chunks, embeds, and indexes document into vector knowledge base.</w:t>
            </w:r>
          </w:p>
        </w:tc>
      </w:tr>
      <w:tr w:rsidR="007705B8" w:rsidRPr="00C300D7" w14:paraId="79854F6C" w14:textId="77777777">
        <w:tc>
          <w:tcPr>
            <w:tcW w:w="1400" w:type="dxa"/>
            <w:tcMar>
              <w:top w:w="100" w:type="dxa"/>
              <w:left w:w="140" w:type="dxa"/>
              <w:bottom w:w="100" w:type="dxa"/>
              <w:right w:w="140" w:type="dxa"/>
            </w:tcMar>
          </w:tcPr>
          <w:p w14:paraId="0646F17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tcMar>
              <w:top w:w="100" w:type="dxa"/>
              <w:left w:w="140" w:type="dxa"/>
              <w:bottom w:w="100" w:type="dxa"/>
              <w:right w:w="140" w:type="dxa"/>
            </w:tcMar>
          </w:tcPr>
          <w:p w14:paraId="6AA9B712"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/v1/rag/query</w:t>
            </w:r>
          </w:p>
        </w:tc>
        <w:tc>
          <w:tcPr>
            <w:tcW w:w="2000" w:type="dxa"/>
            <w:tcMar>
              <w:top w:w="100" w:type="dxa"/>
              <w:left w:w="140" w:type="dxa"/>
              <w:bottom w:w="100" w:type="dxa"/>
              <w:right w:w="140" w:type="dxa"/>
            </w:tcMar>
          </w:tcPr>
          <w:p w14:paraId="0BE115C5"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r w:rsidRPr="00C300D7">
              <w:rPr>
                <w:rFonts w:ascii="Times New Roman" w:hAnsi="Times New Roman" w:cs="Times New Roman"/>
                <w:color w:val="auto"/>
                <w:sz w:val="19"/>
                <w:szCs w:val="19"/>
              </w:rPr>
              <w:t xml:space="preserve"> (question, </w:t>
            </w:r>
            <w:proofErr w:type="spellStart"/>
            <w:r w:rsidRPr="00C300D7">
              <w:rPr>
                <w:rFonts w:ascii="Times New Roman" w:hAnsi="Times New Roman" w:cs="Times New Roman"/>
                <w:color w:val="auto"/>
                <w:sz w:val="19"/>
                <w:szCs w:val="19"/>
              </w:rPr>
              <w:t>top_k</w:t>
            </w:r>
            <w:proofErr w:type="spellEnd"/>
            <w:r w:rsidRPr="00C300D7">
              <w:rPr>
                <w:rFonts w:ascii="Times New Roman" w:hAnsi="Times New Roman" w:cs="Times New Roman"/>
                <w:color w:val="auto"/>
                <w:sz w:val="19"/>
                <w:szCs w:val="19"/>
              </w:rPr>
              <w:t>)</w:t>
            </w:r>
          </w:p>
        </w:tc>
        <w:tc>
          <w:tcPr>
            <w:tcW w:w="1400" w:type="dxa"/>
            <w:tcMar>
              <w:top w:w="100" w:type="dxa"/>
              <w:left w:w="140" w:type="dxa"/>
              <w:bottom w:w="100" w:type="dxa"/>
              <w:right w:w="140" w:type="dxa"/>
            </w:tcMar>
          </w:tcPr>
          <w:p w14:paraId="550CCD14"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p>
        </w:tc>
        <w:tc>
          <w:tcPr>
            <w:tcW w:w="2400" w:type="dxa"/>
            <w:tcMar>
              <w:top w:w="100" w:type="dxa"/>
              <w:left w:w="140" w:type="dxa"/>
              <w:bottom w:w="100" w:type="dxa"/>
              <w:right w:w="140" w:type="dxa"/>
            </w:tcMar>
          </w:tcPr>
          <w:p w14:paraId="6724600A"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Performs semantic similarity search and synthesizes grounded answer with source citations.</w:t>
            </w:r>
          </w:p>
        </w:tc>
      </w:tr>
      <w:tr w:rsidR="007705B8" w:rsidRPr="00C300D7" w14:paraId="75C5B9AF" w14:textId="77777777">
        <w:tc>
          <w:tcPr>
            <w:tcW w:w="1400" w:type="dxa"/>
            <w:shd w:val="clear" w:color="auto" w:fill="F8FAFC"/>
            <w:tcMar>
              <w:top w:w="100" w:type="dxa"/>
              <w:left w:w="140" w:type="dxa"/>
              <w:bottom w:w="100" w:type="dxa"/>
              <w:right w:w="140" w:type="dxa"/>
            </w:tcMar>
          </w:tcPr>
          <w:p w14:paraId="0A44E2B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POST</w:t>
            </w:r>
          </w:p>
        </w:tc>
        <w:tc>
          <w:tcPr>
            <w:tcW w:w="2600" w:type="dxa"/>
            <w:shd w:val="clear" w:color="auto" w:fill="F8FAFC"/>
            <w:tcMar>
              <w:top w:w="100" w:type="dxa"/>
              <w:left w:w="140" w:type="dxa"/>
              <w:bottom w:w="100" w:type="dxa"/>
              <w:right w:w="140" w:type="dxa"/>
            </w:tcMar>
          </w:tcPr>
          <w:p w14:paraId="0FBB33EC"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w:t>
            </w:r>
            <w:proofErr w:type="spellStart"/>
            <w:r w:rsidRPr="00C300D7">
              <w:rPr>
                <w:rFonts w:ascii="Times New Roman" w:hAnsi="Times New Roman" w:cs="Times New Roman"/>
                <w:color w:val="auto"/>
                <w:sz w:val="19"/>
                <w:szCs w:val="19"/>
              </w:rPr>
              <w:t>api</w:t>
            </w:r>
            <w:proofErr w:type="spellEnd"/>
            <w:r w:rsidRPr="00C300D7">
              <w:rPr>
                <w:rFonts w:ascii="Times New Roman" w:hAnsi="Times New Roman" w:cs="Times New Roman"/>
                <w:color w:val="auto"/>
                <w:sz w:val="19"/>
                <w:szCs w:val="19"/>
              </w:rPr>
              <w:t>/v1/export/export-results</w:t>
            </w:r>
          </w:p>
        </w:tc>
        <w:tc>
          <w:tcPr>
            <w:tcW w:w="2000" w:type="dxa"/>
            <w:shd w:val="clear" w:color="auto" w:fill="F8FAFC"/>
            <w:tcMar>
              <w:top w:w="100" w:type="dxa"/>
              <w:left w:w="140" w:type="dxa"/>
              <w:bottom w:w="100" w:type="dxa"/>
              <w:right w:w="140" w:type="dxa"/>
            </w:tcMar>
          </w:tcPr>
          <w:p w14:paraId="1BC38E3F"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application/</w:t>
            </w:r>
            <w:proofErr w:type="spellStart"/>
            <w:r w:rsidRPr="00C300D7">
              <w:rPr>
                <w:rFonts w:ascii="Times New Roman" w:hAnsi="Times New Roman" w:cs="Times New Roman"/>
                <w:color w:val="auto"/>
                <w:sz w:val="19"/>
                <w:szCs w:val="19"/>
              </w:rPr>
              <w:t>json</w:t>
            </w:r>
            <w:proofErr w:type="spellEnd"/>
            <w:r w:rsidRPr="00C300D7">
              <w:rPr>
                <w:rFonts w:ascii="Times New Roman" w:hAnsi="Times New Roman" w:cs="Times New Roman"/>
                <w:color w:val="auto"/>
                <w:sz w:val="19"/>
                <w:szCs w:val="19"/>
              </w:rPr>
              <w:t xml:space="preserve"> (results, format)</w:t>
            </w:r>
          </w:p>
        </w:tc>
        <w:tc>
          <w:tcPr>
            <w:tcW w:w="1400" w:type="dxa"/>
            <w:shd w:val="clear" w:color="auto" w:fill="F8FAFC"/>
            <w:tcMar>
              <w:top w:w="100" w:type="dxa"/>
              <w:left w:w="140" w:type="dxa"/>
              <w:bottom w:w="100" w:type="dxa"/>
              <w:right w:w="140" w:type="dxa"/>
            </w:tcMar>
          </w:tcPr>
          <w:p w14:paraId="3834D27D"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file download</w:t>
            </w:r>
          </w:p>
        </w:tc>
        <w:tc>
          <w:tcPr>
            <w:tcW w:w="2400" w:type="dxa"/>
            <w:shd w:val="clear" w:color="auto" w:fill="F8FAFC"/>
            <w:tcMar>
              <w:top w:w="100" w:type="dxa"/>
              <w:left w:w="140" w:type="dxa"/>
              <w:bottom w:w="100" w:type="dxa"/>
              <w:right w:w="140" w:type="dxa"/>
            </w:tcMar>
          </w:tcPr>
          <w:p w14:paraId="5D7BE9D0" w14:textId="77777777" w:rsidR="007705B8" w:rsidRPr="00C300D7" w:rsidRDefault="00000000">
            <w:pPr>
              <w:spacing w:line="240" w:lineRule="auto"/>
              <w:rPr>
                <w:rFonts w:ascii="Times New Roman" w:hAnsi="Times New Roman" w:cs="Times New Roman"/>
                <w:color w:val="auto"/>
              </w:rPr>
            </w:pPr>
            <w:r w:rsidRPr="00C300D7">
              <w:rPr>
                <w:rFonts w:ascii="Times New Roman" w:hAnsi="Times New Roman" w:cs="Times New Roman"/>
                <w:color w:val="auto"/>
                <w:sz w:val="19"/>
                <w:szCs w:val="19"/>
              </w:rPr>
              <w:t>Exports analysis payload as JSON, CSV, TXT, or styled HTML report.</w:t>
            </w:r>
          </w:p>
        </w:tc>
      </w:tr>
    </w:tbl>
    <w:p w14:paraId="3D7168B5"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t>7. System Verification and Empirical Evaluation</w:t>
      </w:r>
    </w:p>
    <w:p w14:paraId="42CAC497"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To substantiate the operational readiness of the platform, two rigorous verification suites were executed against the codebase: verify_system.py (diagnostic probe of local dependencies and model runtimes) and test_pipeline.py (end-to-end integration test driving the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w:t>
      </w:r>
      <w:proofErr w:type="spellStart"/>
      <w:r w:rsidRPr="00C300D7">
        <w:rPr>
          <w:rFonts w:ascii="Times New Roman" w:hAnsi="Times New Roman" w:cs="Times New Roman"/>
          <w:color w:val="auto"/>
        </w:rPr>
        <w:t>TestClient</w:t>
      </w:r>
      <w:proofErr w:type="spellEnd"/>
      <w:r w:rsidRPr="00C300D7">
        <w:rPr>
          <w:rFonts w:ascii="Times New Roman" w:hAnsi="Times New Roman" w:cs="Times New Roman"/>
          <w:color w:val="auto"/>
        </w:rPr>
        <w:t xml:space="preserve"> through the entire analysis lifecycle).</w:t>
      </w:r>
    </w:p>
    <w:p w14:paraId="77E4B0B7" w14:textId="77777777" w:rsidR="007705B8" w:rsidRPr="00C300D7" w:rsidRDefault="00000000">
      <w:pPr>
        <w:pStyle w:val="Heading2"/>
        <w:spacing w:before="300" w:after="140"/>
        <w:rPr>
          <w:rFonts w:ascii="Times New Roman" w:hAnsi="Times New Roman" w:cs="Times New Roman"/>
          <w:color w:val="auto"/>
        </w:rPr>
      </w:pPr>
      <w:r w:rsidRPr="00C300D7">
        <w:rPr>
          <w:rFonts w:ascii="Times New Roman" w:hAnsi="Times New Roman" w:cs="Times New Roman"/>
          <w:b/>
          <w:bCs/>
          <w:color w:val="auto"/>
          <w:sz w:val="24"/>
          <w:szCs w:val="24"/>
        </w:rPr>
        <w:t>7.1 Diagnostic Verification Results (verify_system.py)</w:t>
      </w:r>
    </w:p>
    <w:p w14:paraId="1B5C50D9"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color w:val="auto"/>
        </w:rPr>
        <w:t xml:space="preserve">Core Dependencies: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v0.141.1, </w:t>
      </w:r>
      <w:proofErr w:type="spellStart"/>
      <w:r w:rsidRPr="00C300D7">
        <w:rPr>
          <w:rFonts w:ascii="Times New Roman" w:hAnsi="Times New Roman" w:cs="Times New Roman"/>
          <w:color w:val="auto"/>
        </w:rPr>
        <w:t>Uvicorn</w:t>
      </w:r>
      <w:proofErr w:type="spellEnd"/>
      <w:r w:rsidRPr="00C300D7">
        <w:rPr>
          <w:rFonts w:ascii="Times New Roman" w:hAnsi="Times New Roman" w:cs="Times New Roman"/>
          <w:color w:val="auto"/>
        </w:rPr>
        <w:t xml:space="preserve"> v0.53.0, </w:t>
      </w:r>
      <w:proofErr w:type="spellStart"/>
      <w:r w:rsidRPr="00C300D7">
        <w:rPr>
          <w:rFonts w:ascii="Times New Roman" w:hAnsi="Times New Roman" w:cs="Times New Roman"/>
          <w:color w:val="auto"/>
        </w:rPr>
        <w:t>spaCy</w:t>
      </w:r>
      <w:proofErr w:type="spellEnd"/>
      <w:r w:rsidRPr="00C300D7">
        <w:rPr>
          <w:rFonts w:ascii="Times New Roman" w:hAnsi="Times New Roman" w:cs="Times New Roman"/>
          <w:color w:val="auto"/>
        </w:rPr>
        <w:t xml:space="preserve"> v3.8.11, Transformers v4.46.3, </w:t>
      </w:r>
      <w:proofErr w:type="spellStart"/>
      <w:r w:rsidRPr="00C300D7">
        <w:rPr>
          <w:rFonts w:ascii="Times New Roman" w:hAnsi="Times New Roman" w:cs="Times New Roman"/>
          <w:color w:val="auto"/>
        </w:rPr>
        <w:t>PyTorch</w:t>
      </w:r>
      <w:proofErr w:type="spellEnd"/>
      <w:r w:rsidRPr="00C300D7">
        <w:rPr>
          <w:rFonts w:ascii="Times New Roman" w:hAnsi="Times New Roman" w:cs="Times New Roman"/>
          <w:color w:val="auto"/>
        </w:rPr>
        <w:t xml:space="preserve"> v2.4.1+cpu, </w:t>
      </w:r>
      <w:proofErr w:type="spellStart"/>
      <w:r w:rsidRPr="00C300D7">
        <w:rPr>
          <w:rFonts w:ascii="Times New Roman" w:hAnsi="Times New Roman" w:cs="Times New Roman"/>
          <w:color w:val="auto"/>
        </w:rPr>
        <w:t>PyPDF</w:t>
      </w:r>
      <w:proofErr w:type="spellEnd"/>
      <w:r w:rsidRPr="00C300D7">
        <w:rPr>
          <w:rFonts w:ascii="Times New Roman" w:hAnsi="Times New Roman" w:cs="Times New Roman"/>
          <w:color w:val="auto"/>
        </w:rPr>
        <w:t xml:space="preserve"> v6.18.1, python-docx v1.2.0 confirmed [OK].</w:t>
      </w:r>
    </w:p>
    <w:p w14:paraId="3F964BC1"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color w:val="auto"/>
        </w:rPr>
        <w:t xml:space="preserve">Custom Financial NER: </w:t>
      </w:r>
      <w:proofErr w:type="spellStart"/>
      <w:r w:rsidRPr="00C300D7">
        <w:rPr>
          <w:rFonts w:ascii="Times New Roman" w:hAnsi="Times New Roman" w:cs="Times New Roman"/>
          <w:color w:val="auto"/>
        </w:rPr>
        <w:t>spaCy</w:t>
      </w:r>
      <w:proofErr w:type="spellEnd"/>
      <w:r w:rsidRPr="00C300D7">
        <w:rPr>
          <w:rFonts w:ascii="Times New Roman" w:hAnsi="Times New Roman" w:cs="Times New Roman"/>
          <w:color w:val="auto"/>
        </w:rPr>
        <w:t xml:space="preserve"> model loaded from backend/models/</w:t>
      </w:r>
      <w:proofErr w:type="spellStart"/>
      <w:r w:rsidRPr="00C300D7">
        <w:rPr>
          <w:rFonts w:ascii="Times New Roman" w:hAnsi="Times New Roman" w:cs="Times New Roman"/>
          <w:color w:val="auto"/>
        </w:rPr>
        <w:t>ner_model</w:t>
      </w:r>
      <w:proofErr w:type="spellEnd"/>
      <w:r w:rsidRPr="00C300D7">
        <w:rPr>
          <w:rFonts w:ascii="Times New Roman" w:hAnsi="Times New Roman" w:cs="Times New Roman"/>
          <w:color w:val="auto"/>
        </w:rPr>
        <w:t>/</w:t>
      </w:r>
      <w:proofErr w:type="gramStart"/>
      <w:r w:rsidRPr="00C300D7">
        <w:rPr>
          <w:rFonts w:ascii="Times New Roman" w:hAnsi="Times New Roman" w:cs="Times New Roman"/>
          <w:color w:val="auto"/>
        </w:rPr>
        <w:t>model-best</w:t>
      </w:r>
      <w:proofErr w:type="gramEnd"/>
      <w:r w:rsidRPr="00C300D7">
        <w:rPr>
          <w:rFonts w:ascii="Times New Roman" w:hAnsi="Times New Roman" w:cs="Times New Roman"/>
          <w:color w:val="auto"/>
        </w:rPr>
        <w:t>. Verified entity extraction on test payload: [ORG: Acme Corp], [PERSON: John Doe USD 5,000,000], [PAYMENT_TERM: within 30 days] [OK].</w:t>
      </w:r>
    </w:p>
    <w:p w14:paraId="03E50A6D"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Sentiment: </w:t>
      </w:r>
      <w:proofErr w:type="spellStart"/>
      <w:r w:rsidRPr="00C300D7">
        <w:rPr>
          <w:rFonts w:ascii="Times New Roman" w:hAnsi="Times New Roman" w:cs="Times New Roman"/>
          <w:color w:val="auto"/>
        </w:rPr>
        <w:t>ProsusAI</w:t>
      </w:r>
      <w:proofErr w:type="spellEnd"/>
      <w:r w:rsidRPr="00C300D7">
        <w:rPr>
          <w:rFonts w:ascii="Times New Roman" w:hAnsi="Times New Roman" w:cs="Times New Roman"/>
          <w:color w:val="auto"/>
        </w:rPr>
        <w:t>/</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loaded successfully on CPU. Benchmark test sentence ('Operating profit increased by 25% exceeding market expectations') scored Positive with 95.92% confidence [OK].</w:t>
      </w:r>
    </w:p>
    <w:p w14:paraId="04CDACE0"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color w:val="auto"/>
        </w:rPr>
        <w:t>Clause Extraction: Tri-tier fallback detected local offline status and automatically engaged the local rule-based extractor, identifying 2 clauses [OK].</w:t>
      </w:r>
    </w:p>
    <w:p w14:paraId="616DC678"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color w:val="auto"/>
        </w:rPr>
        <w:t>RAG Contextual Guide: Document chunking and 256-dimensional hashed n-gram embeddings successfully indexed test document and returned grounded contextual synthesis in offline mode [OK].</w:t>
      </w:r>
    </w:p>
    <w:p w14:paraId="79975C34" w14:textId="77777777" w:rsidR="007705B8" w:rsidRPr="00C300D7" w:rsidRDefault="00000000">
      <w:pPr>
        <w:pStyle w:val="Heading1"/>
        <w:spacing w:before="400" w:after="180"/>
        <w:rPr>
          <w:rFonts w:ascii="Times New Roman" w:hAnsi="Times New Roman" w:cs="Times New Roman"/>
          <w:color w:val="auto"/>
        </w:rPr>
      </w:pPr>
      <w:r w:rsidRPr="00C300D7">
        <w:rPr>
          <w:rFonts w:ascii="Times New Roman" w:hAnsi="Times New Roman" w:cs="Times New Roman"/>
          <w:b/>
          <w:bCs/>
          <w:color w:val="auto"/>
          <w:sz w:val="30"/>
          <w:szCs w:val="30"/>
        </w:rPr>
        <w:t>8. Critical Analysis, Gaps, and Threats to Validity</w:t>
      </w:r>
    </w:p>
    <w:p w14:paraId="3EB9396B"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In accordance with rigorous academic standards, this report explicitly documents the architectural limitations and engineering gaps identified during repository analysis:</w:t>
      </w:r>
    </w:p>
    <w:p w14:paraId="62DC8188"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 NER Generalization: </w:t>
      </w:r>
      <w:r w:rsidRPr="00C300D7">
        <w:rPr>
          <w:rFonts w:ascii="Times New Roman" w:hAnsi="Times New Roman" w:cs="Times New Roman"/>
          <w:color w:val="auto"/>
        </w:rPr>
        <w:t xml:space="preserve">Rule-Based vs. Statistical Generalization: While the NER model incorporates </w:t>
      </w:r>
      <w:proofErr w:type="spellStart"/>
      <w:r w:rsidRPr="00C300D7">
        <w:rPr>
          <w:rFonts w:ascii="Times New Roman" w:hAnsi="Times New Roman" w:cs="Times New Roman"/>
          <w:color w:val="auto"/>
        </w:rPr>
        <w:t>spaCy</w:t>
      </w:r>
      <w:proofErr w:type="spellEnd"/>
      <w:r w:rsidRPr="00C300D7">
        <w:rPr>
          <w:rFonts w:ascii="Times New Roman" w:hAnsi="Times New Roman" w:cs="Times New Roman"/>
          <w:color w:val="auto"/>
        </w:rPr>
        <w:t xml:space="preserve"> token architectures, the custom model-best is predominantly driven by an </w:t>
      </w:r>
      <w:proofErr w:type="spellStart"/>
      <w:r w:rsidRPr="00C300D7">
        <w:rPr>
          <w:rFonts w:ascii="Times New Roman" w:hAnsi="Times New Roman" w:cs="Times New Roman"/>
          <w:color w:val="auto"/>
        </w:rPr>
        <w:t>EntityRuler</w:t>
      </w:r>
      <w:proofErr w:type="spellEnd"/>
      <w:r w:rsidRPr="00C300D7">
        <w:rPr>
          <w:rFonts w:ascii="Times New Roman" w:hAnsi="Times New Roman" w:cs="Times New Roman"/>
          <w:color w:val="auto"/>
        </w:rPr>
        <w:t xml:space="preserve"> containing 96 dictionary examples. Consequently, it memorizes exact phrases rather than generalising statistically to novel corporate entities [1], [4].</w:t>
      </w:r>
    </w:p>
    <w:p w14:paraId="40621912"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2. Data Quality: </w:t>
      </w:r>
      <w:r w:rsidRPr="00C300D7">
        <w:rPr>
          <w:rFonts w:ascii="Times New Roman" w:hAnsi="Times New Roman" w:cs="Times New Roman"/>
          <w:color w:val="auto"/>
        </w:rPr>
        <w:t>Training Data Span Anomalies: Inspection of backend/models/</w:t>
      </w:r>
      <w:proofErr w:type="spellStart"/>
      <w:r w:rsidRPr="00C300D7">
        <w:rPr>
          <w:rFonts w:ascii="Times New Roman" w:hAnsi="Times New Roman" w:cs="Times New Roman"/>
          <w:color w:val="auto"/>
        </w:rPr>
        <w:t>ner_model</w:t>
      </w:r>
      <w:proofErr w:type="spellEnd"/>
      <w:r w:rsidRPr="00C300D7">
        <w:rPr>
          <w:rFonts w:ascii="Times New Roman" w:hAnsi="Times New Roman" w:cs="Times New Roman"/>
          <w:color w:val="auto"/>
        </w:rPr>
        <w:t>/</w:t>
      </w:r>
      <w:proofErr w:type="spellStart"/>
      <w:r w:rsidRPr="00C300D7">
        <w:rPr>
          <w:rFonts w:ascii="Times New Roman" w:hAnsi="Times New Roman" w:cs="Times New Roman"/>
          <w:color w:val="auto"/>
        </w:rPr>
        <w:t>annotations.json</w:t>
      </w:r>
      <w:proofErr w:type="spellEnd"/>
      <w:r w:rsidRPr="00C300D7">
        <w:rPr>
          <w:rFonts w:ascii="Times New Roman" w:hAnsi="Times New Roman" w:cs="Times New Roman"/>
          <w:color w:val="auto"/>
        </w:rPr>
        <w:t xml:space="preserve"> revealed that 12 of 229 annotated spans contain invalid character offsets (e.g., resolving to 'D 75,000.' </w:t>
      </w:r>
      <w:r w:rsidRPr="00C300D7">
        <w:rPr>
          <w:rFonts w:ascii="Times New Roman" w:hAnsi="Times New Roman" w:cs="Times New Roman"/>
          <w:color w:val="auto"/>
        </w:rPr>
        <w:lastRenderedPageBreak/>
        <w:t>instead of full monetary spans), and 166 spans truncate mid-token. These annotations must be cleaned before formal statistical retraining.</w:t>
      </w:r>
    </w:p>
    <w:p w14:paraId="0E689924"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3. Persistence: </w:t>
      </w:r>
      <w:r w:rsidRPr="00C300D7">
        <w:rPr>
          <w:rFonts w:ascii="Times New Roman" w:hAnsi="Times New Roman" w:cs="Times New Roman"/>
          <w:color w:val="auto"/>
        </w:rPr>
        <w:t>Database and Storage Latency: While docker-</w:t>
      </w:r>
      <w:proofErr w:type="spellStart"/>
      <w:r w:rsidRPr="00C300D7">
        <w:rPr>
          <w:rFonts w:ascii="Times New Roman" w:hAnsi="Times New Roman" w:cs="Times New Roman"/>
          <w:color w:val="auto"/>
        </w:rPr>
        <w:t>compose.yml</w:t>
      </w:r>
      <w:proofErr w:type="spellEnd"/>
      <w:r w:rsidRPr="00C300D7">
        <w:rPr>
          <w:rFonts w:ascii="Times New Roman" w:hAnsi="Times New Roman" w:cs="Times New Roman"/>
          <w:color w:val="auto"/>
        </w:rPr>
        <w:t xml:space="preserve"> provisions PostgreSQL and Azurite, current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endpoints store results and vector embeddings in process memory. Session state is lost upon server restart.</w:t>
      </w:r>
    </w:p>
    <w:p w14:paraId="5DC7A622"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4. Security: </w:t>
      </w:r>
      <w:r w:rsidRPr="00C300D7">
        <w:rPr>
          <w:rFonts w:ascii="Times New Roman" w:hAnsi="Times New Roman" w:cs="Times New Roman"/>
          <w:color w:val="auto"/>
        </w:rPr>
        <w:t xml:space="preserve">Backend Authentication Trust Boundary: While the </w:t>
      </w:r>
      <w:proofErr w:type="gramStart"/>
      <w:r w:rsidRPr="00C300D7">
        <w:rPr>
          <w:rFonts w:ascii="Times New Roman" w:hAnsi="Times New Roman" w:cs="Times New Roman"/>
          <w:color w:val="auto"/>
        </w:rPr>
        <w:t>React</w:t>
      </w:r>
      <w:proofErr w:type="gramEnd"/>
      <w:r w:rsidRPr="00C300D7">
        <w:rPr>
          <w:rFonts w:ascii="Times New Roman" w:hAnsi="Times New Roman" w:cs="Times New Roman"/>
          <w:color w:val="auto"/>
        </w:rPr>
        <w:t xml:space="preserve"> frontend enforces Clerk authentication on /upload and /results, backend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routes currently accept unauthenticated calls with permissive CORS (</w:t>
      </w:r>
      <w:proofErr w:type="spellStart"/>
      <w:r w:rsidRPr="00C300D7">
        <w:rPr>
          <w:rFonts w:ascii="Times New Roman" w:hAnsi="Times New Roman" w:cs="Times New Roman"/>
          <w:color w:val="auto"/>
        </w:rPr>
        <w:t>allow_origins</w:t>
      </w:r>
      <w:proofErr w:type="spellEnd"/>
      <w:proofErr w:type="gramStart"/>
      <w:r w:rsidRPr="00C300D7">
        <w:rPr>
          <w:rFonts w:ascii="Times New Roman" w:hAnsi="Times New Roman" w:cs="Times New Roman"/>
          <w:color w:val="auto"/>
        </w:rPr>
        <w:t>=[</w:t>
      </w:r>
      <w:proofErr w:type="gramEnd"/>
      <w:r w:rsidRPr="00C300D7">
        <w:rPr>
          <w:rFonts w:ascii="Times New Roman" w:hAnsi="Times New Roman" w:cs="Times New Roman"/>
          <w:color w:val="auto"/>
        </w:rPr>
        <w:t>'*']). Production deployment mandates JWT token verification middleware.</w:t>
      </w:r>
    </w:p>
    <w:p w14:paraId="4F3D5F0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5. Evaluation: </w:t>
      </w:r>
      <w:r w:rsidRPr="00C300D7">
        <w:rPr>
          <w:rFonts w:ascii="Times New Roman" w:hAnsi="Times New Roman" w:cs="Times New Roman"/>
          <w:color w:val="auto"/>
        </w:rPr>
        <w:t xml:space="preserve">Lack of Standardized Quantitative Benchmark: The platform has demonstrated end-to-end integration and qualitative </w:t>
      </w:r>
      <w:proofErr w:type="gramStart"/>
      <w:r w:rsidRPr="00C300D7">
        <w:rPr>
          <w:rFonts w:ascii="Times New Roman" w:hAnsi="Times New Roman" w:cs="Times New Roman"/>
          <w:color w:val="auto"/>
        </w:rPr>
        <w:t>precision, but</w:t>
      </w:r>
      <w:proofErr w:type="gramEnd"/>
      <w:r w:rsidRPr="00C300D7">
        <w:rPr>
          <w:rFonts w:ascii="Times New Roman" w:hAnsi="Times New Roman" w:cs="Times New Roman"/>
          <w:color w:val="auto"/>
        </w:rPr>
        <w:t xml:space="preserve"> lacks a published held-out benchmark measuring micro/macro F1, Exact Match (EM), and ROC-AUC against datasets like </w:t>
      </w:r>
      <w:proofErr w:type="spellStart"/>
      <w:r w:rsidRPr="00C300D7">
        <w:rPr>
          <w:rFonts w:ascii="Times New Roman" w:hAnsi="Times New Roman" w:cs="Times New Roman"/>
          <w:color w:val="auto"/>
        </w:rPr>
        <w:t>FiNER</w:t>
      </w:r>
      <w:proofErr w:type="spellEnd"/>
      <w:r w:rsidRPr="00C300D7">
        <w:rPr>
          <w:rFonts w:ascii="Times New Roman" w:hAnsi="Times New Roman" w:cs="Times New Roman"/>
          <w:color w:val="auto"/>
        </w:rPr>
        <w:t>-ORD or CUAD [3], [13].</w:t>
      </w:r>
    </w:p>
    <w:p w14:paraId="18318B4D" w14:textId="5452668B" w:rsidR="007705B8" w:rsidRPr="00C300D7" w:rsidRDefault="00000000" w:rsidP="00C300D7">
      <w:pPr>
        <w:rPr>
          <w:rFonts w:ascii="Times New Roman" w:hAnsi="Times New Roman" w:cs="Times New Roman"/>
          <w:color w:val="auto"/>
        </w:rPr>
      </w:pPr>
      <w:r w:rsidRPr="00C300D7">
        <w:rPr>
          <w:rFonts w:ascii="Times New Roman" w:hAnsi="Times New Roman" w:cs="Times New Roman"/>
          <w:b/>
          <w:bCs/>
          <w:color w:val="auto"/>
          <w:sz w:val="30"/>
          <w:szCs w:val="30"/>
        </w:rPr>
        <w:t>9. Conclusion and Future Roadmap</w:t>
      </w:r>
    </w:p>
    <w:p w14:paraId="3FB9D819"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The Second Implementation Review demonstrates that </w:t>
      </w:r>
      <w:proofErr w:type="spellStart"/>
      <w:r w:rsidRPr="00C300D7">
        <w:rPr>
          <w:rFonts w:ascii="Times New Roman" w:hAnsi="Times New Roman" w:cs="Times New Roman"/>
          <w:color w:val="auto"/>
        </w:rPr>
        <w:t>FinSight</w:t>
      </w:r>
      <w:proofErr w:type="spellEnd"/>
      <w:r w:rsidRPr="00C300D7">
        <w:rPr>
          <w:rFonts w:ascii="Times New Roman" w:hAnsi="Times New Roman" w:cs="Times New Roman"/>
          <w:color w:val="auto"/>
        </w:rPr>
        <w:t xml:space="preserve"> AI has achieved its core architectural milestone: transitioning from conceptual design to a fully operational, integrated financial document intelligence platform. The unified multi-service pipeline reliably parses unstructured documents, extracts key financial entities, classifies sentence-level sentiment via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detects risk-bearing legal clauses, and provides hallucination-free contextual Q&amp;A through an offline-resilient RAG architecture.</w:t>
      </w:r>
    </w:p>
    <w:p w14:paraId="57A4153A" w14:textId="77777777" w:rsidR="007705B8" w:rsidRPr="00C300D7" w:rsidRDefault="00000000">
      <w:pPr>
        <w:spacing w:after="140"/>
        <w:jc w:val="both"/>
        <w:rPr>
          <w:rFonts w:ascii="Times New Roman" w:hAnsi="Times New Roman" w:cs="Times New Roman"/>
          <w:color w:val="auto"/>
        </w:rPr>
      </w:pPr>
      <w:r w:rsidRPr="00C300D7">
        <w:rPr>
          <w:rFonts w:ascii="Times New Roman" w:hAnsi="Times New Roman" w:cs="Times New Roman"/>
          <w:color w:val="auto"/>
        </w:rPr>
        <w:t xml:space="preserve">For the final development phase leading to Review 3, engineering effort will prioritize: (1) correcting span offsets in </w:t>
      </w:r>
      <w:proofErr w:type="spellStart"/>
      <w:r w:rsidRPr="00C300D7">
        <w:rPr>
          <w:rFonts w:ascii="Times New Roman" w:hAnsi="Times New Roman" w:cs="Times New Roman"/>
          <w:color w:val="auto"/>
        </w:rPr>
        <w:t>annotations.json</w:t>
      </w:r>
      <w:proofErr w:type="spellEnd"/>
      <w:r w:rsidRPr="00C300D7">
        <w:rPr>
          <w:rFonts w:ascii="Times New Roman" w:hAnsi="Times New Roman" w:cs="Times New Roman"/>
          <w:color w:val="auto"/>
        </w:rPr>
        <w:t xml:space="preserve"> and fine-tuning a </w:t>
      </w:r>
      <w:proofErr w:type="spellStart"/>
      <w:r w:rsidRPr="00C300D7">
        <w:rPr>
          <w:rFonts w:ascii="Times New Roman" w:hAnsi="Times New Roman" w:cs="Times New Roman"/>
          <w:color w:val="auto"/>
        </w:rPr>
        <w:t>RoBERTa</w:t>
      </w:r>
      <w:proofErr w:type="spellEnd"/>
      <w:r w:rsidRPr="00C300D7">
        <w:rPr>
          <w:rFonts w:ascii="Times New Roman" w:hAnsi="Times New Roman" w:cs="Times New Roman"/>
          <w:color w:val="auto"/>
        </w:rPr>
        <w:t xml:space="preserve">-NER token classification head; (2) wiring </w:t>
      </w:r>
      <w:proofErr w:type="spellStart"/>
      <w:r w:rsidRPr="00C300D7">
        <w:rPr>
          <w:rFonts w:ascii="Times New Roman" w:hAnsi="Times New Roman" w:cs="Times New Roman"/>
          <w:color w:val="auto"/>
        </w:rPr>
        <w:t>SQLAlchemy</w:t>
      </w:r>
      <w:proofErr w:type="spellEnd"/>
      <w:r w:rsidRPr="00C300D7">
        <w:rPr>
          <w:rFonts w:ascii="Times New Roman" w:hAnsi="Times New Roman" w:cs="Times New Roman"/>
          <w:color w:val="auto"/>
        </w:rPr>
        <w:t xml:space="preserve"> ORM models into the Alembic-managed PostgreSQL database to enable persistent multi-document indexing; (3) introducing JWT bearer validation on all </w:t>
      </w:r>
      <w:proofErr w:type="spellStart"/>
      <w:r w:rsidRPr="00C300D7">
        <w:rPr>
          <w:rFonts w:ascii="Times New Roman" w:hAnsi="Times New Roman" w:cs="Times New Roman"/>
          <w:color w:val="auto"/>
        </w:rPr>
        <w:t>FastAPI</w:t>
      </w:r>
      <w:proofErr w:type="spellEnd"/>
      <w:r w:rsidRPr="00C300D7">
        <w:rPr>
          <w:rFonts w:ascii="Times New Roman" w:hAnsi="Times New Roman" w:cs="Times New Roman"/>
          <w:color w:val="auto"/>
        </w:rPr>
        <w:t xml:space="preserve"> routes to match Clerk frontend authentication; and (4) executing a formal quantitative benchmark against the FiNER-139 and CUAD benchmarks to publish empirical F1 and precision-recall metrics.</w:t>
      </w:r>
    </w:p>
    <w:p w14:paraId="470A4AD2" w14:textId="4E932B80" w:rsidR="007705B8" w:rsidRPr="00C300D7" w:rsidRDefault="00000000" w:rsidP="00A75E3D">
      <w:pPr>
        <w:rPr>
          <w:rFonts w:ascii="Times New Roman" w:hAnsi="Times New Roman" w:cs="Times New Roman"/>
          <w:color w:val="auto"/>
        </w:rPr>
      </w:pPr>
      <w:r w:rsidRPr="00C300D7">
        <w:rPr>
          <w:rFonts w:ascii="Times New Roman" w:hAnsi="Times New Roman" w:cs="Times New Roman"/>
          <w:b/>
          <w:bCs/>
          <w:color w:val="auto"/>
          <w:sz w:val="30"/>
          <w:szCs w:val="30"/>
        </w:rPr>
        <w:t>10. References</w:t>
      </w:r>
    </w:p>
    <w:p w14:paraId="2743833B" w14:textId="77777777" w:rsidR="00A75E3D" w:rsidRPr="00A75E3D" w:rsidRDefault="00A75E3D" w:rsidP="00A75E3D">
      <w:pPr>
        <w:pStyle w:val="ListParagraph"/>
        <w:spacing w:after="90" w:line="260" w:lineRule="auto"/>
        <w:ind w:left="720"/>
        <w:rPr>
          <w:rFonts w:ascii="Times New Roman" w:hAnsi="Times New Roman" w:cs="Times New Roman"/>
          <w:color w:val="auto"/>
        </w:rPr>
      </w:pPr>
    </w:p>
    <w:p w14:paraId="225B9B31" w14:textId="7EF8BBA4"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 </w:t>
      </w:r>
      <w:r w:rsidRPr="00C300D7">
        <w:rPr>
          <w:rFonts w:ascii="Times New Roman" w:hAnsi="Times New Roman" w:cs="Times New Roman"/>
          <w:color w:val="auto"/>
        </w:rPr>
        <w:t>Y. Zhang and H. Zhang,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-MRC: Financial Named Entity Recognition Using BERT Under the Machine Reading Comprehension Paradigm," Neural Processing Letters, vol. 55, pp. 7393-7413, 2023.</w:t>
      </w:r>
    </w:p>
    <w:p w14:paraId="2F5D625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[2] </w:t>
      </w:r>
      <w:r w:rsidRPr="00C300D7">
        <w:rPr>
          <w:rFonts w:ascii="Times New Roman" w:hAnsi="Times New Roman" w:cs="Times New Roman"/>
          <w:color w:val="auto"/>
        </w:rPr>
        <w:t xml:space="preserve">N. Kaur, A. Saha, M. Swami, et al., "BERT-NER: A Transformer-Based Approach </w:t>
      </w:r>
      <w:proofErr w:type="gramStart"/>
      <w:r w:rsidRPr="00C300D7">
        <w:rPr>
          <w:rFonts w:ascii="Times New Roman" w:hAnsi="Times New Roman" w:cs="Times New Roman"/>
          <w:color w:val="auto"/>
        </w:rPr>
        <w:t>For</w:t>
      </w:r>
      <w:proofErr w:type="gramEnd"/>
      <w:r w:rsidRPr="00C300D7">
        <w:rPr>
          <w:rFonts w:ascii="Times New Roman" w:hAnsi="Times New Roman" w:cs="Times New Roman"/>
          <w:color w:val="auto"/>
        </w:rPr>
        <w:t xml:space="preserve"> Named Entity Recognition," in Proc. 2024 15th Int. Conf. Computing, Communication and Networking Technologies (ICCCNT), IEEE, 2024.</w:t>
      </w:r>
    </w:p>
    <w:p w14:paraId="2C939980"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[3] </w:t>
      </w:r>
      <w:r w:rsidRPr="00C300D7">
        <w:rPr>
          <w:rFonts w:ascii="Times New Roman" w:hAnsi="Times New Roman" w:cs="Times New Roman"/>
          <w:color w:val="auto"/>
        </w:rPr>
        <w:t xml:space="preserve">B. </w:t>
      </w:r>
      <w:proofErr w:type="spellStart"/>
      <w:r w:rsidRPr="00C300D7">
        <w:rPr>
          <w:rFonts w:ascii="Times New Roman" w:hAnsi="Times New Roman" w:cs="Times New Roman"/>
          <w:color w:val="auto"/>
        </w:rPr>
        <w:t>Aejas</w:t>
      </w:r>
      <w:proofErr w:type="spellEnd"/>
      <w:r w:rsidRPr="00C300D7">
        <w:rPr>
          <w:rFonts w:ascii="Times New Roman" w:hAnsi="Times New Roman" w:cs="Times New Roman"/>
          <w:color w:val="auto"/>
        </w:rPr>
        <w:t xml:space="preserve">, A. </w:t>
      </w:r>
      <w:proofErr w:type="spellStart"/>
      <w:r w:rsidRPr="00C300D7">
        <w:rPr>
          <w:rFonts w:ascii="Times New Roman" w:hAnsi="Times New Roman" w:cs="Times New Roman"/>
          <w:color w:val="auto"/>
        </w:rPr>
        <w:t>Belhi</w:t>
      </w:r>
      <w:proofErr w:type="spellEnd"/>
      <w:r w:rsidRPr="00C300D7">
        <w:rPr>
          <w:rFonts w:ascii="Times New Roman" w:hAnsi="Times New Roman" w:cs="Times New Roman"/>
          <w:color w:val="auto"/>
        </w:rPr>
        <w:t>, H. Zhang, and A. Bouras, "Deep learning-based automatic analysis of legal contracts: a named entity recognition benchmark," Neural Computing and Applications, Springer, 2024.</w:t>
      </w:r>
    </w:p>
    <w:p w14:paraId="357485D0"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[4] </w:t>
      </w:r>
      <w:r w:rsidRPr="00C300D7">
        <w:rPr>
          <w:rFonts w:ascii="Times New Roman" w:hAnsi="Times New Roman" w:cs="Times New Roman"/>
          <w:color w:val="auto"/>
        </w:rPr>
        <w:t>R. Abilio et al., "Evaluating Named Entity Recognition: A comparative analysis of mono- and multilingual transformer models on a novel Brazilian corporate earnings call transcripts dataset," Applied Soft Computing, Elsevier, vol. 152, art. 111244, 2024.</w:t>
      </w:r>
    </w:p>
    <w:p w14:paraId="523E4CE3"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[5] </w:t>
      </w:r>
      <w:r w:rsidRPr="00C300D7">
        <w:rPr>
          <w:rFonts w:ascii="Times New Roman" w:hAnsi="Times New Roman" w:cs="Times New Roman"/>
          <w:color w:val="auto"/>
        </w:rPr>
        <w:t xml:space="preserve">"IPerFEX-2023: Indonesian personal financial entity extraction using </w:t>
      </w:r>
      <w:proofErr w:type="spellStart"/>
      <w:r w:rsidRPr="00C300D7">
        <w:rPr>
          <w:rFonts w:ascii="Times New Roman" w:hAnsi="Times New Roman" w:cs="Times New Roman"/>
          <w:color w:val="auto"/>
        </w:rPr>
        <w:t>IndoBERT</w:t>
      </w:r>
      <w:proofErr w:type="spellEnd"/>
      <w:r w:rsidRPr="00C300D7">
        <w:rPr>
          <w:rFonts w:ascii="Times New Roman" w:hAnsi="Times New Roman" w:cs="Times New Roman"/>
          <w:color w:val="auto"/>
        </w:rPr>
        <w:t>-BiGRU-CRF model," Journal of Big Data, vol. 11, Springer, 2024.</w:t>
      </w:r>
    </w:p>
    <w:p w14:paraId="3B186F84"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[6] </w:t>
      </w:r>
      <w:r w:rsidRPr="00C300D7">
        <w:rPr>
          <w:rFonts w:ascii="Times New Roman" w:hAnsi="Times New Roman" w:cs="Times New Roman"/>
          <w:color w:val="auto"/>
        </w:rPr>
        <w:t xml:space="preserve">O. </w:t>
      </w:r>
      <w:proofErr w:type="spellStart"/>
      <w:r w:rsidRPr="00C300D7">
        <w:rPr>
          <w:rFonts w:ascii="Times New Roman" w:hAnsi="Times New Roman" w:cs="Times New Roman"/>
          <w:color w:val="auto"/>
        </w:rPr>
        <w:t>Shobayo</w:t>
      </w:r>
      <w:proofErr w:type="spellEnd"/>
      <w:r w:rsidRPr="00C300D7">
        <w:rPr>
          <w:rFonts w:ascii="Times New Roman" w:hAnsi="Times New Roman" w:cs="Times New Roman"/>
          <w:color w:val="auto"/>
        </w:rPr>
        <w:t xml:space="preserve"> et al., "Innovative Sentiment Analysis and Prediction of Stock Price Using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GPT-4 and Logistic Regression: A Data-Driven Approach," Big Data and Cognitive Computing, vol. 8, no. 11, art. 143, MDPI, 2024.</w:t>
      </w:r>
    </w:p>
    <w:p w14:paraId="337AE6A2"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[7] </w:t>
      </w:r>
      <w:r w:rsidRPr="00C300D7">
        <w:rPr>
          <w:rFonts w:ascii="Times New Roman" w:hAnsi="Times New Roman" w:cs="Times New Roman"/>
          <w:color w:val="auto"/>
        </w:rPr>
        <w:t xml:space="preserve">S. </w:t>
      </w:r>
      <w:proofErr w:type="spellStart"/>
      <w:r w:rsidRPr="00C300D7">
        <w:rPr>
          <w:rFonts w:ascii="Times New Roman" w:hAnsi="Times New Roman" w:cs="Times New Roman"/>
          <w:color w:val="auto"/>
        </w:rPr>
        <w:t>Baghavathi</w:t>
      </w:r>
      <w:proofErr w:type="spellEnd"/>
      <w:r w:rsidRPr="00C300D7">
        <w:rPr>
          <w:rFonts w:ascii="Times New Roman" w:hAnsi="Times New Roman" w:cs="Times New Roman"/>
          <w:color w:val="auto"/>
        </w:rPr>
        <w:t xml:space="preserve"> Priya, M. Kumar, J. D. Nitheesh Prakash, and N. Krithika, "Advanced Financial Sentiment Analysis Using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to Explore Sentiment Dynamics," in Proc. 2025 3rd Int. Conf. Intelligent Data Communication Technologies and Internet of Things (</w:t>
      </w:r>
      <w:proofErr w:type="spellStart"/>
      <w:r w:rsidRPr="00C300D7">
        <w:rPr>
          <w:rFonts w:ascii="Times New Roman" w:hAnsi="Times New Roman" w:cs="Times New Roman"/>
          <w:color w:val="auto"/>
        </w:rPr>
        <w:t>IDCIoT</w:t>
      </w:r>
      <w:proofErr w:type="spellEnd"/>
      <w:r w:rsidRPr="00C300D7">
        <w:rPr>
          <w:rFonts w:ascii="Times New Roman" w:hAnsi="Times New Roman" w:cs="Times New Roman"/>
          <w:color w:val="auto"/>
        </w:rPr>
        <w:t>), IEEE, 2025, pp. 889-897.</w:t>
      </w:r>
    </w:p>
    <w:p w14:paraId="0CEE99DD"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lastRenderedPageBreak/>
        <w:t xml:space="preserve">[8] </w:t>
      </w:r>
      <w:r w:rsidRPr="00C300D7">
        <w:rPr>
          <w:rFonts w:ascii="Times New Roman" w:hAnsi="Times New Roman" w:cs="Times New Roman"/>
          <w:color w:val="auto"/>
        </w:rPr>
        <w:t xml:space="preserve">C. </w:t>
      </w:r>
      <w:proofErr w:type="spellStart"/>
      <w:r w:rsidRPr="00C300D7">
        <w:rPr>
          <w:rFonts w:ascii="Times New Roman" w:hAnsi="Times New Roman" w:cs="Times New Roman"/>
          <w:color w:val="auto"/>
        </w:rPr>
        <w:t>Zaâbi</w:t>
      </w:r>
      <w:proofErr w:type="spellEnd"/>
      <w:r w:rsidRPr="00C300D7">
        <w:rPr>
          <w:rFonts w:ascii="Times New Roman" w:hAnsi="Times New Roman" w:cs="Times New Roman"/>
          <w:color w:val="auto"/>
        </w:rPr>
        <w:t xml:space="preserve"> and I. </w:t>
      </w:r>
      <w:proofErr w:type="spellStart"/>
      <w:r w:rsidRPr="00C300D7">
        <w:rPr>
          <w:rFonts w:ascii="Times New Roman" w:hAnsi="Times New Roman" w:cs="Times New Roman"/>
          <w:color w:val="auto"/>
        </w:rPr>
        <w:t>Boukhris</w:t>
      </w:r>
      <w:proofErr w:type="spellEnd"/>
      <w:r w:rsidRPr="00C300D7">
        <w:rPr>
          <w:rFonts w:ascii="Times New Roman" w:hAnsi="Times New Roman" w:cs="Times New Roman"/>
          <w:color w:val="auto"/>
        </w:rPr>
        <w:t xml:space="preserve">, "Enhancing Financial Sentiment Analysis with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and </w:t>
      </w:r>
      <w:proofErr w:type="spellStart"/>
      <w:r w:rsidRPr="00C300D7">
        <w:rPr>
          <w:rFonts w:ascii="Times New Roman" w:hAnsi="Times New Roman" w:cs="Times New Roman"/>
          <w:color w:val="auto"/>
        </w:rPr>
        <w:t>RoBERTa</w:t>
      </w:r>
      <w:proofErr w:type="spellEnd"/>
      <w:r w:rsidRPr="00C300D7">
        <w:rPr>
          <w:rFonts w:ascii="Times New Roman" w:hAnsi="Times New Roman" w:cs="Times New Roman"/>
          <w:color w:val="auto"/>
        </w:rPr>
        <w:t>: A Fine-Grained Approach to Market Predictions," in Communications in Computer and Information Science, Springer, 2025.</w:t>
      </w:r>
    </w:p>
    <w:p w14:paraId="389171ED"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[9] </w:t>
      </w:r>
      <w:r w:rsidRPr="00C300D7">
        <w:rPr>
          <w:rFonts w:ascii="Times New Roman" w:hAnsi="Times New Roman" w:cs="Times New Roman"/>
          <w:color w:val="auto"/>
        </w:rPr>
        <w:t xml:space="preserve">K. </w:t>
      </w:r>
      <w:proofErr w:type="spellStart"/>
      <w:r w:rsidRPr="00C300D7">
        <w:rPr>
          <w:rFonts w:ascii="Times New Roman" w:hAnsi="Times New Roman" w:cs="Times New Roman"/>
          <w:color w:val="auto"/>
        </w:rPr>
        <w:t>Kirtac</w:t>
      </w:r>
      <w:proofErr w:type="spellEnd"/>
      <w:r w:rsidRPr="00C300D7">
        <w:rPr>
          <w:rFonts w:ascii="Times New Roman" w:hAnsi="Times New Roman" w:cs="Times New Roman"/>
          <w:color w:val="auto"/>
        </w:rPr>
        <w:t xml:space="preserve"> and G. Germano, "Sentiment trading with large language models," Finance Research Letters, vol. 62, Part B, art. 105227, Elsevier, 2024.</w:t>
      </w:r>
    </w:p>
    <w:p w14:paraId="3ECC653E"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[10] </w:t>
      </w:r>
      <w:r w:rsidRPr="00C300D7">
        <w:rPr>
          <w:rFonts w:ascii="Times New Roman" w:hAnsi="Times New Roman" w:cs="Times New Roman"/>
          <w:color w:val="auto"/>
        </w:rPr>
        <w:t xml:space="preserve">A. </w:t>
      </w:r>
      <w:proofErr w:type="spellStart"/>
      <w:r w:rsidRPr="00C300D7">
        <w:rPr>
          <w:rFonts w:ascii="Times New Roman" w:hAnsi="Times New Roman" w:cs="Times New Roman"/>
          <w:color w:val="auto"/>
        </w:rPr>
        <w:t>Faccia</w:t>
      </w:r>
      <w:proofErr w:type="spellEnd"/>
      <w:r w:rsidRPr="00C300D7">
        <w:rPr>
          <w:rFonts w:ascii="Times New Roman" w:hAnsi="Times New Roman" w:cs="Times New Roman"/>
          <w:color w:val="auto"/>
        </w:rPr>
        <w:t>, J. McDonald, and B. George, "NLP sentiment analysis and accounting transparency: a new era of financial record keeping," Computers, vol. 13, no. 1, art. 5, MDPI, 2024.</w:t>
      </w:r>
    </w:p>
    <w:p w14:paraId="4254D4B0"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[11] </w:t>
      </w:r>
      <w:r w:rsidRPr="00C300D7">
        <w:rPr>
          <w:rFonts w:ascii="Times New Roman" w:hAnsi="Times New Roman" w:cs="Times New Roman"/>
          <w:color w:val="auto"/>
        </w:rPr>
        <w:t xml:space="preserve">A. Darji, F. </w:t>
      </w:r>
      <w:proofErr w:type="spellStart"/>
      <w:r w:rsidRPr="00C300D7">
        <w:rPr>
          <w:rFonts w:ascii="Times New Roman" w:hAnsi="Times New Roman" w:cs="Times New Roman"/>
          <w:color w:val="auto"/>
        </w:rPr>
        <w:t>Kheni</w:t>
      </w:r>
      <w:proofErr w:type="spellEnd"/>
      <w:r w:rsidRPr="00C300D7">
        <w:rPr>
          <w:rFonts w:ascii="Times New Roman" w:hAnsi="Times New Roman" w:cs="Times New Roman"/>
          <w:color w:val="auto"/>
        </w:rPr>
        <w:t xml:space="preserve">, D. </w:t>
      </w:r>
      <w:proofErr w:type="spellStart"/>
      <w:r w:rsidRPr="00C300D7">
        <w:rPr>
          <w:rFonts w:ascii="Times New Roman" w:hAnsi="Times New Roman" w:cs="Times New Roman"/>
          <w:color w:val="auto"/>
        </w:rPr>
        <w:t>Chodvadia</w:t>
      </w:r>
      <w:proofErr w:type="spellEnd"/>
      <w:r w:rsidRPr="00C300D7">
        <w:rPr>
          <w:rFonts w:ascii="Times New Roman" w:hAnsi="Times New Roman" w:cs="Times New Roman"/>
          <w:color w:val="auto"/>
        </w:rPr>
        <w:t>, P. Goel, D. Garg, and B. Patel, "Enhancing Financial Risk Analysis using RAG-based Large Language Models," in Proc. 2024 3rd Int. Conf. Automation, Computing and Renewable Systems (ICACRS), IEEE, 2024, pp. 754-760.</w:t>
      </w:r>
    </w:p>
    <w:p w14:paraId="4B70439F"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[12] </w:t>
      </w:r>
      <w:r w:rsidRPr="00C300D7">
        <w:rPr>
          <w:rFonts w:ascii="Times New Roman" w:hAnsi="Times New Roman" w:cs="Times New Roman"/>
          <w:color w:val="auto"/>
        </w:rPr>
        <w:t>B. Sarmah, D. Mehta, B. Hall, R. Rao, S. Patel, and S. Pasquali, "</w:t>
      </w:r>
      <w:proofErr w:type="spellStart"/>
      <w:r w:rsidRPr="00C300D7">
        <w:rPr>
          <w:rFonts w:ascii="Times New Roman" w:hAnsi="Times New Roman" w:cs="Times New Roman"/>
          <w:color w:val="auto"/>
        </w:rPr>
        <w:t>HybridRAG</w:t>
      </w:r>
      <w:proofErr w:type="spellEnd"/>
      <w:r w:rsidRPr="00C300D7">
        <w:rPr>
          <w:rFonts w:ascii="Times New Roman" w:hAnsi="Times New Roman" w:cs="Times New Roman"/>
          <w:color w:val="auto"/>
        </w:rPr>
        <w:t>: Integrating knowledge graphs and vector retrieval augmented generation for efficient information extraction," in Proc. 5th ACM Int. Conf. AI in Finance (ICAIF), 2024, pp. 608-616.</w:t>
      </w:r>
    </w:p>
    <w:p w14:paraId="2CDF02E1"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[13] </w:t>
      </w:r>
      <w:r w:rsidRPr="00C300D7">
        <w:rPr>
          <w:rFonts w:ascii="Times New Roman" w:hAnsi="Times New Roman" w:cs="Times New Roman"/>
          <w:color w:val="auto"/>
        </w:rPr>
        <w:t xml:space="preserve">B. </w:t>
      </w:r>
      <w:proofErr w:type="spellStart"/>
      <w:r w:rsidRPr="00C300D7">
        <w:rPr>
          <w:rFonts w:ascii="Times New Roman" w:hAnsi="Times New Roman" w:cs="Times New Roman"/>
          <w:color w:val="auto"/>
        </w:rPr>
        <w:t>Aejas</w:t>
      </w:r>
      <w:proofErr w:type="spellEnd"/>
      <w:r w:rsidRPr="00C300D7">
        <w:rPr>
          <w:rFonts w:ascii="Times New Roman" w:hAnsi="Times New Roman" w:cs="Times New Roman"/>
          <w:color w:val="auto"/>
        </w:rPr>
        <w:t xml:space="preserve">, A. </w:t>
      </w:r>
      <w:proofErr w:type="spellStart"/>
      <w:r w:rsidRPr="00C300D7">
        <w:rPr>
          <w:rFonts w:ascii="Times New Roman" w:hAnsi="Times New Roman" w:cs="Times New Roman"/>
          <w:color w:val="auto"/>
        </w:rPr>
        <w:t>Belhi</w:t>
      </w:r>
      <w:proofErr w:type="spellEnd"/>
      <w:r w:rsidRPr="00C300D7">
        <w:rPr>
          <w:rFonts w:ascii="Times New Roman" w:hAnsi="Times New Roman" w:cs="Times New Roman"/>
          <w:color w:val="auto"/>
        </w:rPr>
        <w:t>, and A. Bouras, "Contract Clause Extraction Using Question-Answering Task," in Proc. Int. Conf. Web Information Systems Engineering (WISE), Springer, 2024, pp. 320-333.</w:t>
      </w:r>
    </w:p>
    <w:p w14:paraId="027E3C99"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[14] </w:t>
      </w:r>
      <w:r w:rsidRPr="00C300D7">
        <w:rPr>
          <w:rFonts w:ascii="Times New Roman" w:hAnsi="Times New Roman" w:cs="Times New Roman"/>
          <w:color w:val="auto"/>
        </w:rPr>
        <w:t xml:space="preserve">F. </w:t>
      </w:r>
      <w:proofErr w:type="spellStart"/>
      <w:r w:rsidRPr="00C300D7">
        <w:rPr>
          <w:rFonts w:ascii="Times New Roman" w:hAnsi="Times New Roman" w:cs="Times New Roman"/>
          <w:color w:val="auto"/>
        </w:rPr>
        <w:t>Memar</w:t>
      </w:r>
      <w:proofErr w:type="spellEnd"/>
      <w:r w:rsidRPr="00C300D7">
        <w:rPr>
          <w:rFonts w:ascii="Times New Roman" w:hAnsi="Times New Roman" w:cs="Times New Roman"/>
          <w:color w:val="auto"/>
        </w:rPr>
        <w:t xml:space="preserve">, E. Q. Shahra, and S. </w:t>
      </w:r>
      <w:proofErr w:type="spellStart"/>
      <w:r w:rsidRPr="00C300D7">
        <w:rPr>
          <w:rFonts w:ascii="Times New Roman" w:hAnsi="Times New Roman" w:cs="Times New Roman"/>
          <w:color w:val="auto"/>
        </w:rPr>
        <w:t>Bamansoor</w:t>
      </w:r>
      <w:proofErr w:type="spellEnd"/>
      <w:r w:rsidRPr="00C300D7">
        <w:rPr>
          <w:rFonts w:ascii="Times New Roman" w:hAnsi="Times New Roman" w:cs="Times New Roman"/>
          <w:color w:val="auto"/>
        </w:rPr>
        <w:t>, "AI-Powered Contract Clause Risk Classifier for ERP Integration," in Advances in Intelligent Computing Techniques and Applications II (IRICT 2025), Lecture Notes on Data Engineering and Communications Technologies, vol. 293, Springer, Cham, 2026.</w:t>
      </w:r>
    </w:p>
    <w:p w14:paraId="3FE7584E"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[15] </w:t>
      </w:r>
      <w:r w:rsidRPr="00C300D7">
        <w:rPr>
          <w:rFonts w:ascii="Times New Roman" w:hAnsi="Times New Roman" w:cs="Times New Roman"/>
          <w:color w:val="auto"/>
        </w:rPr>
        <w:t xml:space="preserve">B. </w:t>
      </w:r>
      <w:proofErr w:type="spellStart"/>
      <w:r w:rsidRPr="00C300D7">
        <w:rPr>
          <w:rFonts w:ascii="Times New Roman" w:hAnsi="Times New Roman" w:cs="Times New Roman"/>
          <w:color w:val="auto"/>
        </w:rPr>
        <w:t>Aejas</w:t>
      </w:r>
      <w:proofErr w:type="spellEnd"/>
      <w:r w:rsidRPr="00C300D7">
        <w:rPr>
          <w:rFonts w:ascii="Times New Roman" w:hAnsi="Times New Roman" w:cs="Times New Roman"/>
          <w:color w:val="auto"/>
        </w:rPr>
        <w:t xml:space="preserve">, A. </w:t>
      </w:r>
      <w:proofErr w:type="spellStart"/>
      <w:r w:rsidRPr="00C300D7">
        <w:rPr>
          <w:rFonts w:ascii="Times New Roman" w:hAnsi="Times New Roman" w:cs="Times New Roman"/>
          <w:color w:val="auto"/>
        </w:rPr>
        <w:t>Belhi</w:t>
      </w:r>
      <w:proofErr w:type="spellEnd"/>
      <w:r w:rsidRPr="00C300D7">
        <w:rPr>
          <w:rFonts w:ascii="Times New Roman" w:hAnsi="Times New Roman" w:cs="Times New Roman"/>
          <w:color w:val="auto"/>
        </w:rPr>
        <w:t>, and A. Bouras, "Efficient legal contract clause extraction using a QA-based knowledge distillation approach," World Wide Web, vol. 28, art. 62, Springer, 2025.</w:t>
      </w:r>
    </w:p>
    <w:p w14:paraId="29336DF3"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[16] </w:t>
      </w:r>
      <w:r w:rsidRPr="00C300D7">
        <w:rPr>
          <w:rFonts w:ascii="Times New Roman" w:hAnsi="Times New Roman" w:cs="Times New Roman"/>
          <w:color w:val="auto"/>
        </w:rPr>
        <w:t>A. Vaswani et al., "Attention is all you need," in Advances in Neural Information Processing Systems (</w:t>
      </w:r>
      <w:proofErr w:type="spellStart"/>
      <w:r w:rsidRPr="00C300D7">
        <w:rPr>
          <w:rFonts w:ascii="Times New Roman" w:hAnsi="Times New Roman" w:cs="Times New Roman"/>
          <w:color w:val="auto"/>
        </w:rPr>
        <w:t>NeurIPS</w:t>
      </w:r>
      <w:proofErr w:type="spellEnd"/>
      <w:r w:rsidRPr="00C300D7">
        <w:rPr>
          <w:rFonts w:ascii="Times New Roman" w:hAnsi="Times New Roman" w:cs="Times New Roman"/>
          <w:color w:val="auto"/>
        </w:rPr>
        <w:t>), vol. 30, 2017, pp. 5998-6008.</w:t>
      </w:r>
    </w:p>
    <w:p w14:paraId="350DC3F1"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[17] </w:t>
      </w:r>
      <w:r w:rsidRPr="00C300D7">
        <w:rPr>
          <w:rFonts w:ascii="Times New Roman" w:hAnsi="Times New Roman" w:cs="Times New Roman"/>
          <w:color w:val="auto"/>
        </w:rPr>
        <w:t>J. Devlin, M.-W. Chang, K. Lee, and K. Toutanova, "BERT: Pre-training of deep bidirectional transformers for language understanding," in Proc. NAACL-HLT, 2019, pp. 4171-4186.</w:t>
      </w:r>
    </w:p>
    <w:p w14:paraId="6C22C505"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[18] </w:t>
      </w:r>
      <w:r w:rsidRPr="00C300D7">
        <w:rPr>
          <w:rFonts w:ascii="Times New Roman" w:hAnsi="Times New Roman" w:cs="Times New Roman"/>
          <w:color w:val="auto"/>
        </w:rPr>
        <w:t>D. Araci, "</w:t>
      </w:r>
      <w:proofErr w:type="spellStart"/>
      <w:r w:rsidRPr="00C300D7">
        <w:rPr>
          <w:rFonts w:ascii="Times New Roman" w:hAnsi="Times New Roman" w:cs="Times New Roman"/>
          <w:color w:val="auto"/>
        </w:rPr>
        <w:t>FinBERT</w:t>
      </w:r>
      <w:proofErr w:type="spellEnd"/>
      <w:r w:rsidRPr="00C300D7">
        <w:rPr>
          <w:rFonts w:ascii="Times New Roman" w:hAnsi="Times New Roman" w:cs="Times New Roman"/>
          <w:color w:val="auto"/>
        </w:rPr>
        <w:t xml:space="preserve">: Financial sentiment analysis with pre-trained language models," </w:t>
      </w:r>
      <w:proofErr w:type="spellStart"/>
      <w:r w:rsidRPr="00C300D7">
        <w:rPr>
          <w:rFonts w:ascii="Times New Roman" w:hAnsi="Times New Roman" w:cs="Times New Roman"/>
          <w:color w:val="auto"/>
        </w:rPr>
        <w:t>arXiv</w:t>
      </w:r>
      <w:proofErr w:type="spellEnd"/>
      <w:r w:rsidRPr="00C300D7">
        <w:rPr>
          <w:rFonts w:ascii="Times New Roman" w:hAnsi="Times New Roman" w:cs="Times New Roman"/>
          <w:color w:val="auto"/>
        </w:rPr>
        <w:t xml:space="preserve"> preprint arXiv:1908.10063, 2019.</w:t>
      </w:r>
    </w:p>
    <w:p w14:paraId="0CED542B"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[19] </w:t>
      </w:r>
      <w:r w:rsidRPr="00C300D7">
        <w:rPr>
          <w:rFonts w:ascii="Times New Roman" w:hAnsi="Times New Roman" w:cs="Times New Roman"/>
          <w:color w:val="auto"/>
        </w:rPr>
        <w:t>P. Lewis et al., "Retrieval-augmented generation for knowledge-intensive NLP tasks," in Advances in Neural Information Processing Systems (</w:t>
      </w:r>
      <w:proofErr w:type="spellStart"/>
      <w:r w:rsidRPr="00C300D7">
        <w:rPr>
          <w:rFonts w:ascii="Times New Roman" w:hAnsi="Times New Roman" w:cs="Times New Roman"/>
          <w:color w:val="auto"/>
        </w:rPr>
        <w:t>NeurIPS</w:t>
      </w:r>
      <w:proofErr w:type="spellEnd"/>
      <w:r w:rsidRPr="00C300D7">
        <w:rPr>
          <w:rFonts w:ascii="Times New Roman" w:hAnsi="Times New Roman" w:cs="Times New Roman"/>
          <w:color w:val="auto"/>
        </w:rPr>
        <w:t>), vol. 33, 2020, pp. 9459-9474.</w:t>
      </w:r>
    </w:p>
    <w:p w14:paraId="07C2B923" w14:textId="77777777" w:rsidR="007705B8" w:rsidRPr="00C300D7" w:rsidRDefault="00000000">
      <w:pPr>
        <w:pStyle w:val="ListParagraph"/>
        <w:numPr>
          <w:ilvl w:val="0"/>
          <w:numId w:val="1"/>
        </w:numPr>
        <w:spacing w:after="90" w:line="260" w:lineRule="auto"/>
        <w:rPr>
          <w:rFonts w:ascii="Times New Roman" w:hAnsi="Times New Roman" w:cs="Times New Roman"/>
          <w:color w:val="auto"/>
        </w:rPr>
      </w:pPr>
      <w:r w:rsidRPr="00C300D7">
        <w:rPr>
          <w:rFonts w:ascii="Times New Roman" w:hAnsi="Times New Roman" w:cs="Times New Roman"/>
          <w:b/>
          <w:bCs/>
          <w:color w:val="auto"/>
        </w:rPr>
        <w:t xml:space="preserve">[20] </w:t>
      </w:r>
      <w:r w:rsidRPr="00C300D7">
        <w:rPr>
          <w:rFonts w:ascii="Times New Roman" w:hAnsi="Times New Roman" w:cs="Times New Roman"/>
          <w:color w:val="auto"/>
        </w:rPr>
        <w:t xml:space="preserve">D. Hendrycks et al., "CUAD: An expert-annotated NLP dataset for legal contract review," in Proc. </w:t>
      </w:r>
      <w:proofErr w:type="spellStart"/>
      <w:r w:rsidRPr="00C300D7">
        <w:rPr>
          <w:rFonts w:ascii="Times New Roman" w:hAnsi="Times New Roman" w:cs="Times New Roman"/>
          <w:color w:val="auto"/>
        </w:rPr>
        <w:t>NeurIPS</w:t>
      </w:r>
      <w:proofErr w:type="spellEnd"/>
      <w:r w:rsidRPr="00C300D7">
        <w:rPr>
          <w:rFonts w:ascii="Times New Roman" w:hAnsi="Times New Roman" w:cs="Times New Roman"/>
          <w:color w:val="auto"/>
        </w:rPr>
        <w:t xml:space="preserve"> Datasets and Benchmarks Track, 2021.</w:t>
      </w:r>
    </w:p>
    <w:sectPr w:rsidR="007705B8" w:rsidRPr="00C300D7">
      <w:headerReference w:type="even" r:id="rId17"/>
      <w:headerReference w:type="default" r:id="rId18"/>
      <w:footerReference w:type="even" r:id="rId19"/>
      <w:footerReference w:type="default" r:id="rId20"/>
      <w:headerReference w:type="first" r:id="rId21"/>
      <w:footerReference w:type="first" r:id="rId2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AA3C" w14:textId="77777777" w:rsidR="00DA1418" w:rsidRDefault="00DA1418">
      <w:pPr>
        <w:spacing w:line="240" w:lineRule="auto"/>
      </w:pPr>
      <w:r>
        <w:separator/>
      </w:r>
    </w:p>
  </w:endnote>
  <w:endnote w:type="continuationSeparator" w:id="0">
    <w:p w14:paraId="19C0DE6C" w14:textId="77777777" w:rsidR="00DA1418" w:rsidRDefault="00DA1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1965" w14:textId="77777777" w:rsidR="00FE5CAA" w:rsidRDefault="00FE5C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824C8" w14:textId="79916CA3" w:rsidR="00FE5CAA" w:rsidRDefault="00FE5CAA">
    <w:pPr>
      <w:pStyle w:val="Footer"/>
    </w:pPr>
  </w:p>
  <w:p w14:paraId="65B8C726" w14:textId="2AA0A509" w:rsidR="007705B8" w:rsidRDefault="007705B8">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66EC2" w14:textId="77777777" w:rsidR="00FE5CAA" w:rsidRDefault="00FE5C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ABE0E" w14:textId="77777777" w:rsidR="00DA1418" w:rsidRDefault="00DA1418">
      <w:pPr>
        <w:spacing w:line="240" w:lineRule="auto"/>
      </w:pPr>
      <w:r>
        <w:separator/>
      </w:r>
    </w:p>
  </w:footnote>
  <w:footnote w:type="continuationSeparator" w:id="0">
    <w:p w14:paraId="20298ED3" w14:textId="77777777" w:rsidR="00DA1418" w:rsidRDefault="00DA14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5A8DB" w14:textId="77777777" w:rsidR="00FE5CAA" w:rsidRDefault="00FE5C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404C1" w14:textId="1BFA357C" w:rsidR="00FE5CAA" w:rsidRDefault="00FE5CAA">
    <w:pPr>
      <w:pStyle w:val="Header"/>
    </w:pPr>
  </w:p>
  <w:p w14:paraId="0F16D341" w14:textId="0B53E850" w:rsidR="007705B8" w:rsidRDefault="007705B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6F75B" w14:textId="77777777" w:rsidR="00FE5CAA" w:rsidRDefault="00FE5C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21B9A"/>
    <w:multiLevelType w:val="hybridMultilevel"/>
    <w:tmpl w:val="EE641358"/>
    <w:lvl w:ilvl="0" w:tplc="892E1A80">
      <w:start w:val="1"/>
      <w:numFmt w:val="bullet"/>
      <w:lvlText w:val="●"/>
      <w:lvlJc w:val="left"/>
      <w:pPr>
        <w:ind w:left="720" w:hanging="360"/>
      </w:pPr>
    </w:lvl>
    <w:lvl w:ilvl="1" w:tplc="0EF65324">
      <w:start w:val="1"/>
      <w:numFmt w:val="bullet"/>
      <w:lvlText w:val="○"/>
      <w:lvlJc w:val="left"/>
      <w:pPr>
        <w:ind w:left="1440" w:hanging="360"/>
      </w:pPr>
    </w:lvl>
    <w:lvl w:ilvl="2" w:tplc="DCA8A9E6">
      <w:start w:val="1"/>
      <w:numFmt w:val="bullet"/>
      <w:lvlText w:val="■"/>
      <w:lvlJc w:val="left"/>
      <w:pPr>
        <w:ind w:left="2160" w:hanging="360"/>
      </w:pPr>
    </w:lvl>
    <w:lvl w:ilvl="3" w:tplc="59742934">
      <w:start w:val="1"/>
      <w:numFmt w:val="bullet"/>
      <w:lvlText w:val="●"/>
      <w:lvlJc w:val="left"/>
      <w:pPr>
        <w:ind w:left="2880" w:hanging="360"/>
      </w:pPr>
    </w:lvl>
    <w:lvl w:ilvl="4" w:tplc="22F0A25A">
      <w:start w:val="1"/>
      <w:numFmt w:val="bullet"/>
      <w:lvlText w:val="○"/>
      <w:lvlJc w:val="left"/>
      <w:pPr>
        <w:ind w:left="3600" w:hanging="360"/>
      </w:pPr>
    </w:lvl>
    <w:lvl w:ilvl="5" w:tplc="C772FBD4">
      <w:start w:val="1"/>
      <w:numFmt w:val="bullet"/>
      <w:lvlText w:val="■"/>
      <w:lvlJc w:val="left"/>
      <w:pPr>
        <w:ind w:left="4320" w:hanging="360"/>
      </w:pPr>
    </w:lvl>
    <w:lvl w:ilvl="6" w:tplc="8CD68852">
      <w:start w:val="1"/>
      <w:numFmt w:val="bullet"/>
      <w:lvlText w:val="●"/>
      <w:lvlJc w:val="left"/>
      <w:pPr>
        <w:ind w:left="5040" w:hanging="360"/>
      </w:pPr>
    </w:lvl>
    <w:lvl w:ilvl="7" w:tplc="554A4AD6">
      <w:start w:val="1"/>
      <w:numFmt w:val="bullet"/>
      <w:lvlText w:val="●"/>
      <w:lvlJc w:val="left"/>
      <w:pPr>
        <w:ind w:left="5760" w:hanging="360"/>
      </w:pPr>
    </w:lvl>
    <w:lvl w:ilvl="8" w:tplc="619067F8">
      <w:start w:val="1"/>
      <w:numFmt w:val="bullet"/>
      <w:lvlText w:val="●"/>
      <w:lvlJc w:val="left"/>
      <w:pPr>
        <w:ind w:left="6480" w:hanging="360"/>
      </w:pPr>
    </w:lvl>
  </w:abstractNum>
  <w:num w:numId="1" w16cid:durableId="2140488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5B8"/>
    <w:rsid w:val="0015340C"/>
    <w:rsid w:val="007705B8"/>
    <w:rsid w:val="00A75E3D"/>
    <w:rsid w:val="00C300D7"/>
    <w:rsid w:val="00D0735A"/>
    <w:rsid w:val="00DA1418"/>
    <w:rsid w:val="00F9472C"/>
    <w:rsid w:val="00FE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B335B"/>
  <w15:docId w15:val="{00450BDC-91AB-416B-BE15-54769D4F6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IN" w:eastAsia="en-IN"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5CAA"/>
    <w:pPr>
      <w:tabs>
        <w:tab w:val="center" w:pos="4513"/>
        <w:tab w:val="right" w:pos="9026"/>
      </w:tabs>
      <w:spacing w:line="240" w:lineRule="auto"/>
    </w:pPr>
  </w:style>
  <w:style w:type="character" w:customStyle="1" w:styleId="HeaderChar">
    <w:name w:val="Header Char"/>
    <w:basedOn w:val="DefaultParagraphFont"/>
    <w:link w:val="Header"/>
    <w:uiPriority w:val="99"/>
    <w:rsid w:val="00FE5CAA"/>
  </w:style>
  <w:style w:type="paragraph" w:styleId="Footer">
    <w:name w:val="footer"/>
    <w:basedOn w:val="Normal"/>
    <w:link w:val="FooterChar"/>
    <w:uiPriority w:val="99"/>
    <w:unhideWhenUsed/>
    <w:rsid w:val="00FE5CAA"/>
    <w:pPr>
      <w:tabs>
        <w:tab w:val="center" w:pos="4513"/>
        <w:tab w:val="right" w:pos="9026"/>
      </w:tabs>
      <w:spacing w:line="240" w:lineRule="auto"/>
    </w:pPr>
  </w:style>
  <w:style w:type="character" w:customStyle="1" w:styleId="FooterChar">
    <w:name w:val="Footer Char"/>
    <w:basedOn w:val="DefaultParagraphFont"/>
    <w:link w:val="Footer"/>
    <w:uiPriority w:val="99"/>
    <w:rsid w:val="00FE5C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15</Pages>
  <Words>4757</Words>
  <Characters>27120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FinSight AI: Second Review Technical Implementation Report</vt:lpstr>
    </vt:vector>
  </TitlesOfParts>
  <Company/>
  <LinksUpToDate>false</LinksUpToDate>
  <CharactersWithSpaces>31814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FinSight AI: Second Review Technical Implementation Report</dc:title>
  <dc:creator>FinSight AI Project Team — VIT Chennai</dc:creator>
  <dc:description>Academic-grade Technical Documentation and Implementation Review for FinSight AI Platform</dc:description>
  <cp:lastModifiedBy>Karthik Steve</cp:lastModifiedBy>
  <cp:revision>3</cp:revision>
  <dcterms:created xsi:type="dcterms:W3CDTF">2026-09-22T18:35:00Z</dcterms:created>
  <dcterms:modified xsi:type="dcterms:W3CDTF">2026-09-22T18:53:00Z</dcterms:modified>
</cp:coreProperties>
</file>