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CEC93" w14:textId="641BCEE4" w:rsidR="00A55266" w:rsidRDefault="00A55266" w:rsidP="00A5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266">
        <w:rPr>
          <w:rFonts w:ascii="Times New Roman" w:hAnsi="Times New Roman" w:cs="Times New Roman"/>
          <w:b/>
          <w:bCs/>
          <w:sz w:val="36"/>
          <w:szCs w:val="36"/>
        </w:rPr>
        <w:t>Sales &amp; Customers Dashboard – End-to-End Data Pipeline</w:t>
      </w:r>
    </w:p>
    <w:p w14:paraId="2957C5F3" w14:textId="6E57A1F3" w:rsidR="00A55266" w:rsidRPr="00A55266" w:rsidRDefault="00A55266" w:rsidP="00A5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26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Objective</w:t>
      </w:r>
    </w:p>
    <w:p w14:paraId="2751D079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was to build an end-to-end analytics solution that converts raw transactional data into business-ready insights to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track sales performance, understand customer behavior, identify revenue drivers, and support profit-oriented decision-making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br/>
        <w:t>The project aimed to enable management to monitor KPIs, identify high-value customers and products, and uncover opportunities to improve revenue mix, customer retention, and inventory efficiency.</w:t>
      </w:r>
    </w:p>
    <w:p w14:paraId="08B77998" w14:textId="77777777" w:rsidR="00A55266" w:rsidRPr="00A55266" w:rsidRDefault="00A55266" w:rsidP="00A5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pict w14:anchorId="49D76B23">
          <v:rect id="_x0000_i1025" style="width:0;height:1.5pt" o:hralign="center" o:hrstd="t" o:hr="t" fillcolor="#a0a0a0" stroked="f"/>
        </w:pict>
      </w:r>
    </w:p>
    <w:p w14:paraId="01C06236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266">
        <w:rPr>
          <w:rFonts w:ascii="Times New Roman" w:eastAsia="Times New Roman" w:hAnsi="Times New Roman" w:cs="Times New Roman"/>
          <w:b/>
          <w:bCs/>
          <w:sz w:val="36"/>
          <w:szCs w:val="36"/>
        </w:rPr>
        <w:t>Project Description</w:t>
      </w:r>
    </w:p>
    <w:p w14:paraId="4C84689D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I designed and implemented a full-scale data analytics pipeline using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SQL Server and Power BI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, integrating six independent data sources related to customers, products, and sales orders.</w:t>
      </w:r>
    </w:p>
    <w:p w14:paraId="0EAE3551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Medallion Architecture (Bronze–Silver–Gold)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was implemented to ensure data reliability and scalability. Raw data was ingested into the </w:t>
      </w:r>
      <w:proofErr w:type="gramStart"/>
      <w:r w:rsidRPr="00A55266">
        <w:rPr>
          <w:rFonts w:ascii="Times New Roman" w:eastAsia="Times New Roman" w:hAnsi="Times New Roman" w:cs="Times New Roman"/>
          <w:sz w:val="24"/>
          <w:szCs w:val="24"/>
        </w:rPr>
        <w:t>Bronze</w:t>
      </w:r>
      <w:proofErr w:type="gramEnd"/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layer for auditability. In the Silver layer, I performed ETL operations including data cleansing, standardization, deduplication, table integration, and implementation of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SCD Type-2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logic to track historical product price changes.</w:t>
      </w:r>
    </w:p>
    <w:p w14:paraId="4C402C95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In the Gold layer, I built a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Star Schema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consisting of customer, product, and date dimensions linked to a centralized sales fact table. This analytical model was optimized for reporting and connected to Power BI, where I developed an interactive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Customer Dashboard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to track KPIs, analyze customer and product performance, and support business decisions.</w:t>
      </w:r>
    </w:p>
    <w:p w14:paraId="54FB26E5" w14:textId="77777777" w:rsidR="00A55266" w:rsidRPr="00A55266" w:rsidRDefault="00A55266" w:rsidP="00A5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pict w14:anchorId="6835FDC5">
          <v:rect id="_x0000_i1026" style="width:0;height:1.5pt" o:hralign="center" o:hrstd="t" o:hr="t" fillcolor="#a0a0a0" stroked="f"/>
        </w:pict>
      </w:r>
    </w:p>
    <w:p w14:paraId="42100611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266">
        <w:rPr>
          <w:rFonts w:ascii="Times New Roman" w:eastAsia="Times New Roman" w:hAnsi="Times New Roman" w:cs="Times New Roman"/>
          <w:b/>
          <w:bCs/>
          <w:sz w:val="36"/>
          <w:szCs w:val="36"/>
        </w:rPr>
        <w:t>Key Insights from Analysis (with Numbers)</w:t>
      </w:r>
    </w:p>
    <w:p w14:paraId="7BC5A312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266">
        <w:rPr>
          <w:rFonts w:ascii="Times New Roman" w:eastAsia="Times New Roman" w:hAnsi="Times New Roman" w:cs="Times New Roman"/>
          <w:b/>
          <w:bCs/>
          <w:sz w:val="27"/>
          <w:szCs w:val="27"/>
        </w:rPr>
        <w:t>Overall Business Performance</w:t>
      </w:r>
    </w:p>
    <w:p w14:paraId="680DF521" w14:textId="77777777" w:rsidR="00A55266" w:rsidRPr="00A55266" w:rsidRDefault="00A55266" w:rsidP="00A55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Sales: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29M</w:t>
      </w:r>
    </w:p>
    <w:p w14:paraId="7A81DC1C" w14:textId="77777777" w:rsidR="00A55266" w:rsidRPr="00A55266" w:rsidRDefault="00A55266" w:rsidP="00A55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Total Orders: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28K</w:t>
      </w:r>
    </w:p>
    <w:p w14:paraId="62E6184E" w14:textId="77777777" w:rsidR="00A55266" w:rsidRPr="00A55266" w:rsidRDefault="00A55266" w:rsidP="00A55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Total Customers: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18K</w:t>
      </w:r>
    </w:p>
    <w:p w14:paraId="303F452C" w14:textId="77777777" w:rsidR="00A55266" w:rsidRPr="00A55266" w:rsidRDefault="00A55266" w:rsidP="00A55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Total Products: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295</w:t>
      </w:r>
    </w:p>
    <w:p w14:paraId="064D84DA" w14:textId="77777777" w:rsidR="00A55266" w:rsidRPr="00A55266" w:rsidRDefault="00A55266" w:rsidP="00A55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Total Quantity Sold: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60K units</w:t>
      </w:r>
    </w:p>
    <w:p w14:paraId="66EE46D5" w14:textId="77777777" w:rsidR="00A55266" w:rsidRPr="00A55266" w:rsidRDefault="00A55266" w:rsidP="00A552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Product Price: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486</w:t>
      </w:r>
    </w:p>
    <w:p w14:paraId="5E203697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This indicates a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high-volume sales business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with a broad customer base and a mid-to-high product price range.</w:t>
      </w:r>
    </w:p>
    <w:p w14:paraId="14DB1733" w14:textId="77777777" w:rsidR="00A55266" w:rsidRPr="00A55266" w:rsidRDefault="00A55266" w:rsidP="00A5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pict w14:anchorId="7A556985">
          <v:rect id="_x0000_i1027" style="width:0;height:1.5pt" o:hralign="center" o:hrstd="t" o:hr="t" fillcolor="#a0a0a0" stroked="f"/>
        </w:pict>
      </w:r>
    </w:p>
    <w:p w14:paraId="3415B8EC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2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Customer Insights</w:t>
      </w:r>
    </w:p>
    <w:p w14:paraId="406414D2" w14:textId="77777777" w:rsidR="00A55266" w:rsidRPr="00A55266" w:rsidRDefault="00A55266" w:rsidP="00A55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Base: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18K customers</w:t>
      </w:r>
    </w:p>
    <w:p w14:paraId="5A7F8305" w14:textId="77777777" w:rsidR="00A55266" w:rsidRPr="00A55266" w:rsidRDefault="00A55266" w:rsidP="00A552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Gender Distribution:</w:t>
      </w:r>
    </w:p>
    <w:p w14:paraId="68D242A3" w14:textId="77777777" w:rsidR="00A55266" w:rsidRPr="00A55266" w:rsidRDefault="00A55266" w:rsidP="00A55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Male: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50.62% (~9K)</w:t>
      </w:r>
    </w:p>
    <w:p w14:paraId="65534FAA" w14:textId="77777777" w:rsidR="00A55266" w:rsidRPr="00A55266" w:rsidRDefault="00A55266" w:rsidP="00A5526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Female: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49.38% (~9K)</w:t>
      </w:r>
    </w:p>
    <w:p w14:paraId="48240E8A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55266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customer base is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almost perfectly balanced by gender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, suggesting no gender dependency and strong potential for universal marketing campaigns.</w:t>
      </w:r>
    </w:p>
    <w:p w14:paraId="2A4E9F8C" w14:textId="77777777" w:rsidR="00A55266" w:rsidRPr="00A55266" w:rsidRDefault="00A55266" w:rsidP="00A552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Top Geography:</w:t>
      </w:r>
    </w:p>
    <w:p w14:paraId="254B886A" w14:textId="77777777" w:rsidR="00A55266" w:rsidRPr="00A55266" w:rsidRDefault="00A55266" w:rsidP="00A552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United States is the largest market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, followed by Australia, UK, France, Germany, and Canada.</w:t>
      </w:r>
    </w:p>
    <w:p w14:paraId="5DBD1A15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Sales and customer concentration in the US highlights it as the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primary revenue-driving region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9E6DB9" w14:textId="77777777" w:rsidR="00A55266" w:rsidRPr="00A55266" w:rsidRDefault="00A55266" w:rsidP="00A552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Top Customers:</w:t>
      </w:r>
    </w:p>
    <w:p w14:paraId="6AE420BB" w14:textId="77777777" w:rsidR="00A55266" w:rsidRPr="00A55266" w:rsidRDefault="00A55266" w:rsidP="00A552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Top 10 customers individually contribute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~8K+ sales each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C88D8F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A small group of customers contributes a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disproportionately high share of revenue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, indicating strong repeat or high-value buyers.</w:t>
      </w:r>
    </w:p>
    <w:p w14:paraId="44EB88E1" w14:textId="77777777" w:rsidR="00A55266" w:rsidRPr="00A55266" w:rsidRDefault="00A55266" w:rsidP="00A5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pict w14:anchorId="39BE164B">
          <v:rect id="_x0000_i1028" style="width:0;height:1.5pt" o:hralign="center" o:hrstd="t" o:hr="t" fillcolor="#a0a0a0" stroked="f"/>
        </w:pict>
      </w:r>
    </w:p>
    <w:p w14:paraId="1AEF0917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266">
        <w:rPr>
          <w:rFonts w:ascii="Times New Roman" w:eastAsia="Times New Roman" w:hAnsi="Times New Roman" w:cs="Times New Roman"/>
          <w:b/>
          <w:bCs/>
          <w:sz w:val="27"/>
          <w:szCs w:val="27"/>
        </w:rPr>
        <w:t>Product Insights</w:t>
      </w:r>
    </w:p>
    <w:p w14:paraId="5F3C79AA" w14:textId="77777777" w:rsidR="00A55266" w:rsidRPr="00A55266" w:rsidRDefault="00A55266" w:rsidP="00A552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Categories: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Bikes, Components, Clothing, Accessories, Others</w:t>
      </w:r>
    </w:p>
    <w:p w14:paraId="2E146572" w14:textId="77777777" w:rsidR="00A55266" w:rsidRPr="00A55266" w:rsidRDefault="00A55266" w:rsidP="00A552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Category Revenue Contribution:</w:t>
      </w:r>
    </w:p>
    <w:p w14:paraId="5F849576" w14:textId="77777777" w:rsidR="00A55266" w:rsidRPr="00A55266" w:rsidRDefault="00A55266" w:rsidP="00A552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Bikes contribute ~98.8% of total sales</w:t>
      </w:r>
    </w:p>
    <w:p w14:paraId="7C66C1E8" w14:textId="77777777" w:rsidR="00A55266" w:rsidRPr="00A55266" w:rsidRDefault="00A55266" w:rsidP="00A552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All other categories together contribute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~1.2%</w:t>
      </w:r>
    </w:p>
    <w:p w14:paraId="0D29CCA8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Revenue is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heavily concentrated in Bikes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, making it the core business driver.</w:t>
      </w:r>
    </w:p>
    <w:p w14:paraId="179D07C0" w14:textId="77777777" w:rsidR="00A55266" w:rsidRPr="00A55266" w:rsidRDefault="00A55266" w:rsidP="00A552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Top-Selling Products:</w:t>
      </w:r>
    </w:p>
    <w:p w14:paraId="7E3F057F" w14:textId="77777777" w:rsidR="00A55266" w:rsidRPr="00A55266" w:rsidRDefault="00A55266" w:rsidP="00A552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Multiple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Mountain Bike variants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dominate total sales, each contributing close to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0.8–1.0M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in revenue.</w:t>
      </w:r>
    </w:p>
    <w:p w14:paraId="52C2D48B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Demand is concentrated around a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small set of high-performing SKUs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60B8A2" w14:textId="77777777" w:rsidR="00A55266" w:rsidRPr="00A55266" w:rsidRDefault="00A55266" w:rsidP="00A5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pict w14:anchorId="4C6A0234">
          <v:rect id="_x0000_i1029" style="width:0;height:1.5pt" o:hralign="center" o:hrstd="t" o:hr="t" fillcolor="#a0a0a0" stroked="f"/>
        </w:pict>
      </w:r>
    </w:p>
    <w:p w14:paraId="7497D40C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55266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Recommendations to Increase Profits</w:t>
      </w:r>
    </w:p>
    <w:p w14:paraId="7FAECF36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266">
        <w:rPr>
          <w:rFonts w:ascii="Times New Roman" w:eastAsia="Times New Roman" w:hAnsi="Times New Roman" w:cs="Times New Roman"/>
          <w:b/>
          <w:bCs/>
          <w:sz w:val="27"/>
          <w:szCs w:val="27"/>
        </w:rPr>
        <w:t>1. Improve Revenue Diversification</w:t>
      </w:r>
    </w:p>
    <w:p w14:paraId="70503862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Problem:</w:t>
      </w:r>
    </w:p>
    <w:p w14:paraId="50900BD9" w14:textId="77777777" w:rsidR="00A55266" w:rsidRPr="00A55266" w:rsidRDefault="00A55266" w:rsidP="00A552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98.8% of revenue comes from Bikes → high dependency risk.</w:t>
      </w:r>
    </w:p>
    <w:p w14:paraId="41237499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14:paraId="083CF996" w14:textId="77777777" w:rsidR="00A55266" w:rsidRPr="00A55266" w:rsidRDefault="00A55266" w:rsidP="00A552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Bundle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Accessories, Clothing, and Components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with Bikes (e.g., bike + helmet + kit).</w:t>
      </w:r>
    </w:p>
    <w:p w14:paraId="263FA777" w14:textId="77777777" w:rsidR="00A55266" w:rsidRPr="00A55266" w:rsidRDefault="00A55266" w:rsidP="00A552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Introduce cross-sell discounts to increase average order value.</w:t>
      </w:r>
    </w:p>
    <w:p w14:paraId="73084E01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</w:p>
    <w:p w14:paraId="20A56B09" w14:textId="77777777" w:rsidR="00A55266" w:rsidRPr="00A55266" w:rsidRDefault="00A55266" w:rsidP="00A552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Even a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5–10% uplift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in non-bike category sales can significantly improve margins since accessories typically have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higher profit margins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than bikes.</w:t>
      </w:r>
    </w:p>
    <w:p w14:paraId="0507F6B0" w14:textId="77777777" w:rsidR="00A55266" w:rsidRPr="00A55266" w:rsidRDefault="00A55266" w:rsidP="00A5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pict w14:anchorId="19E35F42">
          <v:rect id="_x0000_i1030" style="width:0;height:1.5pt" o:hralign="center" o:hrstd="t" o:hr="t" fillcolor="#a0a0a0" stroked="f"/>
        </w:pict>
      </w:r>
    </w:p>
    <w:p w14:paraId="1D8F7D2E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266">
        <w:rPr>
          <w:rFonts w:ascii="Times New Roman" w:eastAsia="Times New Roman" w:hAnsi="Times New Roman" w:cs="Times New Roman"/>
          <w:b/>
          <w:bCs/>
          <w:sz w:val="27"/>
          <w:szCs w:val="27"/>
        </w:rPr>
        <w:t>2. Loyalty Programs for High-Value Customers</w:t>
      </w:r>
    </w:p>
    <w:p w14:paraId="24C20CE1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14:paraId="4374CBEF" w14:textId="77777777" w:rsidR="00A55266" w:rsidRPr="00A55266" w:rsidRDefault="00A55266" w:rsidP="00A552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Top 10 customers generate ~8K+ sales each, but no differentiation strategy exists.</w:t>
      </w:r>
    </w:p>
    <w:p w14:paraId="72C07281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14:paraId="5BF5A12B" w14:textId="77777777" w:rsidR="00A55266" w:rsidRPr="00A55266" w:rsidRDefault="00A55266" w:rsidP="00A552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Introduce loyalty tiers for top-spending customers (early access, discounts, service benefits).</w:t>
      </w:r>
    </w:p>
    <w:p w14:paraId="7934D472" w14:textId="77777777" w:rsidR="00A55266" w:rsidRPr="00A55266" w:rsidRDefault="00A55266" w:rsidP="00A552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Target repeat customers with personalized offers.</w:t>
      </w:r>
    </w:p>
    <w:p w14:paraId="7AC713D8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</w:p>
    <w:p w14:paraId="42513E2E" w14:textId="77777777" w:rsidR="00A55266" w:rsidRPr="00A55266" w:rsidRDefault="00A55266" w:rsidP="00A552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Retaining high-value customers can improve profits by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25–40%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, as repeat customers cost less to serve than new ones.</w:t>
      </w:r>
    </w:p>
    <w:p w14:paraId="41CB362A" w14:textId="77777777" w:rsidR="00A55266" w:rsidRPr="00A55266" w:rsidRDefault="00A55266" w:rsidP="00A5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pict w14:anchorId="42CA1CB3">
          <v:rect id="_x0000_i1031" style="width:0;height:1.5pt" o:hralign="center" o:hrstd="t" o:hr="t" fillcolor="#a0a0a0" stroked="f"/>
        </w:pict>
      </w:r>
    </w:p>
    <w:p w14:paraId="2BE9BFBA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266">
        <w:rPr>
          <w:rFonts w:ascii="Times New Roman" w:eastAsia="Times New Roman" w:hAnsi="Times New Roman" w:cs="Times New Roman"/>
          <w:b/>
          <w:bCs/>
          <w:sz w:val="27"/>
          <w:szCs w:val="27"/>
        </w:rPr>
        <w:t>3. Focus Inventory Planning on High-Performing SKUs</w:t>
      </w:r>
    </w:p>
    <w:p w14:paraId="416D0D93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14:paraId="0FAE936D" w14:textId="77777777" w:rsidR="00A55266" w:rsidRPr="00A55266" w:rsidRDefault="00A55266" w:rsidP="00A552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Sales are concentrated in a few Mountain Bike variants.</w:t>
      </w:r>
    </w:p>
    <w:p w14:paraId="375A79F7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14:paraId="2505C981" w14:textId="77777777" w:rsidR="00A55266" w:rsidRPr="00A55266" w:rsidRDefault="00A55266" w:rsidP="00A552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Prioritize inventory and supply chain planning for top-selling bike models.</w:t>
      </w:r>
    </w:p>
    <w:p w14:paraId="6A102C5B" w14:textId="77777777" w:rsidR="00A55266" w:rsidRPr="00A55266" w:rsidRDefault="00A55266" w:rsidP="00A552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Reduce overstocking of low-performing SKUs.</w:t>
      </w:r>
    </w:p>
    <w:p w14:paraId="09829EBD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</w:p>
    <w:p w14:paraId="73107FEA" w14:textId="77777777" w:rsidR="00A55266" w:rsidRPr="00A55266" w:rsidRDefault="00A55266" w:rsidP="00A552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Lower inventory holding costs and fewer stock-outs for high-demand products →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direct profit improvement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082A3E" w14:textId="77777777" w:rsidR="00A55266" w:rsidRPr="00A55266" w:rsidRDefault="00A55266" w:rsidP="00A5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pict w14:anchorId="5EBBE1EE">
          <v:rect id="_x0000_i1032" style="width:0;height:1.5pt" o:hralign="center" o:hrstd="t" o:hr="t" fillcolor="#a0a0a0" stroked="f"/>
        </w:pict>
      </w:r>
    </w:p>
    <w:p w14:paraId="63497EA3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266">
        <w:rPr>
          <w:rFonts w:ascii="Times New Roman" w:eastAsia="Times New Roman" w:hAnsi="Times New Roman" w:cs="Times New Roman"/>
          <w:b/>
          <w:bCs/>
          <w:sz w:val="27"/>
          <w:szCs w:val="27"/>
        </w:rPr>
        <w:t>4. Region-Specific Growth Strategy</w:t>
      </w:r>
    </w:p>
    <w:p w14:paraId="158C258F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14:paraId="3C899978" w14:textId="77777777" w:rsidR="00A55266" w:rsidRPr="00A55266" w:rsidRDefault="00A55266" w:rsidP="00A552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Sales are heavily skewed toward the US market.</w:t>
      </w:r>
    </w:p>
    <w:p w14:paraId="05D1651E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14:paraId="4D20DF2D" w14:textId="77777777" w:rsidR="00A55266" w:rsidRPr="00A55266" w:rsidRDefault="00A55266" w:rsidP="00A552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Replicate successful US pricing and marketing strategies in Australia and the UK.</w:t>
      </w:r>
    </w:p>
    <w:p w14:paraId="011EB2CB" w14:textId="77777777" w:rsidR="00A55266" w:rsidRPr="00A55266" w:rsidRDefault="00A55266" w:rsidP="00A552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Run targeted promotions in high-potential secondary markets.</w:t>
      </w:r>
    </w:p>
    <w:p w14:paraId="11BDC960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</w:p>
    <w:p w14:paraId="38E3211F" w14:textId="77777777" w:rsidR="00A55266" w:rsidRPr="00A55266" w:rsidRDefault="00A55266" w:rsidP="00A5526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Incremental market expansion can increase overall sales without major operational changes.</w:t>
      </w:r>
    </w:p>
    <w:p w14:paraId="7C7A7EE8" w14:textId="77777777" w:rsidR="00A55266" w:rsidRPr="00A55266" w:rsidRDefault="00A55266" w:rsidP="00A552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pict w14:anchorId="68D75EAB">
          <v:rect id="_x0000_i1033" style="width:0;height:1.5pt" o:hralign="center" o:hrstd="t" o:hr="t" fillcolor="#a0a0a0" stroked="f"/>
        </w:pict>
      </w:r>
    </w:p>
    <w:p w14:paraId="02638E4F" w14:textId="77777777" w:rsidR="00A55266" w:rsidRPr="00A55266" w:rsidRDefault="00A55266" w:rsidP="00A552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55266">
        <w:rPr>
          <w:rFonts w:ascii="Times New Roman" w:eastAsia="Times New Roman" w:hAnsi="Times New Roman" w:cs="Times New Roman"/>
          <w:b/>
          <w:bCs/>
          <w:sz w:val="27"/>
          <w:szCs w:val="27"/>
        </w:rPr>
        <w:t>5. Data-Driven Pricing Optimization</w:t>
      </w:r>
    </w:p>
    <w:p w14:paraId="40572246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</w:p>
    <w:p w14:paraId="69CAAC66" w14:textId="77777777" w:rsidR="00A55266" w:rsidRPr="00A55266" w:rsidRDefault="00A55266" w:rsidP="00A5526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Average price is 486, but price sensitivity across regions and products may vary.</w:t>
      </w:r>
    </w:p>
    <w:p w14:paraId="1F44B526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Recommendation:</w:t>
      </w:r>
    </w:p>
    <w:p w14:paraId="29E64275" w14:textId="77777777" w:rsidR="00A55266" w:rsidRPr="00A55266" w:rsidRDefault="00A55266" w:rsidP="00A552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Use historical sales and SCD pricing data to test price adjustments on top-selling products.</w:t>
      </w:r>
    </w:p>
    <w:p w14:paraId="01903935" w14:textId="77777777" w:rsidR="00A55266" w:rsidRPr="00A55266" w:rsidRDefault="00A55266" w:rsidP="00A5526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>Introduce premium variants for best-performing bike models.</w:t>
      </w:r>
    </w:p>
    <w:p w14:paraId="14EF4A4C" w14:textId="77777777" w:rsidR="00A55266" w:rsidRPr="00A55266" w:rsidRDefault="00A55266" w:rsidP="00A55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Impact:</w:t>
      </w:r>
    </w:p>
    <w:p w14:paraId="3B020740" w14:textId="77777777" w:rsidR="00A55266" w:rsidRPr="00A55266" w:rsidRDefault="00A55266" w:rsidP="00A5526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Small price increases on high-demand products can yield </w:t>
      </w:r>
      <w:r w:rsidRPr="00A55266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 revenue uplift</w:t>
      </w:r>
      <w:r w:rsidRPr="00A55266">
        <w:rPr>
          <w:rFonts w:ascii="Times New Roman" w:eastAsia="Times New Roman" w:hAnsi="Times New Roman" w:cs="Times New Roman"/>
          <w:sz w:val="24"/>
          <w:szCs w:val="24"/>
        </w:rPr>
        <w:t xml:space="preserve"> with minimal volume loss.</w:t>
      </w:r>
    </w:p>
    <w:p w14:paraId="24287FA4" w14:textId="77777777" w:rsidR="00D4541E" w:rsidRDefault="00D4541E"/>
    <w:sectPr w:rsidR="00D4541E" w:rsidSect="00A12C99">
      <w:pgSz w:w="11910" w:h="16840" w:code="9"/>
      <w:pgMar w:top="1280" w:right="1296" w:bottom="2160" w:left="1267" w:header="0" w:footer="1973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28A5"/>
    <w:multiLevelType w:val="multilevel"/>
    <w:tmpl w:val="DE9A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C1D14"/>
    <w:multiLevelType w:val="multilevel"/>
    <w:tmpl w:val="7B12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C6761"/>
    <w:multiLevelType w:val="multilevel"/>
    <w:tmpl w:val="760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86844"/>
    <w:multiLevelType w:val="multilevel"/>
    <w:tmpl w:val="AA6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75084"/>
    <w:multiLevelType w:val="multilevel"/>
    <w:tmpl w:val="3EBC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57E8D"/>
    <w:multiLevelType w:val="multilevel"/>
    <w:tmpl w:val="85D8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60F6A"/>
    <w:multiLevelType w:val="multilevel"/>
    <w:tmpl w:val="138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D0011"/>
    <w:multiLevelType w:val="multilevel"/>
    <w:tmpl w:val="8BA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50106"/>
    <w:multiLevelType w:val="multilevel"/>
    <w:tmpl w:val="E202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C869B4"/>
    <w:multiLevelType w:val="multilevel"/>
    <w:tmpl w:val="F4C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85FA3"/>
    <w:multiLevelType w:val="multilevel"/>
    <w:tmpl w:val="8508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33032"/>
    <w:multiLevelType w:val="multilevel"/>
    <w:tmpl w:val="32C0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E1E64"/>
    <w:multiLevelType w:val="multilevel"/>
    <w:tmpl w:val="37BE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B5D5F"/>
    <w:multiLevelType w:val="multilevel"/>
    <w:tmpl w:val="B07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ED7096"/>
    <w:multiLevelType w:val="multilevel"/>
    <w:tmpl w:val="0354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9602B8"/>
    <w:multiLevelType w:val="multilevel"/>
    <w:tmpl w:val="E75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214D7A"/>
    <w:multiLevelType w:val="multilevel"/>
    <w:tmpl w:val="EDD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C1380"/>
    <w:multiLevelType w:val="multilevel"/>
    <w:tmpl w:val="8A60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E1182"/>
    <w:multiLevelType w:val="multilevel"/>
    <w:tmpl w:val="B7E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9E4DBF"/>
    <w:multiLevelType w:val="multilevel"/>
    <w:tmpl w:val="AD64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6E0D63"/>
    <w:multiLevelType w:val="multilevel"/>
    <w:tmpl w:val="7FDE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8"/>
  </w:num>
  <w:num w:numId="5">
    <w:abstractNumId w:val="9"/>
  </w:num>
  <w:num w:numId="6">
    <w:abstractNumId w:val="2"/>
  </w:num>
  <w:num w:numId="7">
    <w:abstractNumId w:val="1"/>
  </w:num>
  <w:num w:numId="8">
    <w:abstractNumId w:val="19"/>
  </w:num>
  <w:num w:numId="9">
    <w:abstractNumId w:val="17"/>
  </w:num>
  <w:num w:numId="10">
    <w:abstractNumId w:val="7"/>
  </w:num>
  <w:num w:numId="11">
    <w:abstractNumId w:val="12"/>
  </w:num>
  <w:num w:numId="12">
    <w:abstractNumId w:val="3"/>
  </w:num>
  <w:num w:numId="13">
    <w:abstractNumId w:val="15"/>
  </w:num>
  <w:num w:numId="14">
    <w:abstractNumId w:val="10"/>
  </w:num>
  <w:num w:numId="15">
    <w:abstractNumId w:val="14"/>
  </w:num>
  <w:num w:numId="16">
    <w:abstractNumId w:val="8"/>
  </w:num>
  <w:num w:numId="17">
    <w:abstractNumId w:val="20"/>
  </w:num>
  <w:num w:numId="18">
    <w:abstractNumId w:val="11"/>
  </w:num>
  <w:num w:numId="19">
    <w:abstractNumId w:val="5"/>
  </w:num>
  <w:num w:numId="20">
    <w:abstractNumId w:val="1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55266"/>
    <w:rsid w:val="006F397D"/>
    <w:rsid w:val="00A12C99"/>
    <w:rsid w:val="00A55266"/>
    <w:rsid w:val="00D4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FDE4"/>
  <w15:chartTrackingRefBased/>
  <w15:docId w15:val="{A14A41A4-00CE-4FC2-A719-7DDA7F98A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552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55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52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552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55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552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751</Words>
  <Characters>4281</Characters>
  <Application>Microsoft Office Word</Application>
  <DocSecurity>0</DocSecurity>
  <Lines>35</Lines>
  <Paragraphs>10</Paragraphs>
  <ScaleCrop>false</ScaleCrop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Komma Sathwik</dc:creator>
  <cp:keywords/>
  <dc:description/>
  <cp:lastModifiedBy>Komma Sathwik</cp:lastModifiedBy>
  <cp:revision>1</cp:revision>
  <dcterms:created xsi:type="dcterms:W3CDTF">2026-01-24T17:15:00Z</dcterms:created>
  <dcterms:modified xsi:type="dcterms:W3CDTF">2026-01-24T17:18:00Z</dcterms:modified>
</cp:coreProperties>
</file>