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
        <w:jc w:val="center"/>
      </w:pPr>
      <w:r>
        <w:rPr>
          <w:rFonts w:ascii="Times New Roman" w:cs="Times New Roman" w:eastAsia="Times New Roman" w:hAnsi="Times New Roman"/>
          <w:b/>
          <w:bCs/>
          <w:i w:val="false"/>
          <w:iCs w:val="false"/>
          <w:sz w:val="30"/>
          <w:szCs w:val="30"/>
        </w:rPr>
        <w:t xml:space="preserve">AMRITA VISHWA VIDYAPEETHAM</w:t>
      </w:r>
    </w:p>
    <w:p>
      <w:pPr>
        <w:spacing w:after="620"/>
        <w:jc w:val="center"/>
      </w:pPr>
      <w:r>
        <w:rPr>
          <w:rFonts w:ascii="Times New Roman" w:cs="Times New Roman" w:eastAsia="Times New Roman" w:hAnsi="Times New Roman"/>
          <w:b/>
          <w:bCs/>
          <w:i w:val="false"/>
          <w:iCs w:val="false"/>
          <w:sz w:val="24"/>
          <w:szCs w:val="24"/>
        </w:rPr>
        <w:t xml:space="preserve">School of Computing</w:t>
      </w:r>
    </w:p>
    <w:p>
      <w:pPr>
        <w:spacing w:after="90"/>
        <w:jc w:val="center"/>
      </w:pPr>
      <w:r>
        <w:rPr>
          <w:rFonts w:ascii="Times New Roman" w:cs="Times New Roman" w:eastAsia="Times New Roman" w:hAnsi="Times New Roman"/>
          <w:b/>
          <w:bCs/>
          <w:i w:val="false"/>
          <w:iCs w:val="false"/>
          <w:sz w:val="42"/>
          <w:szCs w:val="42"/>
        </w:rPr>
        <w:t xml:space="preserve">Flight Delay and Route Optimization</w:t>
      </w:r>
    </w:p>
    <w:p>
      <w:pPr>
        <w:spacing w:after="120"/>
        <w:jc w:val="center"/>
      </w:pPr>
      <w:r>
        <w:rPr>
          <w:rFonts w:ascii="Times New Roman" w:cs="Times New Roman" w:eastAsia="Times New Roman" w:hAnsi="Times New Roman"/>
          <w:b w:val="false"/>
          <w:bCs w:val="false"/>
          <w:i w:val="false"/>
          <w:iCs w:val="false"/>
          <w:sz w:val="26"/>
          <w:szCs w:val="26"/>
        </w:rPr>
        <w:t xml:space="preserve">Project Review 3 — Apache Spark, Scala RDD and PySpark ML</w:t>
      </w:r>
    </w:p>
    <w:p>
      <w:pPr>
        <w:spacing w:after="700"/>
        <w:jc w:val="center"/>
      </w:pPr>
      <w:r>
        <w:rPr>
          <w:rFonts w:ascii="Times New Roman" w:cs="Times New Roman" w:eastAsia="Times New Roman" w:hAnsi="Times New Roman"/>
          <w:b/>
          <w:bCs/>
          <w:i w:val="false"/>
          <w:iCs w:val="false"/>
          <w:sz w:val="26"/>
          <w:szCs w:val="26"/>
        </w:rPr>
        <w:t xml:space="preserve">Four-Member Implementation Plan</w:t>
      </w:r>
    </w:p>
    <w:p>
      <w:pPr>
        <w:spacing w:after="500"/>
        <w:jc w:val="center"/>
      </w:pPr>
      <w:r>
        <w:rPr>
          <w:rFonts w:ascii="Times New Roman" w:cs="Times New Roman" w:eastAsia="Times New Roman" w:hAnsi="Times New Roman"/>
          <w:b w:val="false"/>
          <w:bCs w:val="false"/>
          <w:i w:val="false"/>
          <w:iCs w:val="false"/>
          <w:sz w:val="22"/>
          <w:szCs w:val="22"/>
        </w:rPr>
        <w:t xml:space="preserve">Course:   23CSE352 — Big Data Analytics</w:t>
      </w:r>
    </w:p>
    <w:p>
      <w:pPr>
        <w:spacing w:after="200"/>
        <w:jc w:val="center"/>
      </w:pPr>
      <w:r>
        <w:rPr>
          <w:rFonts w:ascii="Times New Roman" w:cs="Times New Roman" w:eastAsia="Times New Roman" w:hAnsi="Times New Roman"/>
          <w:b/>
          <w:bCs/>
          <w:i w:val="false"/>
          <w:iCs w:val="false"/>
          <w:sz w:val="24"/>
          <w:szCs w:val="24"/>
        </w:rPr>
        <w:t xml:space="preserve">Team Members</w:t>
      </w:r>
    </w:p>
    <w:tbl>
      <w:tblPr>
        <w:tblW w:type="dxa" w:w="6000"/>
        <w:jc w:val="center"/>
        <w:tblBorders>
          <w:top w:val="none" w:color="FFFFFF" w:sz="0"/>
          <w:left w:val="none" w:color="FFFFFF" w:sz="0"/>
          <w:bottom w:val="none" w:color="FFFFFF" w:sz="0"/>
          <w:right w:val="none" w:color="FFFFFF" w:sz="0"/>
          <w:insideH w:val="none" w:color="FFFFFF" w:sz="0"/>
          <w:insideV w:val="none" w:color="FFFFFF" w:sz="0"/>
        </w:tblBorders>
      </w:tblPr>
      <w:tblGrid>
        <w:gridCol w:w="3000"/>
        <w:gridCol w:w="3000"/>
      </w:tblGrid>
      <w:tr>
        <w:tc>
          <w:tcPr>
            <w:tcW w:type="dxa" w:w="3000"/>
            <w:tcBorders>
              <w:top w:val="none" w:color="FFFFFF" w:sz="0"/>
              <w:left w:val="none" w:color="FFFFFF" w:sz="0"/>
              <w:bottom w:val="none" w:color="FFFFFF" w:sz="0"/>
              <w:right w:val="none" w:color="FFFFFF" w:sz="0"/>
            </w:tcBorders>
            <w:tcMar>
              <w:top w:type="dxa" w:w="70"/>
              <w:left w:type="dxa" w:w="60"/>
              <w:bottom w:type="dxa" w:w="70"/>
              <w:right w:type="dxa" w:w="60"/>
            </w:tcMar>
          </w:tcPr>
          <w:p>
            <w:r>
              <w:rPr>
                <w:rFonts w:ascii="Times New Roman" w:cs="Times New Roman" w:eastAsia="Times New Roman" w:hAnsi="Times New Roman"/>
                <w:b/>
                <w:bCs/>
                <w:sz w:val="22"/>
                <w:szCs w:val="22"/>
              </w:rPr>
              <w:t xml:space="preserve">Name</w:t>
            </w:r>
          </w:p>
        </w:tc>
        <w:tc>
          <w:tcPr>
            <w:tcW w:type="dxa" w:w="3000"/>
            <w:tcBorders>
              <w:top w:val="none" w:color="FFFFFF" w:sz="0"/>
              <w:left w:val="none" w:color="FFFFFF" w:sz="0"/>
              <w:bottom w:val="none" w:color="FFFFFF" w:sz="0"/>
              <w:right w:val="none" w:color="FFFFFF" w:sz="0"/>
            </w:tcBorders>
            <w:tcMar>
              <w:top w:type="dxa" w:w="70"/>
              <w:left w:type="dxa" w:w="60"/>
              <w:bottom w:type="dxa" w:w="70"/>
              <w:right w:type="dxa" w:w="60"/>
            </w:tcMar>
          </w:tcPr>
          <w:p>
            <w:r>
              <w:rPr>
                <w:rFonts w:ascii="Times New Roman" w:cs="Times New Roman" w:eastAsia="Times New Roman" w:hAnsi="Times New Roman"/>
                <w:b/>
                <w:bCs/>
                <w:sz w:val="22"/>
                <w:szCs w:val="22"/>
              </w:rPr>
              <w:t xml:space="preserve">Roll No.</w:t>
            </w:r>
          </w:p>
        </w:tc>
      </w:tr>
      <w:tr>
        <w:tc>
          <w:tcPr>
            <w:tcW w:type="dxa" w:w="3000"/>
            <w:tcBorders>
              <w:top w:val="none" w:color="FFFFFF" w:sz="0"/>
              <w:left w:val="none" w:color="FFFFFF" w:sz="0"/>
              <w:bottom w:val="none" w:color="FFFFFF" w:sz="0"/>
              <w:right w:val="none" w:color="FFFFFF" w:sz="0"/>
            </w:tcBorders>
            <w:tcMar>
              <w:top w:type="dxa" w:w="70"/>
              <w:left w:type="dxa" w:w="60"/>
              <w:bottom w:type="dxa" w:w="70"/>
              <w:right w:type="dxa" w:w="60"/>
            </w:tcMar>
          </w:tcPr>
          <w:p>
            <w:r>
              <w:rPr>
                <w:rFonts w:ascii="Times New Roman" w:cs="Times New Roman" w:eastAsia="Times New Roman" w:hAnsi="Times New Roman"/>
                <w:b w:val="false"/>
                <w:bCs w:val="false"/>
                <w:sz w:val="22"/>
                <w:szCs w:val="22"/>
              </w:rPr>
              <w:t xml:space="preserve">Abhinav G</w:t>
            </w:r>
          </w:p>
        </w:tc>
        <w:tc>
          <w:tcPr>
            <w:tcW w:type="dxa" w:w="3000"/>
            <w:tcBorders>
              <w:top w:val="none" w:color="FFFFFF" w:sz="0"/>
              <w:left w:val="none" w:color="FFFFFF" w:sz="0"/>
              <w:bottom w:val="none" w:color="FFFFFF" w:sz="0"/>
              <w:right w:val="none" w:color="FFFFFF" w:sz="0"/>
            </w:tcBorders>
            <w:tcMar>
              <w:top w:type="dxa" w:w="70"/>
              <w:left w:type="dxa" w:w="60"/>
              <w:bottom w:type="dxa" w:w="70"/>
              <w:right w:type="dxa" w:w="60"/>
            </w:tcMar>
          </w:tcPr>
          <w:p>
            <w:r>
              <w:rPr>
                <w:rFonts w:ascii="Times New Roman" w:cs="Times New Roman" w:eastAsia="Times New Roman" w:hAnsi="Times New Roman"/>
                <w:b w:val="false"/>
                <w:bCs w:val="false"/>
                <w:sz w:val="22"/>
                <w:szCs w:val="22"/>
              </w:rPr>
              <w:t xml:space="preserve">CB.SC.U4CSE23201</w:t>
            </w:r>
          </w:p>
        </w:tc>
      </w:tr>
      <w:tr>
        <w:tc>
          <w:tcPr>
            <w:tcW w:type="dxa" w:w="3000"/>
            <w:tcBorders>
              <w:top w:val="none" w:color="FFFFFF" w:sz="0"/>
              <w:left w:val="none" w:color="FFFFFF" w:sz="0"/>
              <w:bottom w:val="none" w:color="FFFFFF" w:sz="0"/>
              <w:right w:val="none" w:color="FFFFFF" w:sz="0"/>
            </w:tcBorders>
            <w:tcMar>
              <w:top w:type="dxa" w:w="70"/>
              <w:left w:type="dxa" w:w="60"/>
              <w:bottom w:type="dxa" w:w="70"/>
              <w:right w:type="dxa" w:w="60"/>
            </w:tcMar>
          </w:tcPr>
          <w:p>
            <w:r>
              <w:rPr>
                <w:rFonts w:ascii="Times New Roman" w:cs="Times New Roman" w:eastAsia="Times New Roman" w:hAnsi="Times New Roman"/>
                <w:b w:val="false"/>
                <w:bCs w:val="false"/>
                <w:sz w:val="22"/>
                <w:szCs w:val="22"/>
              </w:rPr>
              <w:t xml:space="preserve">Darun R G</w:t>
            </w:r>
          </w:p>
        </w:tc>
        <w:tc>
          <w:tcPr>
            <w:tcW w:type="dxa" w:w="3000"/>
            <w:tcBorders>
              <w:top w:val="none" w:color="FFFFFF" w:sz="0"/>
              <w:left w:val="none" w:color="FFFFFF" w:sz="0"/>
              <w:bottom w:val="none" w:color="FFFFFF" w:sz="0"/>
              <w:right w:val="none" w:color="FFFFFF" w:sz="0"/>
            </w:tcBorders>
            <w:tcMar>
              <w:top w:type="dxa" w:w="70"/>
              <w:left w:type="dxa" w:w="60"/>
              <w:bottom w:type="dxa" w:w="70"/>
              <w:right w:type="dxa" w:w="60"/>
            </w:tcMar>
          </w:tcPr>
          <w:p>
            <w:r>
              <w:rPr>
                <w:rFonts w:ascii="Times New Roman" w:cs="Times New Roman" w:eastAsia="Times New Roman" w:hAnsi="Times New Roman"/>
                <w:b w:val="false"/>
                <w:bCs w:val="false"/>
                <w:sz w:val="22"/>
                <w:szCs w:val="22"/>
              </w:rPr>
              <w:t xml:space="preserve">CB.SC.U4CSE23215</w:t>
            </w:r>
          </w:p>
        </w:tc>
      </w:tr>
      <w:tr>
        <w:tc>
          <w:tcPr>
            <w:tcW w:type="dxa" w:w="3000"/>
            <w:tcBorders>
              <w:top w:val="none" w:color="FFFFFF" w:sz="0"/>
              <w:left w:val="none" w:color="FFFFFF" w:sz="0"/>
              <w:bottom w:val="none" w:color="FFFFFF" w:sz="0"/>
              <w:right w:val="none" w:color="FFFFFF" w:sz="0"/>
            </w:tcBorders>
            <w:tcMar>
              <w:top w:type="dxa" w:w="70"/>
              <w:left w:type="dxa" w:w="60"/>
              <w:bottom w:type="dxa" w:w="70"/>
              <w:right w:type="dxa" w:w="60"/>
            </w:tcMar>
          </w:tcPr>
          <w:p>
            <w:r>
              <w:rPr>
                <w:rFonts w:ascii="Times New Roman" w:cs="Times New Roman" w:eastAsia="Times New Roman" w:hAnsi="Times New Roman"/>
                <w:b w:val="false"/>
                <w:bCs w:val="false"/>
                <w:sz w:val="22"/>
                <w:szCs w:val="22"/>
              </w:rPr>
              <w:t xml:space="preserve">Karthik Vishal S</w:t>
            </w:r>
          </w:p>
        </w:tc>
        <w:tc>
          <w:tcPr>
            <w:tcW w:type="dxa" w:w="3000"/>
            <w:tcBorders>
              <w:top w:val="none" w:color="FFFFFF" w:sz="0"/>
              <w:left w:val="none" w:color="FFFFFF" w:sz="0"/>
              <w:bottom w:val="none" w:color="FFFFFF" w:sz="0"/>
              <w:right w:val="none" w:color="FFFFFF" w:sz="0"/>
            </w:tcBorders>
            <w:tcMar>
              <w:top w:type="dxa" w:w="70"/>
              <w:left w:type="dxa" w:w="60"/>
              <w:bottom w:type="dxa" w:w="70"/>
              <w:right w:type="dxa" w:w="60"/>
            </w:tcMar>
          </w:tcPr>
          <w:p>
            <w:r>
              <w:rPr>
                <w:rFonts w:ascii="Times New Roman" w:cs="Times New Roman" w:eastAsia="Times New Roman" w:hAnsi="Times New Roman"/>
                <w:b w:val="false"/>
                <w:bCs w:val="false"/>
                <w:sz w:val="22"/>
                <w:szCs w:val="22"/>
              </w:rPr>
              <w:t xml:space="preserve">CB.SC.U4CSE23239</w:t>
            </w:r>
          </w:p>
        </w:tc>
      </w:tr>
      <w:tr>
        <w:tc>
          <w:tcPr>
            <w:tcW w:type="dxa" w:w="3000"/>
            <w:tcBorders>
              <w:top w:val="none" w:color="FFFFFF" w:sz="0"/>
              <w:left w:val="none" w:color="FFFFFF" w:sz="0"/>
              <w:bottom w:val="none" w:color="FFFFFF" w:sz="0"/>
              <w:right w:val="none" w:color="FFFFFF" w:sz="0"/>
            </w:tcBorders>
            <w:tcMar>
              <w:top w:type="dxa" w:w="70"/>
              <w:left w:type="dxa" w:w="60"/>
              <w:bottom w:type="dxa" w:w="70"/>
              <w:right w:type="dxa" w:w="60"/>
            </w:tcMar>
          </w:tcPr>
          <w:p>
            <w:r>
              <w:rPr>
                <w:rFonts w:ascii="Times New Roman" w:cs="Times New Roman" w:eastAsia="Times New Roman" w:hAnsi="Times New Roman"/>
                <w:b w:val="false"/>
                <w:bCs w:val="false"/>
                <w:sz w:val="22"/>
                <w:szCs w:val="22"/>
              </w:rPr>
              <w:t xml:space="preserve">Sathya Roopan M</w:t>
            </w:r>
          </w:p>
        </w:tc>
        <w:tc>
          <w:tcPr>
            <w:tcW w:type="dxa" w:w="3000"/>
            <w:tcBorders>
              <w:top w:val="none" w:color="FFFFFF" w:sz="0"/>
              <w:left w:val="none" w:color="FFFFFF" w:sz="0"/>
              <w:bottom w:val="none" w:color="FFFFFF" w:sz="0"/>
              <w:right w:val="none" w:color="FFFFFF" w:sz="0"/>
            </w:tcBorders>
            <w:tcMar>
              <w:top w:type="dxa" w:w="70"/>
              <w:left w:type="dxa" w:w="60"/>
              <w:bottom w:type="dxa" w:w="70"/>
              <w:right w:type="dxa" w:w="60"/>
            </w:tcMar>
          </w:tcPr>
          <w:p>
            <w:r>
              <w:rPr>
                <w:rFonts w:ascii="Times New Roman" w:cs="Times New Roman" w:eastAsia="Times New Roman" w:hAnsi="Times New Roman"/>
                <w:b w:val="false"/>
                <w:bCs w:val="false"/>
                <w:sz w:val="22"/>
                <w:szCs w:val="22"/>
              </w:rPr>
              <w:t xml:space="preserve">CB.SC.U4CSE23256</w:t>
            </w:r>
          </w:p>
        </w:tc>
      </w:tr>
    </w:tbl>
    <w:p>
      <w:pPr>
        <w:pageBreakBefore/>
      </w:pPr>
    </w:p>
    <w:p>
      <w:pPr>
        <w:spacing w:after="360" w:before="500"/>
      </w:pPr>
      <w:r>
        <w:rPr>
          <w:rFonts w:ascii="Times New Roman" w:cs="Times New Roman" w:eastAsia="Times New Roman" w:hAnsi="Times New Roman"/>
          <w:b/>
          <w:bCs/>
          <w:sz w:val="34"/>
          <w:szCs w:val="34"/>
        </w:rPr>
        <w:t xml:space="preserve">1.  Scope Decision and What Changed</w:t>
      </w:r>
    </w:p>
    <w:p>
      <w:pPr>
        <w:pStyle w:val="Heading2"/>
        <w:spacing w:after="150" w:before="320"/>
      </w:pPr>
      <w:r>
        <w:t xml:space="preserve">1.1  The conflict in the source material</w:t>
      </w:r>
    </w:p>
    <w:p>
      <w:pPr>
        <w:spacing w:after="140" w:line="300"/>
        <w:jc w:val="both"/>
      </w:pPr>
      <w:r>
        <w:rPr>
          <w:rFonts w:ascii="Times New Roman" w:cs="Times New Roman" w:eastAsia="Times New Roman" w:hAnsi="Times New Roman"/>
          <w:sz w:val="22"/>
          <w:szCs w:val="22"/>
        </w:rPr>
        <w:t xml:space="preserve">Two incompatible project definitions were circulating before this plan was written. The master prompt describes CommercePulse, an e-commerce clickstream system built on the REES46 October 2019 Kaggle dataset, with 42 million events, HBase clickstream tables and an early-session purchase propensity model. The implementation guide attached with it is attributed to a different team.</w:t>
      </w:r>
    </w:p>
    <w:p>
      <w:pPr>
        <w:spacing w:after="140" w:line="300"/>
        <w:jc w:val="both"/>
      </w:pPr>
      <w:r>
        <w:rPr>
          <w:rFonts w:ascii="Times New Roman" w:cs="Times New Roman" w:eastAsia="Times New Roman" w:hAnsi="Times New Roman"/>
          <w:sz w:val="22"/>
          <w:szCs w:val="22"/>
        </w:rPr>
        <w:t xml:space="preserve">Our Review 1 and Review 2 reports, however, are both Flight Delay and Route Optimization, built on the U.S. Bureau of Transportation Statistics on-time performance data. Review 1 delivered Hadoop, HDFS, MapReduce and fourteen Hive queries. Review 2 delivered an HBase implementation with a compound row key, three column families, fifteen filter queries and Java client programs.</w:t>
      </w:r>
    </w:p>
    <w:p>
      <w:pPr>
        <w:pBdr>
          <w:top w:val="single" w:color="E3A49B" w:sz="4"/>
          <w:bottom w:val="single" w:color="E3A49B" w:sz="4"/>
          <w:left w:val="single" w:color="E3A49B" w:sz="4"/>
          <w:right w:val="single" w:color="E3A49B" w:sz="4"/>
        </w:pBdr>
        <w:shd w:fill="FDECEA" w:val="clear"/>
        <w:spacing w:after="170" w:before="90" w:line="280"/>
        <w:ind w:left="170" w:right="170"/>
        <w:jc w:val="both"/>
      </w:pPr>
      <w:r>
        <w:rPr>
          <w:rFonts w:ascii="Times New Roman" w:cs="Times New Roman" w:eastAsia="Times New Roman" w:hAnsi="Times New Roman"/>
          <w:b/>
          <w:bCs/>
          <w:i/>
          <w:iCs/>
          <w:sz w:val="21"/>
          <w:szCs w:val="21"/>
        </w:rPr>
        <w:t xml:space="preserve">Important: </w:t>
      </w:r>
      <w:r>
        <w:rPr>
          <w:rFonts w:ascii="Times New Roman" w:cs="Times New Roman" w:eastAsia="Times New Roman" w:hAnsi="Times New Roman"/>
          <w:i/>
          <w:iCs/>
          <w:sz w:val="21"/>
          <w:szCs w:val="21"/>
        </w:rPr>
        <w:t xml:space="preserve">Review 3 continues the flight dataset. The CommercePulse material belongs to another team and is used here only as a structural reference for rigour, never as the project definition. Nothing in this plan requires downloading the REES46 dataset.</w:t>
      </w:r>
    </w:p>
    <w:p>
      <w:pPr>
        <w:pStyle w:val="Heading2"/>
        <w:spacing w:after="150" w:before="320"/>
      </w:pPr>
      <w:r>
        <w:t xml:space="preserve">1.2  Why continuing with flight data is the stronger choice</w:t>
      </w:r>
    </w:p>
    <w:p>
      <w:pPr>
        <w:pStyle w:val="ListParagraph"/>
        <w:numPr>
          <w:ilvl w:val="0"/>
          <w:numId w:val="1"/>
        </w:numPr>
        <w:spacing w:after="90" w:line="290"/>
      </w:pPr>
      <w:r>
        <w:rPr>
          <w:rFonts w:ascii="Times New Roman" w:cs="Times New Roman" w:eastAsia="Times New Roman" w:hAnsi="Times New Roman"/>
          <w:sz w:val="22"/>
          <w:szCs w:val="22"/>
        </w:rPr>
        <w:t xml:space="preserve">Continuity. Reviews 1, 2 and 3 become one coherent progression — batch analytics in Hive, operational retrieval in HBase, and now distributed in-memory processing and machine learning in Spark. The examiner has already seen the dataset twice and will not need the problem re-explained.</w:t>
      </w:r>
    </w:p>
    <w:p>
      <w:pPr>
        <w:pStyle w:val="ListParagraph"/>
        <w:numPr>
          <w:ilvl w:val="0"/>
          <w:numId w:val="1"/>
        </w:numPr>
        <w:spacing w:after="90" w:line="290"/>
      </w:pPr>
      <w:r>
        <w:rPr>
          <w:rFonts w:ascii="Times New Roman" w:cs="Times New Roman" w:eastAsia="Times New Roman" w:hAnsi="Times New Roman"/>
          <w:sz w:val="22"/>
          <w:szCs w:val="22"/>
        </w:rPr>
        <w:t xml:space="preserve">Preprocessing is already done. The cleaned file from Review 1 has 7,001,620 records across 38 attributes at roughly 1.5 GB. That is a third of the size of the e-commerce alternative and runs comfortably in Spark local mode on a 16 GB laptop.</w:t>
      </w:r>
    </w:p>
    <w:p>
      <w:pPr>
        <w:pStyle w:val="ListParagraph"/>
        <w:numPr>
          <w:ilvl w:val="0"/>
          <w:numId w:val="1"/>
        </w:numPr>
        <w:spacing w:after="90" w:line="290"/>
      </w:pPr>
      <w:r>
        <w:rPr>
          <w:rFonts w:ascii="Times New Roman" w:cs="Times New Roman" w:eastAsia="Times New Roman" w:hAnsi="Times New Roman"/>
          <w:sz w:val="22"/>
          <w:szCs w:val="22"/>
        </w:rPr>
        <w:t xml:space="preserve">The machine learning target is natural and well posed. Predicting whether a flight will arrive more than fifteen minutes late is a genuine binary classification problem with real operational value, and the dataset already contains a derived DELAY_CATEGORY from Review 1 preprocessing.</w:t>
      </w:r>
    </w:p>
    <w:p>
      <w:pPr>
        <w:pStyle w:val="ListParagraph"/>
        <w:numPr>
          <w:ilvl w:val="0"/>
          <w:numId w:val="1"/>
        </w:numPr>
        <w:spacing w:after="90" w:line="290"/>
      </w:pPr>
      <w:r>
        <w:rPr>
          <w:rFonts w:ascii="Times New Roman" w:cs="Times New Roman" w:eastAsia="Times New Roman" w:hAnsi="Times New Roman"/>
          <w:sz w:val="22"/>
          <w:szCs w:val="22"/>
        </w:rPr>
        <w:t xml:space="preserve">Zero acquisition risk. No Kaggle authentication, no 5.7 GB download on four separate laptops three weeks before the review.</w:t>
      </w:r>
    </w:p>
    <w:p>
      <w:pPr>
        <w:pStyle w:val="Heading2"/>
        <w:spacing w:after="150" w:before="320"/>
      </w:pPr>
      <w:r>
        <w:t xml:space="preserve">1.3  What we inherit and what is new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300"/>
      </w:tblGrid>
      <w:tr>
        <w:trPr>
          <w:tblHeader/>
        </w:trPr>
        <w:tc>
          <w:tcPr>
            <w:tcW w:type="dxa" w:w="2600"/>
            <w:shd w:fill="E7E9EC"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Review</w:t>
            </w:r>
          </w:p>
        </w:tc>
        <w:tc>
          <w:tcPr>
            <w:tcW w:type="dxa" w:w="3100"/>
            <w:shd w:fill="E7E9EC"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Technology</w:t>
            </w:r>
          </w:p>
        </w:tc>
        <w:tc>
          <w:tcPr>
            <w:tcW w:type="dxa" w:w="3300"/>
            <w:shd w:fill="E7E9EC"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What Review 3 reuses</w:t>
            </w:r>
          </w:p>
        </w:tc>
      </w:tr>
      <w:tr>
        <w:trPr>
          <w:tblHeader w:val="false"/>
        </w:trPr>
        <w:tc>
          <w:tcPr>
            <w:tcW w:type="dxa" w:w="26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Review 1</w:t>
            </w:r>
          </w:p>
        </w:tc>
        <w:tc>
          <w:tcPr>
            <w:tcW w:type="dxa" w:w="31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Hadoop, HDFS, MapReduce, Hive</w:t>
            </w:r>
          </w:p>
        </w:tc>
        <w:tc>
          <w:tcPr>
            <w:tcW w:type="dxa" w:w="33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The cleaned CSV and the derived attributes: ROUTE, MONTH, DAY_OF_WEEK, DEP_TIME_CATEGORY, DELAY_CATEGORY, DISTANCE_CATEGORY</w:t>
            </w:r>
          </w:p>
        </w:tc>
      </w:tr>
      <w:tr>
        <w:trPr>
          <w:tblHeader w:val="false"/>
        </w:trPr>
        <w:tc>
          <w:tcPr>
            <w:tcW w:type="dxa" w:w="26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Review 2</w:t>
            </w:r>
          </w:p>
        </w:tc>
        <w:tc>
          <w:tcPr>
            <w:tcW w:type="dxa" w:w="31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HBase, Java client API</w:t>
            </w:r>
          </w:p>
        </w:tc>
        <w:tc>
          <w:tcPr>
            <w:tcW w:type="dxa" w:w="33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The problem framing, the dataset description and the schema rationale. HBase itself is optional in Review 3.</w:t>
            </w:r>
          </w:p>
        </w:tc>
      </w:tr>
      <w:tr>
        <w:trPr>
          <w:tblHeader w:val="false"/>
        </w:trPr>
        <w:tc>
          <w:tcPr>
            <w:tcW w:type="dxa" w:w="26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Review 3</w:t>
            </w:r>
          </w:p>
        </w:tc>
        <w:tc>
          <w:tcPr>
            <w:tcW w:type="dxa" w:w="31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Apache Spark, Scala RDD, PySpark MLlib</w:t>
            </w:r>
          </w:p>
        </w:tc>
        <w:tc>
          <w:tcPr>
            <w:tcW w:type="dxa" w:w="33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New work: RDD processing, Parquet conversion, EDA, ML model, visualisations</w:t>
            </w:r>
          </w:p>
        </w:tc>
      </w:tr>
    </w:tbl>
    <w:p>
      <w:pPr>
        <w:spacing w:after="230" w:before="110"/>
        <w:jc w:val="center"/>
      </w:pPr>
      <w:r>
        <w:rPr>
          <w:rFonts w:ascii="Times New Roman" w:cs="Times New Roman" w:eastAsia="Times New Roman" w:hAnsi="Times New Roman"/>
          <w:i/>
          <w:iCs/>
          <w:sz w:val="19"/>
          <w:szCs w:val="19"/>
        </w:rPr>
        <w:t xml:space="preserve">Continuity across the three reviews</w:t>
      </w:r>
    </w:p>
    <w:p>
      <w:pPr>
        <w:pBdr>
          <w:top w:val="single" w:color="E2CF86" w:sz="4"/>
          <w:bottom w:val="single" w:color="E2CF86" w:sz="4"/>
          <w:left w:val="single" w:color="E2CF86" w:sz="4"/>
          <w:right w:val="single" w:color="E2CF86" w:sz="4"/>
        </w:pBdr>
        <w:shd w:fill="FFF8E1" w:val="clear"/>
        <w:spacing w:after="170" w:before="90" w:line="280"/>
        <w:ind w:left="170" w:right="170"/>
        <w:jc w:val="both"/>
      </w:pPr>
      <w:r>
        <w:rPr>
          <w:rFonts w:ascii="Times New Roman" w:cs="Times New Roman" w:eastAsia="Times New Roman" w:hAnsi="Times New Roman"/>
          <w:b/>
          <w:bCs/>
          <w:i/>
          <w:iCs/>
          <w:sz w:val="21"/>
          <w:szCs w:val="21"/>
        </w:rPr>
        <w:t xml:space="preserve">Note: </w:t>
      </w:r>
      <w:r>
        <w:rPr>
          <w:rFonts w:ascii="Times New Roman" w:cs="Times New Roman" w:eastAsia="Times New Roman" w:hAnsi="Times New Roman"/>
          <w:i/>
          <w:iCs/>
          <w:sz w:val="21"/>
          <w:szCs w:val="21"/>
        </w:rPr>
        <w:t xml:space="preserve">HBase is explicitly optional for Review 3. Do not spend time rebuilding the HBase cluster on four laptops. If time allows at the end, reviving it and reading one table from Spark is a bonus, not a requirement.</w:t>
      </w:r>
    </w:p>
    <w:p>
      <w:pPr>
        <w:pageBreakBefore/>
      </w:pPr>
    </w:p>
    <w:p>
      <w:pPr>
        <w:spacing w:after="360" w:before="500"/>
      </w:pPr>
      <w:r>
        <w:rPr>
          <w:rFonts w:ascii="Times New Roman" w:cs="Times New Roman" w:eastAsia="Times New Roman" w:hAnsi="Times New Roman"/>
          <w:b/>
          <w:bCs/>
          <w:sz w:val="34"/>
          <w:szCs w:val="34"/>
        </w:rPr>
        <w:t xml:space="preserve">2.  Architecture and Technology Stack</w:t>
      </w:r>
    </w:p>
    <w:p>
      <w:pPr>
        <w:pStyle w:val="Heading2"/>
        <w:spacing w:after="150" w:before="320"/>
      </w:pPr>
      <w:r>
        <w:t xml:space="preserve">2.1  Data flow</w:t>
      </w:r>
    </w:p>
    <w:p>
      <w:pPr>
        <w:pBdr>
          <w:top w:val="single" w:color="B8B8B8" w:sz="4"/>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flight_data_cleaned_1year.csv        1.51 GB · 7,001,620 rows · 38 columns</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  [ Scala + Spark ]  ingest, validate, convert</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v</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data/processed/flights.parquet        columnar, partitioned by MONTH</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                                       |</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 Scala RDD module ]                  [ PySpark ]</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10 marks: transformations,            EDA aggregations</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actions, key-value ops,                      |</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partitions, lineage, DAG,             feature engineering</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fault tolerance, cache                       |</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                                 train / test split (temporal)</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v                                        |</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outputs/scala/*.json                  MLlib pipeline: LR + RF</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route delay stats                            |</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carrier stats                         evaluation metrics</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cause breakdown                              |</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                                        v</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                                 outputs/ml/metrics.json</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                                 models/</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 matplotlib ]</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outputs/plots/*.png</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 FastAPI + static frontend ]   (optional enhancement)</w:t>
      </w:r>
    </w:p>
    <w:p>
      <w:pPr>
        <w:pBdr>
          <w:top w:val="none" w:color="FFFFFF" w:sz="0"/>
          <w:bottom w:val="single" w:color="B8B8B8" w:sz="4"/>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http://localhost:8000</w:t>
      </w:r>
    </w:p>
    <w:p>
      <w:pPr>
        <w:spacing w:after="150"/>
      </w:pPr>
    </w:p>
    <w:p>
      <w:pPr>
        <w:pStyle w:val="Heading2"/>
        <w:spacing w:after="150" w:before="320"/>
      </w:pPr>
      <w:r>
        <w:t xml:space="preserve">2.2  Pinned versions</w:t>
      </w:r>
    </w:p>
    <w:p>
      <w:pPr>
        <w:spacing w:after="140" w:line="300"/>
        <w:jc w:val="both"/>
      </w:pPr>
      <w:r>
        <w:rPr>
          <w:rFonts w:ascii="Times New Roman" w:cs="Times New Roman" w:eastAsia="Times New Roman" w:hAnsi="Times New Roman"/>
          <w:sz w:val="22"/>
          <w:szCs w:val="22"/>
        </w:rPr>
        <w:t xml:space="preserve">Every member installs exactly these versions. Version drift between laptops is the most common cause of a demonstration failing on one machine and working on another, and pinning removes it entirely.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4700"/>
      </w:tblGrid>
      <w:tr>
        <w:trPr>
          <w:tblHeader/>
        </w:trPr>
        <w:tc>
          <w:tcPr>
            <w:tcW w:type="dxa" w:w="2300"/>
            <w:shd w:fill="E7E9EC"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Component</w:t>
            </w:r>
          </w:p>
        </w:tc>
        <w:tc>
          <w:tcPr>
            <w:tcW w:type="dxa" w:w="2000"/>
            <w:shd w:fill="E7E9EC"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Version</w:t>
            </w:r>
          </w:p>
        </w:tc>
        <w:tc>
          <w:tcPr>
            <w:tcW w:type="dxa" w:w="4700"/>
            <w:shd w:fill="E7E9EC"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Reason</w:t>
            </w:r>
          </w:p>
        </w:tc>
      </w:tr>
      <w:tr>
        <w:trPr>
          <w:tblHeader w:val="false"/>
        </w:trPr>
        <w:tc>
          <w:tcPr>
            <w:tcW w:type="dxa" w:w="23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Apache Spark</w:t>
            </w:r>
          </w:p>
        </w:tc>
        <w:tc>
          <w:tcPr>
            <w:tcW w:type="dxa" w:w="20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3.5.x</w:t>
            </w:r>
          </w:p>
        </w:tc>
        <w:tc>
          <w:tcPr>
            <w:tcW w:type="dxa" w:w="47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Mature, well documented, works with Java 11 and Scala 2.12. Spark 4.x requires Java 17 and Scala 2.13 and brings no benefit here.</w:t>
            </w:r>
          </w:p>
        </w:tc>
      </w:tr>
      <w:tr>
        <w:trPr>
          <w:tblHeader w:val="false"/>
        </w:trPr>
        <w:tc>
          <w:tcPr>
            <w:tcW w:type="dxa" w:w="23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Scala</w:t>
            </w:r>
          </w:p>
        </w:tc>
        <w:tc>
          <w:tcPr>
            <w:tcW w:type="dxa" w:w="20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2.12.x</w:t>
            </w:r>
          </w:p>
        </w:tc>
        <w:tc>
          <w:tcPr>
            <w:tcW w:type="dxa" w:w="47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The version Spark 3.5 is built against by default. Mixing Scala 2.13 artifacts with a 2.12 Spark build is a classic and confusing failure.</w:t>
            </w:r>
          </w:p>
        </w:tc>
      </w:tr>
      <w:tr>
        <w:trPr>
          <w:tblHeader w:val="false"/>
        </w:trPr>
        <w:tc>
          <w:tcPr>
            <w:tcW w:type="dxa" w:w="23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Java (JDK)</w:t>
            </w:r>
          </w:p>
        </w:tc>
        <w:tc>
          <w:tcPr>
            <w:tcW w:type="dxa" w:w="20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11</w:t>
            </w:r>
          </w:p>
        </w:tc>
        <w:tc>
          <w:tcPr>
            <w:tcW w:type="dxa" w:w="47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Supported by Spark 3.5 and already the JDK used in our Review 2 HBase work.</w:t>
            </w:r>
          </w:p>
        </w:tc>
      </w:tr>
      <w:tr>
        <w:trPr>
          <w:tblHeader w:val="false"/>
        </w:trPr>
        <w:tc>
          <w:tcPr>
            <w:tcW w:type="dxa" w:w="23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Python</w:t>
            </w:r>
          </w:p>
        </w:tc>
        <w:tc>
          <w:tcPr>
            <w:tcW w:type="dxa" w:w="20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3.10 or 3.11</w:t>
            </w:r>
          </w:p>
        </w:tc>
        <w:tc>
          <w:tcPr>
            <w:tcW w:type="dxa" w:w="47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Supported by PySpark 3.5. Avoid 3.12 or newer until confirmed against the chosen Spark patch release.</w:t>
            </w:r>
          </w:p>
        </w:tc>
      </w:tr>
      <w:tr>
        <w:trPr>
          <w:tblHeader w:val="false"/>
        </w:trPr>
        <w:tc>
          <w:tcPr>
            <w:tcW w:type="dxa" w:w="23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PySpark</w:t>
            </w:r>
          </w:p>
        </w:tc>
        <w:tc>
          <w:tcPr>
            <w:tcW w:type="dxa" w:w="20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Match Spark exactly</w:t>
            </w:r>
          </w:p>
        </w:tc>
        <w:tc>
          <w:tcPr>
            <w:tcW w:type="dxa" w:w="47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A PySpark minor version different from the cluster Spark version causes obscure serialisation errors.</w:t>
            </w:r>
          </w:p>
        </w:tc>
      </w:tr>
      <w:tr>
        <w:trPr>
          <w:tblHeader w:val="false"/>
        </w:trPr>
        <w:tc>
          <w:tcPr>
            <w:tcW w:type="dxa" w:w="23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sbt</w:t>
            </w:r>
          </w:p>
        </w:tc>
        <w:tc>
          <w:tcPr>
            <w:tcW w:type="dxa" w:w="20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1.9.x or newer</w:t>
            </w:r>
          </w:p>
        </w:tc>
        <w:tc>
          <w:tcPr>
            <w:tcW w:type="dxa" w:w="47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Builds the Scala application into a JAR for spark-submit.</w:t>
            </w:r>
          </w:p>
        </w:tc>
      </w:tr>
      <w:tr>
        <w:trPr>
          <w:tblHeader w:val="false"/>
        </w:trPr>
        <w:tc>
          <w:tcPr>
            <w:tcW w:type="dxa" w:w="23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Build tooling</w:t>
            </w:r>
          </w:p>
        </w:tc>
        <w:tc>
          <w:tcPr>
            <w:tcW w:type="dxa" w:w="20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Docker + Docker Compose</w:t>
            </w:r>
          </w:p>
        </w:tc>
        <w:tc>
          <w:tcPr>
            <w:tcW w:type="dxa" w:w="47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The only approach that behaves identically on macOS, WSL2 and native Ubuntu.</w:t>
            </w:r>
          </w:p>
        </w:tc>
      </w:tr>
    </w:tbl>
    <w:p>
      <w:pPr>
        <w:spacing w:after="230" w:before="110"/>
        <w:jc w:val="center"/>
      </w:pPr>
      <w:r>
        <w:rPr>
          <w:rFonts w:ascii="Times New Roman" w:cs="Times New Roman" w:eastAsia="Times New Roman" w:hAnsi="Times New Roman"/>
          <w:i/>
          <w:iCs/>
          <w:sz w:val="19"/>
          <w:szCs w:val="19"/>
        </w:rPr>
        <w:t xml:space="preserve">Pinned version matrix — confirm the exact patch tag when the image is first pulled</w:t>
      </w:r>
    </w:p>
    <w:p>
      <w:pPr>
        <w:pBdr>
          <w:top w:val="single" w:color="E3A49B" w:sz="4"/>
          <w:bottom w:val="single" w:color="E3A49B" w:sz="4"/>
          <w:left w:val="single" w:color="E3A49B" w:sz="4"/>
          <w:right w:val="single" w:color="E3A49B" w:sz="4"/>
        </w:pBdr>
        <w:shd w:fill="FDECEA" w:val="clear"/>
        <w:spacing w:after="170" w:before="90" w:line="280"/>
        <w:ind w:left="170" w:right="170"/>
        <w:jc w:val="both"/>
      </w:pPr>
      <w:r>
        <w:rPr>
          <w:rFonts w:ascii="Times New Roman" w:cs="Times New Roman" w:eastAsia="Times New Roman" w:hAnsi="Times New Roman"/>
          <w:b/>
          <w:bCs/>
          <w:i/>
          <w:iCs/>
          <w:sz w:val="21"/>
          <w:szCs w:val="21"/>
        </w:rPr>
        <w:t xml:space="preserve">Important: </w:t>
      </w:r>
      <w:r>
        <w:rPr>
          <w:rFonts w:ascii="Times New Roman" w:cs="Times New Roman" w:eastAsia="Times New Roman" w:hAnsi="Times New Roman"/>
          <w:i/>
          <w:iCs/>
          <w:sz w:val="21"/>
          <w:szCs w:val="21"/>
        </w:rPr>
        <w:t xml:space="preserve">Do not copy a version number from this table into a build file without confirming the exact patch release resolves. Pick one patch version of Spark on day one, record it in the README, and have all four members pull that same tag.</w:t>
      </w:r>
    </w:p>
    <w:p>
      <w:pPr>
        <w:pStyle w:val="Heading2"/>
        <w:spacing w:after="150" w:before="320"/>
      </w:pPr>
      <w:r>
        <w:t xml:space="preserve">2.3  Why Docker, given three different operating systems</w:t>
      </w:r>
    </w:p>
    <w:p>
      <w:pPr>
        <w:spacing w:after="140" w:line="300"/>
        <w:jc w:val="both"/>
      </w:pPr>
      <w:r>
        <w:rPr>
          <w:rFonts w:ascii="Times New Roman" w:cs="Times New Roman" w:eastAsia="Times New Roman" w:hAnsi="Times New Roman"/>
          <w:sz w:val="22"/>
          <w:szCs w:val="22"/>
        </w:rPr>
        <w:t xml:space="preserve">The team runs macOS, Windows with WSL2 and native Ubuntu. Native Spark installation would require three separate sets of instructions, three sets of environment variables and three different failure modes. A single Docker image removes that problem: the container runs the same Linux userspace regardless of host, so the Spark version, the JDK, the Scala version and the Python packages are byte-identical on all four machines.</w:t>
      </w:r>
    </w:p>
    <w:p>
      <w:pPr>
        <w:spacing w:after="140" w:line="300"/>
        <w:jc w:val="both"/>
      </w:pPr>
      <w:r>
        <w:rPr>
          <w:rFonts w:ascii="Times New Roman" w:cs="Times New Roman" w:eastAsia="Times New Roman" w:hAnsi="Times New Roman"/>
          <w:sz w:val="22"/>
          <w:szCs w:val="22"/>
        </w:rPr>
        <w:t xml:space="preserve">The host differences that remain are limited to how the Docker daemon is installed and how file paths are bind-mounted, both of which are documented once in the setup guide. Performance figures will differ between laptops, and that is expected and should be reported honestly.</w:t>
      </w:r>
    </w:p>
    <w:p>
      <w:pPr>
        <w:pageBreakBefore/>
      </w:pPr>
    </w:p>
    <w:p>
      <w:pPr>
        <w:spacing w:after="360" w:before="500"/>
      </w:pPr>
      <w:r>
        <w:rPr>
          <w:rFonts w:ascii="Times New Roman" w:cs="Times New Roman" w:eastAsia="Times New Roman" w:hAnsi="Times New Roman"/>
          <w:b/>
          <w:bCs/>
          <w:sz w:val="34"/>
          <w:szCs w:val="34"/>
        </w:rPr>
        <w:t xml:space="preserve">3.  Repository Layout</w:t>
      </w:r>
    </w:p>
    <w:p>
      <w:pPr>
        <w:spacing w:after="140" w:line="300"/>
        <w:jc w:val="both"/>
      </w:pPr>
      <w:r>
        <w:rPr>
          <w:rFonts w:ascii="Times New Roman" w:cs="Times New Roman" w:eastAsia="Times New Roman" w:hAnsi="Times New Roman"/>
          <w:sz w:val="22"/>
          <w:szCs w:val="22"/>
        </w:rPr>
        <w:t xml:space="preserve">One repository, one structure, identical on every machine. Nobody keeps a private copy of a script.</w:t>
      </w:r>
    </w:p>
    <w:p>
      <w:pPr>
        <w:pBdr>
          <w:top w:val="single" w:color="B8B8B8" w:sz="4"/>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review3-flight-spark/</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docker/</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 Dockerfile                  Spark 3.5 + Scala 2.12 + JDK 11 + Python</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 docker-compose.yml          spark service, api service, volumes</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scala/</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 build.sbt                   pinned Scala and Spark versions</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 src/main/scala/</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 Ingest.scala            CSV -&gt; Parquet, validation counts</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 RddDemo.scala           THE 10-MARK MODULE</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 RouteAnalytics.scala    route, carrier and cause aggregations</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pyspark/</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 eda.py                      distributions, trends, missingness</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 features.py                 leakage-safe feature construction</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 train.py                    LogisticRegression + RandomForest</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 evaluate.py                 metrics, confusion matrix, curves</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viz/</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 make_plots.py               reads outputs/, writes outputs/plots/</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api/                            OPTIONAL</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 main.py                     FastAPI, serves precomputed JSON only</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 static/                     shared dashboard HTML/CSS/JS</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data/</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 raw/                        flight_data_cleaned_1year.csv  (gitignored)</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 processed/                  flights.parquet                (gitignored)</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 features/                   ml_features.parquet            (gitignored)</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 samples/                    sample_100k.csv  (committed, for debug mode)</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outputs/</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 scala/                      JSON results from the Scala jobs</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 ml/                         metrics.json, predictions sample</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 logs/                       lineage.txt, partitions.txt, timings.txt</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 plots/                      PNG charts</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models/                         saved Spark ML pipeline              (gitignored)</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docs/</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 SETUP.md                    one page per OS</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 RUBRIC_CHECKLIST.md         15 marks mapped to files and commands</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 DEMO_SCRIPT.md              exact demonstration sequence</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 TROUBLESHOOTING.md</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Makefile                        make setup / ingest / rdd / eda / ml / plots</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.gitignore</w:t>
      </w:r>
    </w:p>
    <w:p>
      <w:pPr>
        <w:pBdr>
          <w:top w:val="none" w:color="FFFFFF" w:sz="0"/>
          <w:bottom w:val="single" w:color="B8B8B8" w:sz="4"/>
          <w:left w:val="single" w:color="B8B8B8" w:sz="4"/>
          <w:right w:val="single" w:color="B8B8B8" w:sz="4"/>
        </w:pBdr>
        <w:shd w:fill="F4F4F4" w:val="clear"/>
        <w:spacing w:after="0" w:line="235"/>
        <w:ind w:left="150" w:right="110"/>
      </w:pPr>
      <w:r>
        <w:rPr>
          <w:rFonts w:ascii="Consolas" w:cs="Consolas" w:eastAsia="Consolas" w:hAnsi="Consolas"/>
          <w:sz w:val="15"/>
          <w:szCs w:val="15"/>
        </w:rPr>
        <w:t xml:space="preserve">└── README.md</w:t>
      </w:r>
    </w:p>
    <w:p>
      <w:pPr>
        <w:spacing w:after="150"/>
      </w:pPr>
    </w:p>
    <w:p>
      <w:pPr>
        <w:pBdr>
          <w:top w:val="single" w:color="E2CF86" w:sz="4"/>
          <w:bottom w:val="single" w:color="E2CF86" w:sz="4"/>
          <w:left w:val="single" w:color="E2CF86" w:sz="4"/>
          <w:right w:val="single" w:color="E2CF86" w:sz="4"/>
        </w:pBdr>
        <w:shd w:fill="FFF8E1" w:val="clear"/>
        <w:spacing w:after="170" w:before="90" w:line="280"/>
        <w:ind w:left="170" w:right="170"/>
        <w:jc w:val="both"/>
      </w:pPr>
      <w:r>
        <w:rPr>
          <w:rFonts w:ascii="Times New Roman" w:cs="Times New Roman" w:eastAsia="Times New Roman" w:hAnsi="Times New Roman"/>
          <w:b/>
          <w:bCs/>
          <w:i/>
          <w:iCs/>
          <w:sz w:val="21"/>
          <w:szCs w:val="21"/>
        </w:rPr>
        <w:t xml:space="preserve">Note: </w:t>
      </w:r>
      <w:r>
        <w:rPr>
          <w:rFonts w:ascii="Times New Roman" w:cs="Times New Roman" w:eastAsia="Times New Roman" w:hAnsi="Times New Roman"/>
          <w:i/>
          <w:iCs/>
          <w:sz w:val="21"/>
          <w:szCs w:val="21"/>
        </w:rPr>
        <w:t xml:space="preserve">Everything under data/, models/ and outputs/ except data/samples/ is excluded from Git. The repository must stay small enough to clone quickly; each member regenerates the large artefacts locally by running the pipeline.</w:t>
      </w:r>
    </w:p>
    <w:p>
      <w:pPr>
        <w:pStyle w:val="Heading2"/>
        <w:spacing w:after="150" w:before="320"/>
      </w:pPr>
      <w:r>
        <w:t xml:space="preserve">3.1  Debug mode</w:t>
      </w:r>
    </w:p>
    <w:p>
      <w:pPr>
        <w:spacing w:after="140" w:line="300"/>
        <w:jc w:val="both"/>
      </w:pPr>
      <w:r>
        <w:rPr>
          <w:rFonts w:ascii="Times New Roman" w:cs="Times New Roman" w:eastAsia="Times New Roman" w:hAnsi="Times New Roman"/>
          <w:sz w:val="22"/>
          <w:szCs w:val="22"/>
        </w:rPr>
        <w:t xml:space="preserve">A 100,000-row sample taken from the real CSV is committed to data/samples/. Every script accepts a flag to run against the sample instead of the full file. This lets a member verify that a change works in thirty seconds rather than twenty minutes, and it lets all four members test the pipeline before anyone has processed the full dataset.</w:t>
      </w:r>
    </w:p>
    <w:p>
      <w:pPr>
        <w:pBdr>
          <w:top w:val="single" w:color="E3A49B" w:sz="4"/>
          <w:bottom w:val="single" w:color="E3A49B" w:sz="4"/>
          <w:left w:val="single" w:color="E3A49B" w:sz="4"/>
          <w:right w:val="single" w:color="E3A49B" w:sz="4"/>
        </w:pBdr>
        <w:shd w:fill="FDECEA" w:val="clear"/>
        <w:spacing w:after="170" w:before="90" w:line="280"/>
        <w:ind w:left="170" w:right="170"/>
        <w:jc w:val="both"/>
      </w:pPr>
      <w:r>
        <w:rPr>
          <w:rFonts w:ascii="Times New Roman" w:cs="Times New Roman" w:eastAsia="Times New Roman" w:hAnsi="Times New Roman"/>
          <w:b/>
          <w:bCs/>
          <w:i/>
          <w:iCs/>
          <w:sz w:val="21"/>
          <w:szCs w:val="21"/>
        </w:rPr>
        <w:t xml:space="preserve">Important: </w:t>
      </w:r>
      <w:r>
        <w:rPr>
          <w:rFonts w:ascii="Times New Roman" w:cs="Times New Roman" w:eastAsia="Times New Roman" w:hAnsi="Times New Roman"/>
          <w:i/>
          <w:iCs/>
          <w:sz w:val="21"/>
          <w:szCs w:val="21"/>
        </w:rPr>
        <w:t xml:space="preserve">Results produced in debug mode must never be reported as full-dataset results. Every output file records which input it was produced from, and the final report states the record count for every figure quoted.</w:t>
      </w:r>
    </w:p>
    <w:p>
      <w:pPr>
        <w:pageBreakBefore/>
      </w:pPr>
    </w:p>
    <w:p>
      <w:pPr>
        <w:spacing w:after="360" w:before="500"/>
      </w:pPr>
      <w:r>
        <w:rPr>
          <w:rFonts w:ascii="Times New Roman" w:cs="Times New Roman" w:eastAsia="Times New Roman" w:hAnsi="Times New Roman"/>
          <w:b/>
          <w:bCs/>
          <w:sz w:val="34"/>
          <w:szCs w:val="34"/>
        </w:rPr>
        <w:t xml:space="preserve">4.  The Scala and Spark RDD Module — 10 Marks</w:t>
      </w:r>
    </w:p>
    <w:p>
      <w:pPr>
        <w:spacing w:after="140" w:line="300"/>
        <w:jc w:val="both"/>
      </w:pPr>
      <w:r>
        <w:rPr>
          <w:rFonts w:ascii="Times New Roman" w:cs="Times New Roman" w:eastAsia="Times New Roman" w:hAnsi="Times New Roman"/>
          <w:sz w:val="22"/>
          <w:szCs w:val="22"/>
        </w:rPr>
        <w:t xml:space="preserve">This module carries two thirds of the available marks and must be treated as the highest priority. Every item in the rubric is demonstrated explicitly, with output written to a log file so the evidence survives after the terminal is closed.</w:t>
      </w:r>
    </w:p>
    <w:p>
      <w:pPr>
        <w:pStyle w:val="Heading2"/>
        <w:spacing w:after="150" w:before="320"/>
      </w:pPr>
      <w:r>
        <w:t xml:space="preserve">4.1  Rubric items and how each is satisfied</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3300"/>
      </w:tblGrid>
      <w:tr>
        <w:trPr>
          <w:tblHeader/>
        </w:trPr>
        <w:tc>
          <w:tcPr>
            <w:tcW w:type="dxa" w:w="2500"/>
            <w:shd w:fill="E7E9EC"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Rubric item</w:t>
            </w:r>
          </w:p>
        </w:tc>
        <w:tc>
          <w:tcPr>
            <w:tcW w:type="dxa" w:w="3100"/>
            <w:shd w:fill="E7E9EC"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Implementation</w:t>
            </w:r>
          </w:p>
        </w:tc>
        <w:tc>
          <w:tcPr>
            <w:tcW w:type="dxa" w:w="3300"/>
            <w:shd w:fill="E7E9EC"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Evidence produced</w:t>
            </w:r>
          </w:p>
        </w:tc>
      </w:tr>
      <w:tr>
        <w:trPr>
          <w:tblHeader w:val="false"/>
        </w:trPr>
        <w:tc>
          <w:tcPr>
            <w:tcW w:type="dxa" w:w="25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RDD creation</w:t>
            </w:r>
          </w:p>
        </w:tc>
        <w:tc>
          <w:tcPr>
            <w:tcW w:type="dxa" w:w="31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sc.textFile on the raw CSV, header filtered out</w:t>
            </w:r>
          </w:p>
        </w:tc>
        <w:tc>
          <w:tcPr>
            <w:tcW w:type="dxa" w:w="33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Record count printed and logged</w:t>
            </w:r>
          </w:p>
        </w:tc>
      </w:tr>
      <w:tr>
        <w:trPr>
          <w:tblHeader w:val="false"/>
        </w:trPr>
        <w:tc>
          <w:tcPr>
            <w:tcW w:type="dxa" w:w="25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Transformation 1 — map</w:t>
            </w:r>
          </w:p>
        </w:tc>
        <w:tc>
          <w:tcPr>
            <w:tcW w:type="dxa" w:w="31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Parse each CSV line into a typed tuple</w:t>
            </w:r>
          </w:p>
        </w:tc>
        <w:tc>
          <w:tcPr>
            <w:tcW w:type="dxa" w:w="33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Sample of five parsed records</w:t>
            </w:r>
          </w:p>
        </w:tc>
      </w:tr>
      <w:tr>
        <w:trPr>
          <w:tblHeader w:val="false"/>
        </w:trPr>
        <w:tc>
          <w:tcPr>
            <w:tcW w:type="dxa" w:w="25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Transformation 2 — filter</w:t>
            </w:r>
          </w:p>
        </w:tc>
        <w:tc>
          <w:tcPr>
            <w:tcW w:type="dxa" w:w="31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Drop cancelled and diverted flights, drop malformed rows</w:t>
            </w:r>
          </w:p>
        </w:tc>
        <w:tc>
          <w:tcPr>
            <w:tcW w:type="dxa" w:w="33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Counts before and after, with the difference explained</w:t>
            </w:r>
          </w:p>
        </w:tc>
      </w:tr>
      <w:tr>
        <w:trPr>
          <w:tblHeader w:val="false"/>
        </w:trPr>
        <w:tc>
          <w:tcPr>
            <w:tcW w:type="dxa" w:w="25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Transformation 3 — flatMap</w:t>
            </w:r>
          </w:p>
        </w:tc>
        <w:tc>
          <w:tcPr>
            <w:tcW w:type="dxa" w:w="31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Emit one token per delay cause, so a flight delayed by weather and carrier produces two records</w:t>
            </w:r>
          </w:p>
        </w:tc>
        <w:tc>
          <w:tcPr>
            <w:tcW w:type="dxa" w:w="33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Cause frequency table</w:t>
            </w:r>
          </w:p>
        </w:tc>
      </w:tr>
      <w:tr>
        <w:trPr>
          <w:tblHeader w:val="false"/>
        </w:trPr>
        <w:tc>
          <w:tcPr>
            <w:tcW w:type="dxa" w:w="25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Transformation 4 — reduceByKey</w:t>
            </w:r>
          </w:p>
        </w:tc>
        <w:tc>
          <w:tcPr>
            <w:tcW w:type="dxa" w:w="31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Sum delay minutes and flight counts per route</w:t>
            </w:r>
          </w:p>
        </w:tc>
        <w:tc>
          <w:tcPr>
            <w:tcW w:type="dxa" w:w="33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Top routes by average delay</w:t>
            </w:r>
          </w:p>
        </w:tc>
      </w:tr>
      <w:tr>
        <w:trPr>
          <w:tblHeader w:val="false"/>
        </w:trPr>
        <w:tc>
          <w:tcPr>
            <w:tcW w:type="dxa" w:w="25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Transformation 5 — mapValues</w:t>
            </w:r>
          </w:p>
        </w:tc>
        <w:tc>
          <w:tcPr>
            <w:tcW w:type="dxa" w:w="31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Convert (sum, count) pairs into averages</w:t>
            </w:r>
          </w:p>
        </w:tc>
        <w:tc>
          <w:tcPr>
            <w:tcW w:type="dxa" w:w="33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Average delay per route</w:t>
            </w:r>
          </w:p>
        </w:tc>
      </w:tr>
      <w:tr>
        <w:trPr>
          <w:tblHeader w:val="false"/>
        </w:trPr>
        <w:tc>
          <w:tcPr>
            <w:tcW w:type="dxa" w:w="25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Action 1 — count</w:t>
            </w:r>
          </w:p>
        </w:tc>
        <w:tc>
          <w:tcPr>
            <w:tcW w:type="dxa" w:w="31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Total records at each pipeline stage</w:t>
            </w:r>
          </w:p>
        </w:tc>
        <w:tc>
          <w:tcPr>
            <w:tcW w:type="dxa" w:w="33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Stage-by-stage counts</w:t>
            </w:r>
          </w:p>
        </w:tc>
      </w:tr>
      <w:tr>
        <w:trPr>
          <w:tblHeader w:val="false"/>
        </w:trPr>
        <w:tc>
          <w:tcPr>
            <w:tcW w:type="dxa" w:w="25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Action 2 — take</w:t>
            </w:r>
          </w:p>
        </w:tc>
        <w:tc>
          <w:tcPr>
            <w:tcW w:type="dxa" w:w="31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First records of each intermediate RDD</w:t>
            </w:r>
          </w:p>
        </w:tc>
        <w:tc>
          <w:tcPr>
            <w:tcW w:type="dxa" w:w="33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Printed samples</w:t>
            </w:r>
          </w:p>
        </w:tc>
      </w:tr>
      <w:tr>
        <w:trPr>
          <w:tblHeader w:val="false"/>
        </w:trPr>
        <w:tc>
          <w:tcPr>
            <w:tcW w:type="dxa" w:w="25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Action 3 — reduce</w:t>
            </w:r>
          </w:p>
        </w:tc>
        <w:tc>
          <w:tcPr>
            <w:tcW w:type="dxa" w:w="31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Single aggregate such as total delay minutes</w:t>
            </w:r>
          </w:p>
        </w:tc>
        <w:tc>
          <w:tcPr>
            <w:tcW w:type="dxa" w:w="33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Scalar result</w:t>
            </w:r>
          </w:p>
        </w:tc>
      </w:tr>
      <w:tr>
        <w:trPr>
          <w:tblHeader w:val="false"/>
        </w:trPr>
        <w:tc>
          <w:tcPr>
            <w:tcW w:type="dxa" w:w="25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Key-value operations</w:t>
            </w:r>
          </w:p>
        </w:tc>
        <w:tc>
          <w:tcPr>
            <w:tcW w:type="dxa" w:w="31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Route and carrier keyed pair RDDs throughout</w:t>
            </w:r>
          </w:p>
        </w:tc>
        <w:tc>
          <w:tcPr>
            <w:tcW w:type="dxa" w:w="33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Aggregated output files</w:t>
            </w:r>
          </w:p>
        </w:tc>
      </w:tr>
      <w:tr>
        <w:trPr>
          <w:tblHeader w:val="false"/>
        </w:trPr>
        <w:tc>
          <w:tcPr>
            <w:tcW w:type="dxa" w:w="25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Partitions</w:t>
            </w:r>
          </w:p>
        </w:tc>
        <w:tc>
          <w:tcPr>
            <w:tcW w:type="dxa" w:w="31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getNumPartitions before and after a repartition</w:t>
            </w:r>
          </w:p>
        </w:tc>
        <w:tc>
          <w:tcPr>
            <w:tcW w:type="dxa" w:w="33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outputs/logs/partitions.txt</w:t>
            </w:r>
          </w:p>
        </w:tc>
      </w:tr>
      <w:tr>
        <w:trPr>
          <w:tblHeader w:val="false"/>
        </w:trPr>
        <w:tc>
          <w:tcPr>
            <w:tcW w:type="dxa" w:w="25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Lineage</w:t>
            </w:r>
          </w:p>
        </w:tc>
        <w:tc>
          <w:tcPr>
            <w:tcW w:type="dxa" w:w="31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toDebugString on a multi-stage RDD</w:t>
            </w:r>
          </w:p>
        </w:tc>
        <w:tc>
          <w:tcPr>
            <w:tcW w:type="dxa" w:w="33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outputs/logs/lineage.txt</w:t>
            </w:r>
          </w:p>
        </w:tc>
      </w:tr>
      <w:tr>
        <w:trPr>
          <w:tblHeader w:val="false"/>
        </w:trPr>
        <w:tc>
          <w:tcPr>
            <w:tcW w:type="dxa" w:w="25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DAG</w:t>
            </w:r>
          </w:p>
        </w:tc>
        <w:tc>
          <w:tcPr>
            <w:tcW w:type="dxa" w:w="31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Spark UI on port 4040 during execution, plus event logs</w:t>
            </w:r>
          </w:p>
        </w:tc>
        <w:tc>
          <w:tcPr>
            <w:tcW w:type="dxa" w:w="33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Screenshots taken during a real run</w:t>
            </w:r>
          </w:p>
        </w:tc>
      </w:tr>
      <w:tr>
        <w:trPr>
          <w:tblHeader w:val="false"/>
        </w:trPr>
        <w:tc>
          <w:tcPr>
            <w:tcW w:type="dxa" w:w="25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Fault tolerance</w:t>
            </w:r>
          </w:p>
        </w:tc>
        <w:tc>
          <w:tcPr>
            <w:tcW w:type="dxa" w:w="31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Explanation grounded in the captured lineage</w:t>
            </w:r>
          </w:p>
        </w:tc>
        <w:tc>
          <w:tcPr>
            <w:tcW w:type="dxa" w:w="33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Written section referencing the real log</w:t>
            </w:r>
          </w:p>
        </w:tc>
      </w:tr>
      <w:tr>
        <w:trPr>
          <w:tblHeader w:val="false"/>
        </w:trPr>
        <w:tc>
          <w:tcPr>
            <w:tcW w:type="dxa" w:w="25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cache / persist</w:t>
            </w:r>
          </w:p>
        </w:tc>
        <w:tc>
          <w:tcPr>
            <w:tcW w:type="dxa" w:w="31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The same RDD actioned twice, with and without caching</w:t>
            </w:r>
          </w:p>
        </w:tc>
        <w:tc>
          <w:tcPr>
            <w:tcW w:type="dxa" w:w="33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outputs/logs/timings.txt showing both durations</w:t>
            </w:r>
          </w:p>
        </w:tc>
      </w:tr>
    </w:tbl>
    <w:p>
      <w:pPr>
        <w:spacing w:after="230" w:before="110"/>
        <w:jc w:val="center"/>
      </w:pPr>
      <w:r>
        <w:rPr>
          <w:rFonts w:ascii="Times New Roman" w:cs="Times New Roman" w:eastAsia="Times New Roman" w:hAnsi="Times New Roman"/>
          <w:i/>
          <w:iCs/>
          <w:sz w:val="19"/>
          <w:szCs w:val="19"/>
        </w:rPr>
        <w:t xml:space="preserve">Mapping of the 10-mark rubric to concrete implementation</w:t>
      </w:r>
    </w:p>
    <w:p>
      <w:pPr>
        <w:pStyle w:val="Heading2"/>
        <w:spacing w:after="150" w:before="320"/>
      </w:pPr>
      <w:r>
        <w:t xml:space="preserve">4.2  The caching demonstration</w:t>
      </w:r>
    </w:p>
    <w:p>
      <w:pPr>
        <w:spacing w:after="140" w:line="300"/>
        <w:jc w:val="both"/>
      </w:pPr>
      <w:r>
        <w:rPr>
          <w:rFonts w:ascii="Times New Roman" w:cs="Times New Roman" w:eastAsia="Times New Roman" w:hAnsi="Times New Roman"/>
          <w:sz w:val="22"/>
          <w:szCs w:val="22"/>
        </w:rPr>
        <w:t xml:space="preserve">Caching is the one item most often claimed without evidence. The demonstration must show a measurable difference, not merely a call to cache(). The module runs the same action twice on an uncached RDD, records both durations, then calls cache(), runs the action twice more and records those durations. The first cached run is slow because it populates the cache; the second is fast because it reads from memory.</w:t>
      </w:r>
    </w:p>
    <w:p>
      <w:pPr>
        <w:pBdr>
          <w:top w:val="single" w:color="B8B8B8" w:sz="4"/>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6"/>
          <w:szCs w:val="16"/>
        </w:rPr>
        <w:t xml:space="preserve">// Uncached: both runs recompute the full lineage</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6"/>
          <w:szCs w:val="16"/>
        </w:rPr>
        <w:t xml:space="preserve">val t1 = time { parsed.count() }</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6"/>
          <w:szCs w:val="16"/>
        </w:rPr>
        <w:t xml:space="preserve">val t2 = time { parsed.count() }</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6"/>
          <w:szCs w:val="16"/>
        </w:rPr>
        <w:t xml:space="preserve"> </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6"/>
          <w:szCs w:val="16"/>
        </w:rPr>
        <w:t xml:space="preserve">parsed.cache()</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6"/>
          <w:szCs w:val="16"/>
        </w:rPr>
        <w:t xml:space="preserve"> </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6"/>
          <w:szCs w:val="16"/>
        </w:rPr>
        <w:t xml:space="preserve">// Cached: run 3 populates the cache, run 4 reads from memory</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6"/>
          <w:szCs w:val="16"/>
        </w:rPr>
        <w:t xml:space="preserve">val t3 = time { parsed.count() }</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6"/>
          <w:szCs w:val="16"/>
        </w:rPr>
        <w:t xml:space="preserve">val t4 = time { parsed.count() }</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6"/>
          <w:szCs w:val="16"/>
        </w:rPr>
        <w:t xml:space="preserve"> </w:t>
      </w:r>
    </w:p>
    <w:p>
      <w:pPr>
        <w:pBdr>
          <w:top w:val="none" w:color="FFFFFF" w:sz="0"/>
          <w:bottom w:val="none" w:color="FFFFFF" w:sz="0"/>
          <w:left w:val="single" w:color="B8B8B8" w:sz="4"/>
          <w:right w:val="single" w:color="B8B8B8" w:sz="4"/>
        </w:pBdr>
        <w:shd w:fill="F4F4F4" w:val="clear"/>
        <w:spacing w:after="0" w:line="235"/>
        <w:ind w:left="150" w:right="110"/>
      </w:pPr>
      <w:r>
        <w:rPr>
          <w:rFonts w:ascii="Consolas" w:cs="Consolas" w:eastAsia="Consolas" w:hAnsi="Consolas"/>
          <w:sz w:val="16"/>
          <w:szCs w:val="16"/>
        </w:rPr>
        <w:t xml:space="preserve">// Expect t4 to be substantially lower than t2.</w:t>
      </w:r>
    </w:p>
    <w:p>
      <w:pPr>
        <w:pBdr>
          <w:top w:val="none" w:color="FFFFFF" w:sz="0"/>
          <w:bottom w:val="single" w:color="B8B8B8" w:sz="4"/>
          <w:left w:val="single" w:color="B8B8B8" w:sz="4"/>
          <w:right w:val="single" w:color="B8B8B8" w:sz="4"/>
        </w:pBdr>
        <w:shd w:fill="F4F4F4" w:val="clear"/>
        <w:spacing w:after="0" w:line="235"/>
        <w:ind w:left="150" w:right="110"/>
      </w:pPr>
      <w:r>
        <w:rPr>
          <w:rFonts w:ascii="Consolas" w:cs="Consolas" w:eastAsia="Consolas" w:hAnsi="Consolas"/>
          <w:sz w:val="16"/>
          <w:szCs w:val="16"/>
        </w:rPr>
        <w:t xml:space="preserve">// Log all four numbers, whatever they turn out to be.</w:t>
      </w:r>
    </w:p>
    <w:p>
      <w:pPr>
        <w:spacing w:after="150"/>
      </w:pPr>
    </w:p>
    <w:p>
      <w:pPr>
        <w:pBdr>
          <w:top w:val="single" w:color="E3A49B" w:sz="4"/>
          <w:bottom w:val="single" w:color="E3A49B" w:sz="4"/>
          <w:left w:val="single" w:color="E3A49B" w:sz="4"/>
          <w:right w:val="single" w:color="E3A49B" w:sz="4"/>
        </w:pBdr>
        <w:shd w:fill="FDECEA" w:val="clear"/>
        <w:spacing w:after="170" w:before="90" w:line="280"/>
        <w:ind w:left="170" w:right="170"/>
        <w:jc w:val="both"/>
      </w:pPr>
      <w:r>
        <w:rPr>
          <w:rFonts w:ascii="Times New Roman" w:cs="Times New Roman" w:eastAsia="Times New Roman" w:hAnsi="Times New Roman"/>
          <w:b/>
          <w:bCs/>
          <w:i/>
          <w:iCs/>
          <w:sz w:val="21"/>
          <w:szCs w:val="21"/>
        </w:rPr>
        <w:t xml:space="preserve">Important: </w:t>
      </w:r>
      <w:r>
        <w:rPr>
          <w:rFonts w:ascii="Times New Roman" w:cs="Times New Roman" w:eastAsia="Times New Roman" w:hAnsi="Times New Roman"/>
          <w:i/>
          <w:iCs/>
          <w:sz w:val="21"/>
          <w:szCs w:val="21"/>
        </w:rPr>
        <w:t xml:space="preserve">Report the timings actually observed. If the difference is small because the dataset fits comfortably in the operating system page cache, say so and explain why — that is a better answer than a fabricated speedup, and the examiner can tell the difference.</w:t>
      </w:r>
    </w:p>
    <w:p>
      <w:pPr>
        <w:pStyle w:val="Heading2"/>
        <w:spacing w:after="150" w:before="320"/>
      </w:pPr>
      <w:r>
        <w:t xml:space="preserve">4.3  Narrow versus wide dependencies</w:t>
      </w:r>
    </w:p>
    <w:p>
      <w:pPr>
        <w:spacing w:after="140" w:line="300"/>
        <w:jc w:val="both"/>
      </w:pPr>
      <w:r>
        <w:rPr>
          <w:rFonts w:ascii="Times New Roman" w:cs="Times New Roman" w:eastAsia="Times New Roman" w:hAnsi="Times New Roman"/>
          <w:sz w:val="22"/>
          <w:szCs w:val="22"/>
        </w:rPr>
        <w:t xml:space="preserve">The lineage output gives a natural way to explain this. A map or filter is a narrow dependency: each output partition depends on exactly one input partition, so Spark executes it within the existing task without moving data. A reduceByKey is a wide dependency: records with the same key must be brought together, which forces a shuffle and a stage boundary. The stage boundaries visible in the Spark UI correspond exactly to the wide dependencies in the code, and that correspondence is the clearest way to demonstrate understanding of the DAG.</w:t>
      </w:r>
    </w:p>
    <w:p>
      <w:pPr>
        <w:pStyle w:val="Heading2"/>
        <w:spacing w:after="150" w:before="320"/>
      </w:pPr>
      <w:r>
        <w:t xml:space="preserve">4.4  Analytics the module produces</w:t>
      </w:r>
    </w:p>
    <w:p>
      <w:pPr>
        <w:pStyle w:val="ListParagraph"/>
        <w:numPr>
          <w:ilvl w:val="0"/>
          <w:numId w:val="2"/>
        </w:numPr>
        <w:spacing w:after="90" w:line="290"/>
      </w:pPr>
      <w:r>
        <w:rPr>
          <w:rFonts w:ascii="Times New Roman" w:cs="Times New Roman" w:eastAsia="Times New Roman" w:hAnsi="Times New Roman"/>
          <w:sz w:val="22"/>
          <w:szCs w:val="22"/>
        </w:rPr>
        <w:t xml:space="preserve">Total flights processed, and counts at each filtering stage.</w:t>
      </w:r>
    </w:p>
    <w:p>
      <w:pPr>
        <w:pStyle w:val="ListParagraph"/>
        <w:numPr>
          <w:ilvl w:val="0"/>
          <w:numId w:val="2"/>
        </w:numPr>
        <w:spacing w:after="90" w:line="290"/>
      </w:pPr>
      <w:r>
        <w:rPr>
          <w:rFonts w:ascii="Times New Roman" w:cs="Times New Roman" w:eastAsia="Times New Roman" w:hAnsi="Times New Roman"/>
          <w:sz w:val="22"/>
          <w:szCs w:val="22"/>
        </w:rPr>
        <w:t xml:space="preserve">Flights and average arrival delay per carrier.</w:t>
      </w:r>
    </w:p>
    <w:p>
      <w:pPr>
        <w:pStyle w:val="ListParagraph"/>
        <w:numPr>
          <w:ilvl w:val="0"/>
          <w:numId w:val="2"/>
        </w:numPr>
        <w:spacing w:after="90" w:line="290"/>
      </w:pPr>
      <w:r>
        <w:rPr>
          <w:rFonts w:ascii="Times New Roman" w:cs="Times New Roman" w:eastAsia="Times New Roman" w:hAnsi="Times New Roman"/>
          <w:sz w:val="22"/>
          <w:szCs w:val="22"/>
        </w:rPr>
        <w:t xml:space="preserve">Flights and average arrival delay per route, with the worst routes ranked.</w:t>
      </w:r>
    </w:p>
    <w:p>
      <w:pPr>
        <w:pStyle w:val="ListParagraph"/>
        <w:numPr>
          <w:ilvl w:val="0"/>
          <w:numId w:val="2"/>
        </w:numPr>
        <w:spacing w:after="90" w:line="290"/>
      </w:pPr>
      <w:r>
        <w:rPr>
          <w:rFonts w:ascii="Times New Roman" w:cs="Times New Roman" w:eastAsia="Times New Roman" w:hAnsi="Times New Roman"/>
          <w:sz w:val="22"/>
          <w:szCs w:val="22"/>
        </w:rPr>
        <w:t xml:space="preserve">Delay cause frequency, derived with flatMap across the five cause columns.</w:t>
      </w:r>
    </w:p>
    <w:p>
      <w:pPr>
        <w:pStyle w:val="ListParagraph"/>
        <w:numPr>
          <w:ilvl w:val="0"/>
          <w:numId w:val="2"/>
        </w:numPr>
        <w:spacing w:after="90" w:line="290"/>
      </w:pPr>
      <w:r>
        <w:rPr>
          <w:rFonts w:ascii="Times New Roman" w:cs="Times New Roman" w:eastAsia="Times New Roman" w:hAnsi="Times New Roman"/>
          <w:sz w:val="22"/>
          <w:szCs w:val="22"/>
        </w:rPr>
        <w:t xml:space="preserve">On-time performance per origin airport.</w:t>
      </w:r>
    </w:p>
    <w:p>
      <w:pPr>
        <w:pStyle w:val="ListParagraph"/>
        <w:numPr>
          <w:ilvl w:val="0"/>
          <w:numId w:val="2"/>
        </w:numPr>
        <w:spacing w:after="90" w:line="290"/>
      </w:pPr>
      <w:r>
        <w:rPr>
          <w:rFonts w:ascii="Times New Roman" w:cs="Times New Roman" w:eastAsia="Times New Roman" w:hAnsi="Times New Roman"/>
          <w:sz w:val="22"/>
          <w:szCs w:val="22"/>
        </w:rPr>
        <w:t xml:space="preserve">Monthly and day-of-week delay patterns.</w:t>
      </w:r>
    </w:p>
    <w:p>
      <w:pPr>
        <w:pStyle w:val="ListParagraph"/>
        <w:numPr>
          <w:ilvl w:val="0"/>
          <w:numId w:val="2"/>
        </w:numPr>
        <w:spacing w:after="90" w:line="290"/>
      </w:pPr>
      <w:r>
        <w:rPr>
          <w:rFonts w:ascii="Times New Roman" w:cs="Times New Roman" w:eastAsia="Times New Roman" w:hAnsi="Times New Roman"/>
          <w:sz w:val="22"/>
          <w:szCs w:val="22"/>
        </w:rPr>
        <w:t xml:space="preserve">Cancellation and diversion counts by carrier.</w:t>
      </w:r>
    </w:p>
    <w:p>
      <w:pPr>
        <w:spacing w:after="140" w:line="300"/>
        <w:jc w:val="both"/>
      </w:pPr>
      <w:r>
        <w:rPr>
          <w:rFonts w:ascii="Times New Roman" w:cs="Times New Roman" w:eastAsia="Times New Roman" w:hAnsi="Times New Roman"/>
          <w:sz w:val="22"/>
          <w:szCs w:val="22"/>
        </w:rPr>
        <w:t xml:space="preserve">These feed the visualisations and the dashboard, so the Scala stage and the Python stages operate on the same numbers rather than being unrelated demonstrations.</w:t>
      </w:r>
    </w:p>
    <w:p>
      <w:pPr>
        <w:pageBreakBefore/>
      </w:pPr>
    </w:p>
    <w:p>
      <w:pPr>
        <w:spacing w:after="360" w:before="500"/>
      </w:pPr>
      <w:r>
        <w:rPr>
          <w:rFonts w:ascii="Times New Roman" w:cs="Times New Roman" w:eastAsia="Times New Roman" w:hAnsi="Times New Roman"/>
          <w:b/>
          <w:bCs/>
          <w:sz w:val="34"/>
          <w:szCs w:val="34"/>
        </w:rPr>
        <w:t xml:space="preserve">5.  Machine Learning Design — 3 Marks</w:t>
      </w:r>
    </w:p>
    <w:p>
      <w:pPr>
        <w:pStyle w:val="Heading2"/>
        <w:spacing w:after="150" w:before="320"/>
      </w:pPr>
      <w:r>
        <w:t xml:space="preserve">5.1  The prediction problem</w:t>
      </w:r>
    </w:p>
    <w:p>
      <w:pPr>
        <w:spacing w:after="140" w:line="300"/>
        <w:jc w:val="both"/>
      </w:pPr>
      <w:r>
        <w:rPr>
          <w:rFonts w:ascii="Times New Roman" w:cs="Times New Roman" w:eastAsia="Times New Roman" w:hAnsi="Times New Roman"/>
          <w:sz w:val="22"/>
          <w:szCs w:val="22"/>
        </w:rPr>
        <w:t xml:space="preserve">Given a scheduled flight, predict whether it will arrive more than fifteen minutes late. This is a binary classification problem with an operationally meaningful output: an airline can use it to pre-position crew, warn connecting passengers or adjust the published schedule.</w:t>
      </w:r>
    </w:p>
    <w:p>
      <w:pPr>
        <w:pStyle w:val="Heading2"/>
        <w:spacing w:after="150" w:before="320"/>
      </w:pPr>
      <w:r>
        <w:t xml:space="preserve">5.2  Target leakage — the single most important design decision</w:t>
      </w:r>
    </w:p>
    <w:p>
      <w:pPr>
        <w:spacing w:after="140" w:line="300"/>
        <w:jc w:val="both"/>
      </w:pPr>
      <w:r>
        <w:rPr>
          <w:rFonts w:ascii="Times New Roman" w:cs="Times New Roman" w:eastAsia="Times New Roman" w:hAnsi="Times New Roman"/>
          <w:sz w:val="22"/>
          <w:szCs w:val="22"/>
        </w:rPr>
        <w:t xml:space="preserve">The dataset contains many columns that are only known after the flight has operated. Using any of them produces a model with excellent reported accuracy and no predictive value whatsoever. The columns must be classified deliberately, and the classification documented, because an examiner who asks why the accuracy is high deserves a better answer than the model being good.</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100"/>
        <w:gridCol w:w="1700"/>
        <w:gridCol w:w="4100"/>
      </w:tblGrid>
      <w:tr>
        <w:trPr>
          <w:tblHeader/>
        </w:trPr>
        <w:tc>
          <w:tcPr>
            <w:tcW w:type="dxa" w:w="3100"/>
            <w:shd w:fill="E7E9EC"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Column</w:t>
            </w:r>
          </w:p>
        </w:tc>
        <w:tc>
          <w:tcPr>
            <w:tcW w:type="dxa" w:w="1700"/>
            <w:shd w:fill="E7E9EC"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Verdict</w:t>
            </w:r>
          </w:p>
        </w:tc>
        <w:tc>
          <w:tcPr>
            <w:tcW w:type="dxa" w:w="4100"/>
            <w:shd w:fill="E7E9EC"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Reason</w:t>
            </w:r>
          </w:p>
        </w:tc>
      </w:tr>
      <w:tr>
        <w:trPr>
          <w:tblHeader w:val="false"/>
        </w:trPr>
        <w:tc>
          <w:tcPr>
            <w:tcW w:type="dxa" w:w="31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ARR_DELAY, ARR_DELAY_NEW, ARR_DEL15</w:t>
            </w:r>
          </w:p>
        </w:tc>
        <w:tc>
          <w:tcPr>
            <w:tcW w:type="dxa" w:w="17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Exclude</w:t>
            </w:r>
          </w:p>
        </w:tc>
        <w:tc>
          <w:tcPr>
            <w:tcW w:type="dxa" w:w="41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This is the target, or a direct transformation of it.</w:t>
            </w:r>
          </w:p>
        </w:tc>
      </w:tr>
      <w:tr>
        <w:trPr>
          <w:tblHeader w:val="false"/>
        </w:trPr>
        <w:tc>
          <w:tcPr>
            <w:tcW w:type="dxa" w:w="31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DELAY_CATEGORY</w:t>
            </w:r>
          </w:p>
        </w:tc>
        <w:tc>
          <w:tcPr>
            <w:tcW w:type="dxa" w:w="17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Exclude</w:t>
            </w:r>
          </w:p>
        </w:tc>
        <w:tc>
          <w:tcPr>
            <w:tcW w:type="dxa" w:w="41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Derived from ARR_DELAY during Review 1 preprocessing.</w:t>
            </w:r>
          </w:p>
        </w:tc>
      </w:tr>
      <w:tr>
        <w:trPr>
          <w:tblHeader w:val="false"/>
        </w:trPr>
        <w:tc>
          <w:tcPr>
            <w:tcW w:type="dxa" w:w="31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CARRIER_DELAY, WEATHER_DELAY, NAS_DELAY, SECURITY_DELAY, LATE_AIRCRAFT_DELAY</w:t>
            </w:r>
          </w:p>
        </w:tc>
        <w:tc>
          <w:tcPr>
            <w:tcW w:type="dxa" w:w="17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Exclude</w:t>
            </w:r>
          </w:p>
        </w:tc>
        <w:tc>
          <w:tcPr>
            <w:tcW w:type="dxa" w:w="41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These attribute the delay being predicted. They exist only because the flight was already late.</w:t>
            </w:r>
          </w:p>
        </w:tc>
      </w:tr>
      <w:tr>
        <w:trPr>
          <w:tblHeader w:val="false"/>
        </w:trPr>
        <w:tc>
          <w:tcPr>
            <w:tcW w:type="dxa" w:w="31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ARR_TIME, AIR_TIME, TAXI_IN</w:t>
            </w:r>
          </w:p>
        </w:tc>
        <w:tc>
          <w:tcPr>
            <w:tcW w:type="dxa" w:w="17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Exclude</w:t>
            </w:r>
          </w:p>
        </w:tc>
        <w:tc>
          <w:tcPr>
            <w:tcW w:type="dxa" w:w="41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Known only after the aircraft has landed.</w:t>
            </w:r>
          </w:p>
        </w:tc>
      </w:tr>
      <w:tr>
        <w:trPr>
          <w:tblHeader w:val="false"/>
        </w:trPr>
        <w:tc>
          <w:tcPr>
            <w:tcW w:type="dxa" w:w="31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DEP_DELAY, DEP_TIME, TAXI_OUT, DEP_DEL15</w:t>
            </w:r>
          </w:p>
        </w:tc>
        <w:tc>
          <w:tcPr>
            <w:tcW w:type="dxa" w:w="17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Model B only</w:t>
            </w:r>
          </w:p>
        </w:tc>
        <w:tc>
          <w:tcPr>
            <w:tcW w:type="dxa" w:w="41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Known at pushback, not when the schedule is published. Legitimate for an at-departure model, leakage for a pre-departure one.</w:t>
            </w:r>
          </w:p>
        </w:tc>
      </w:tr>
      <w:tr>
        <w:trPr>
          <w:tblHeader w:val="false"/>
        </w:trPr>
        <w:tc>
          <w:tcPr>
            <w:tcW w:type="dxa" w:w="31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CANCELLED, DIVERTED</w:t>
            </w:r>
          </w:p>
        </w:tc>
        <w:tc>
          <w:tcPr>
            <w:tcW w:type="dxa" w:w="17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Filter, not feature</w:t>
            </w:r>
          </w:p>
        </w:tc>
        <w:tc>
          <w:tcPr>
            <w:tcW w:type="dxa" w:w="41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These flights have no arrival delay, so they are removed from the modelling set and the removal is counted.</w:t>
            </w:r>
          </w:p>
        </w:tc>
      </w:tr>
      <w:tr>
        <w:trPr>
          <w:tblHeader w:val="false"/>
        </w:trPr>
        <w:tc>
          <w:tcPr>
            <w:tcW w:type="dxa" w:w="31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OP_UNIQUE_CARRIER, ORIGIN, DEST, ROUTE, DISTANCE, CRS_DEP_TIME, CRS_ARR_TIME, MONTH, DAY_OF_WEEK, DEP_TIME_CATEGORY, DISTANCE_CATEGORY</w:t>
            </w:r>
          </w:p>
        </w:tc>
        <w:tc>
          <w:tcPr>
            <w:tcW w:type="dxa" w:w="17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Keep</w:t>
            </w:r>
          </w:p>
        </w:tc>
        <w:tc>
          <w:tcPr>
            <w:tcW w:type="dxa" w:w="41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All are known the moment the schedule is published.</w:t>
            </w:r>
          </w:p>
        </w:tc>
      </w:tr>
    </w:tbl>
    <w:p>
      <w:pPr>
        <w:spacing w:after="230" w:before="110"/>
        <w:jc w:val="center"/>
      </w:pPr>
      <w:r>
        <w:rPr>
          <w:rFonts w:ascii="Times New Roman" w:cs="Times New Roman" w:eastAsia="Times New Roman" w:hAnsi="Times New Roman"/>
          <w:i/>
          <w:iCs/>
          <w:sz w:val="19"/>
          <w:szCs w:val="19"/>
        </w:rPr>
        <w:t xml:space="preserve">Leakage classification of the dataset columns</w:t>
      </w:r>
    </w:p>
    <w:p>
      <w:pPr>
        <w:pStyle w:val="Heading2"/>
        <w:spacing w:after="150" w:before="320"/>
      </w:pPr>
      <w:r>
        <w:t xml:space="preserve">5.3  Two models, deliberately contrasted</w:t>
      </w:r>
    </w:p>
    <w:p>
      <w:pPr>
        <w:spacing w:after="140" w:line="300"/>
        <w:jc w:val="both"/>
      </w:pPr>
      <w:r>
        <w:rPr>
          <w:rFonts w:ascii="Times New Roman" w:cs="Times New Roman" w:eastAsia="Times New Roman" w:hAnsi="Times New Roman"/>
          <w:sz w:val="22"/>
          <w:szCs w:val="22"/>
        </w:rPr>
        <w:t xml:space="preserve">Model A is the pre-departure model and uses only schedule-time information. Model B adds the departure delay and is evaluated separately. Model B will score far better, and that contrast is the point: it demonstrates that a high accuracy number means nothing without knowing what information the model was given. Presenting both, and explaining the gap, is a stronger answer than presenting one good number.</w:t>
      </w:r>
    </w:p>
    <w:p>
      <w:pPr>
        <w:pStyle w:val="Heading2"/>
        <w:spacing w:after="150" w:before="320"/>
      </w:pPr>
      <w:r>
        <w:t xml:space="preserve">5.4  Engineered features</w:t>
      </w:r>
    </w:p>
    <w:p>
      <w:pPr>
        <w:spacing w:after="140" w:line="300"/>
        <w:jc w:val="both"/>
      </w:pPr>
      <w:r>
        <w:rPr>
          <w:rFonts w:ascii="Times New Roman" w:cs="Times New Roman" w:eastAsia="Times New Roman" w:hAnsi="Times New Roman"/>
          <w:sz w:val="22"/>
          <w:szCs w:val="22"/>
        </w:rPr>
        <w:t xml:space="preserve">Historical behaviour is the main source of predictive signal available before departure.</w:t>
      </w:r>
    </w:p>
    <w:p>
      <w:pPr>
        <w:pStyle w:val="ListParagraph"/>
        <w:numPr>
          <w:ilvl w:val="0"/>
          <w:numId w:val="1"/>
        </w:numPr>
        <w:spacing w:after="90" w:line="290"/>
      </w:pPr>
      <w:r>
        <w:rPr>
          <w:rFonts w:ascii="Times New Roman" w:cs="Times New Roman" w:eastAsia="Times New Roman" w:hAnsi="Times New Roman"/>
          <w:sz w:val="22"/>
          <w:szCs w:val="22"/>
        </w:rPr>
        <w:t xml:space="preserve">Historical delay rate for the route, computed from the training period only.</w:t>
      </w:r>
    </w:p>
    <w:p>
      <w:pPr>
        <w:pStyle w:val="ListParagraph"/>
        <w:numPr>
          <w:ilvl w:val="0"/>
          <w:numId w:val="1"/>
        </w:numPr>
        <w:spacing w:after="90" w:line="290"/>
      </w:pPr>
      <w:r>
        <w:rPr>
          <w:rFonts w:ascii="Times New Roman" w:cs="Times New Roman" w:eastAsia="Times New Roman" w:hAnsi="Times New Roman"/>
          <w:sz w:val="22"/>
          <w:szCs w:val="22"/>
        </w:rPr>
        <w:t xml:space="preserve">Historical delay rate for the carrier, computed from the training period only.</w:t>
      </w:r>
    </w:p>
    <w:p>
      <w:pPr>
        <w:pStyle w:val="ListParagraph"/>
        <w:numPr>
          <w:ilvl w:val="0"/>
          <w:numId w:val="1"/>
        </w:numPr>
        <w:spacing w:after="90" w:line="290"/>
      </w:pPr>
      <w:r>
        <w:rPr>
          <w:rFonts w:ascii="Times New Roman" w:cs="Times New Roman" w:eastAsia="Times New Roman" w:hAnsi="Times New Roman"/>
          <w:sz w:val="22"/>
          <w:szCs w:val="22"/>
        </w:rPr>
        <w:t xml:space="preserve">Historical delay rate for the origin airport, computed from the training period only.</w:t>
      </w:r>
    </w:p>
    <w:p>
      <w:pPr>
        <w:pStyle w:val="ListParagraph"/>
        <w:numPr>
          <w:ilvl w:val="0"/>
          <w:numId w:val="1"/>
        </w:numPr>
        <w:spacing w:after="90" w:line="290"/>
      </w:pPr>
      <w:r>
        <w:rPr>
          <w:rFonts w:ascii="Times New Roman" w:cs="Times New Roman" w:eastAsia="Times New Roman" w:hAnsi="Times New Roman"/>
          <w:sz w:val="22"/>
          <w:szCs w:val="22"/>
        </w:rPr>
        <w:t xml:space="preserve">Scheduled departure hour, extracted from CRS_DEP_TIME.</w:t>
      </w:r>
    </w:p>
    <w:p>
      <w:pPr>
        <w:pStyle w:val="ListParagraph"/>
        <w:numPr>
          <w:ilvl w:val="0"/>
          <w:numId w:val="1"/>
        </w:numPr>
        <w:spacing w:after="90" w:line="290"/>
      </w:pPr>
      <w:r>
        <w:rPr>
          <w:rFonts w:ascii="Times New Roman" w:cs="Times New Roman" w:eastAsia="Times New Roman" w:hAnsi="Times New Roman"/>
          <w:sz w:val="22"/>
          <w:szCs w:val="22"/>
        </w:rPr>
        <w:t xml:space="preserve">Departure volume at the origin airport in that hour, as a congestion proxy.</w:t>
      </w:r>
    </w:p>
    <w:p>
      <w:pPr>
        <w:pBdr>
          <w:top w:val="single" w:color="E3A49B" w:sz="4"/>
          <w:bottom w:val="single" w:color="E3A49B" w:sz="4"/>
          <w:left w:val="single" w:color="E3A49B" w:sz="4"/>
          <w:right w:val="single" w:color="E3A49B" w:sz="4"/>
        </w:pBdr>
        <w:shd w:fill="FDECEA" w:val="clear"/>
        <w:spacing w:after="170" w:before="90" w:line="280"/>
        <w:ind w:left="170" w:right="170"/>
        <w:jc w:val="both"/>
      </w:pPr>
      <w:r>
        <w:rPr>
          <w:rFonts w:ascii="Times New Roman" w:cs="Times New Roman" w:eastAsia="Times New Roman" w:hAnsi="Times New Roman"/>
          <w:b/>
          <w:bCs/>
          <w:i/>
          <w:iCs/>
          <w:sz w:val="21"/>
          <w:szCs w:val="21"/>
        </w:rPr>
        <w:t xml:space="preserve">Important: </w:t>
      </w:r>
      <w:r>
        <w:rPr>
          <w:rFonts w:ascii="Times New Roman" w:cs="Times New Roman" w:eastAsia="Times New Roman" w:hAnsi="Times New Roman"/>
          <w:i/>
          <w:iCs/>
          <w:sz w:val="21"/>
          <w:szCs w:val="21"/>
        </w:rPr>
        <w:t xml:space="preserve">Every historical rate must be computed on the training split alone and then joined onto both splits. Computing it across the whole dataset leaks information from the test period into the training features, which is a subtle and very common mistake.</w:t>
      </w:r>
    </w:p>
    <w:p>
      <w:pPr>
        <w:pStyle w:val="Heading2"/>
        <w:spacing w:after="150" w:before="320"/>
      </w:pPr>
      <w:r>
        <w:t xml:space="preserve">5.5  Train and test split</w:t>
      </w:r>
    </w:p>
    <w:p>
      <w:pPr>
        <w:spacing w:after="140" w:line="300"/>
        <w:jc w:val="both"/>
      </w:pPr>
      <w:r>
        <w:rPr>
          <w:rFonts w:ascii="Times New Roman" w:cs="Times New Roman" w:eastAsia="Times New Roman" w:hAnsi="Times New Roman"/>
          <w:sz w:val="22"/>
          <w:szCs w:val="22"/>
        </w:rPr>
        <w:t xml:space="preserve">The split is temporal, not random. Training uses the earlier months and testing uses the later months. A random split would place flights from the same day in both sets, and because delays propagate through the day, the model would effectively see the answer. A temporal split also matches how the model would actually be used: trained on history, applied to the future.</w:t>
      </w:r>
    </w:p>
    <w:p>
      <w:pPr>
        <w:pStyle w:val="Heading2"/>
        <w:spacing w:after="150" w:before="320"/>
      </w:pPr>
      <w:r>
        <w:t xml:space="preserve">5.6  Evaluation</w:t>
      </w:r>
    </w:p>
    <w:p>
      <w:pPr>
        <w:spacing w:after="140" w:line="300"/>
        <w:jc w:val="both"/>
      </w:pPr>
      <w:r>
        <w:rPr>
          <w:rFonts w:ascii="Times New Roman" w:cs="Times New Roman" w:eastAsia="Times New Roman" w:hAnsi="Times New Roman"/>
          <w:sz w:val="22"/>
          <w:szCs w:val="22"/>
        </w:rPr>
        <w:t xml:space="preserve">Roughly one flight in five arrives more than fifteen minutes late, so the classes are imbalanced and accuracy alone is misleading. A model that predicts on time for every flight achieves about eighty percent accuracy while being useless. The baseline is reported alongside the model for exactly this reason.</w:t>
      </w:r>
    </w:p>
    <w:p>
      <w:pPr>
        <w:pStyle w:val="ListParagraph"/>
        <w:numPr>
          <w:ilvl w:val="0"/>
          <w:numId w:val="1"/>
        </w:numPr>
        <w:spacing w:after="90" w:line="290"/>
      </w:pPr>
      <w:r>
        <w:rPr>
          <w:rFonts w:ascii="Times New Roman" w:cs="Times New Roman" w:eastAsia="Times New Roman" w:hAnsi="Times New Roman"/>
          <w:sz w:val="22"/>
          <w:szCs w:val="22"/>
        </w:rPr>
        <w:t xml:space="preserve">Accuracy, together with the majority-class baseline for comparison.</w:t>
      </w:r>
    </w:p>
    <w:p>
      <w:pPr>
        <w:pStyle w:val="ListParagraph"/>
        <w:numPr>
          <w:ilvl w:val="0"/>
          <w:numId w:val="1"/>
        </w:numPr>
        <w:spacing w:after="90" w:line="290"/>
      </w:pPr>
      <w:r>
        <w:rPr>
          <w:rFonts w:ascii="Times New Roman" w:cs="Times New Roman" w:eastAsia="Times New Roman" w:hAnsi="Times New Roman"/>
          <w:sz w:val="22"/>
          <w:szCs w:val="22"/>
        </w:rPr>
        <w:t xml:space="preserve">Precision, recall and F1 for the delayed class specifically, not only the macro average.</w:t>
      </w:r>
    </w:p>
    <w:p>
      <w:pPr>
        <w:pStyle w:val="ListParagraph"/>
        <w:numPr>
          <w:ilvl w:val="0"/>
          <w:numId w:val="1"/>
        </w:numPr>
        <w:spacing w:after="90" w:line="290"/>
      </w:pPr>
      <w:r>
        <w:rPr>
          <w:rFonts w:ascii="Times New Roman" w:cs="Times New Roman" w:eastAsia="Times New Roman" w:hAnsi="Times New Roman"/>
          <w:sz w:val="22"/>
          <w:szCs w:val="22"/>
        </w:rPr>
        <w:t xml:space="preserve">Confusion matrix with absolute counts.</w:t>
      </w:r>
    </w:p>
    <w:p>
      <w:pPr>
        <w:pStyle w:val="ListParagraph"/>
        <w:numPr>
          <w:ilvl w:val="0"/>
          <w:numId w:val="1"/>
        </w:numPr>
        <w:spacing w:after="90" w:line="290"/>
      </w:pPr>
      <w:r>
        <w:rPr>
          <w:rFonts w:ascii="Times New Roman" w:cs="Times New Roman" w:eastAsia="Times New Roman" w:hAnsi="Times New Roman"/>
          <w:sz w:val="22"/>
          <w:szCs w:val="22"/>
        </w:rPr>
        <w:t xml:space="preserve">ROC-AUC and, more importantly for imbalanced data, PR-AUC.</w:t>
      </w:r>
    </w:p>
    <w:p>
      <w:pPr>
        <w:pStyle w:val="ListParagraph"/>
        <w:numPr>
          <w:ilvl w:val="0"/>
          <w:numId w:val="1"/>
        </w:numPr>
        <w:spacing w:after="90" w:line="290"/>
      </w:pPr>
      <w:r>
        <w:rPr>
          <w:rFonts w:ascii="Times New Roman" w:cs="Times New Roman" w:eastAsia="Times New Roman" w:hAnsi="Times New Roman"/>
          <w:sz w:val="22"/>
          <w:szCs w:val="22"/>
        </w:rPr>
        <w:t xml:space="preserve">Class distribution in both the training and test splits.</w:t>
      </w:r>
    </w:p>
    <w:p>
      <w:pPr>
        <w:pBdr>
          <w:top w:val="single" w:color="E3A49B" w:sz="4"/>
          <w:bottom w:val="single" w:color="E3A49B" w:sz="4"/>
          <w:left w:val="single" w:color="E3A49B" w:sz="4"/>
          <w:right w:val="single" w:color="E3A49B" w:sz="4"/>
        </w:pBdr>
        <w:shd w:fill="FDECEA" w:val="clear"/>
        <w:spacing w:after="170" w:before="90" w:line="280"/>
        <w:ind w:left="170" w:right="170"/>
        <w:jc w:val="both"/>
      </w:pPr>
      <w:r>
        <w:rPr>
          <w:rFonts w:ascii="Times New Roman" w:cs="Times New Roman" w:eastAsia="Times New Roman" w:hAnsi="Times New Roman"/>
          <w:b/>
          <w:bCs/>
          <w:i/>
          <w:iCs/>
          <w:sz w:val="21"/>
          <w:szCs w:val="21"/>
        </w:rPr>
        <w:t xml:space="preserve">Important: </w:t>
      </w:r>
      <w:r>
        <w:rPr>
          <w:rFonts w:ascii="Times New Roman" w:cs="Times New Roman" w:eastAsia="Times New Roman" w:hAnsi="Times New Roman"/>
          <w:i/>
          <w:iCs/>
          <w:sz w:val="21"/>
          <w:szCs w:val="21"/>
        </w:rPr>
        <w:t xml:space="preserve">Report whatever the model actually achieves. A pre-departure flight delay model with modest performance is an honest and expected result, and analysing why it is hard — weather is the dominant cause and is not in the feature set — earns more credit than an inflated number.</w:t>
      </w:r>
    </w:p>
    <w:p>
      <w:pPr>
        <w:pageBreakBefore/>
      </w:pPr>
    </w:p>
    <w:p>
      <w:pPr>
        <w:spacing w:after="360" w:before="500"/>
      </w:pPr>
      <w:r>
        <w:rPr>
          <w:rFonts w:ascii="Times New Roman" w:cs="Times New Roman" w:eastAsia="Times New Roman" w:hAnsi="Times New Roman"/>
          <w:b/>
          <w:bCs/>
          <w:sz w:val="34"/>
          <w:szCs w:val="34"/>
        </w:rPr>
        <w:t xml:space="preserve">6.  Visualisations — 2 Marks</w:t>
      </w:r>
    </w:p>
    <w:p>
      <w:pPr>
        <w:spacing w:after="140" w:line="300"/>
        <w:jc w:val="both"/>
      </w:pPr>
      <w:r>
        <w:rPr>
          <w:rFonts w:ascii="Times New Roman" w:cs="Times New Roman" w:eastAsia="Times New Roman" w:hAnsi="Times New Roman"/>
          <w:sz w:val="22"/>
          <w:szCs w:val="22"/>
        </w:rPr>
        <w:t xml:space="preserve">At least three charts, all generated from the real processed outputs by a script that can be re-run. No chart is produced by hand or by typing numbers into a spreadsheet.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100"/>
        <w:gridCol w:w="3000"/>
        <w:gridCol w:w="2800"/>
      </w:tblGrid>
      <w:tr>
        <w:trPr>
          <w:tblHeader/>
        </w:trPr>
        <w:tc>
          <w:tcPr>
            <w:tcW w:type="dxa" w:w="3100"/>
            <w:shd w:fill="E7E9EC"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Chart</w:t>
            </w:r>
          </w:p>
        </w:tc>
        <w:tc>
          <w:tcPr>
            <w:tcW w:type="dxa" w:w="3000"/>
            <w:shd w:fill="E7E9EC"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Source</w:t>
            </w:r>
          </w:p>
        </w:tc>
        <w:tc>
          <w:tcPr>
            <w:tcW w:type="dxa" w:w="2800"/>
            <w:shd w:fill="E7E9EC"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Shows</w:t>
            </w:r>
          </w:p>
        </w:tc>
      </w:tr>
      <w:tr>
        <w:trPr>
          <w:tblHeader w:val="false"/>
        </w:trPr>
        <w:tc>
          <w:tcPr>
            <w:tcW w:type="dxa" w:w="31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Delay rate by route, top 15</w:t>
            </w:r>
          </w:p>
        </w:tc>
        <w:tc>
          <w:tcPr>
            <w:tcW w:type="dxa" w:w="30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outputs/scala/route_stats.json</w:t>
            </w:r>
          </w:p>
        </w:tc>
        <w:tc>
          <w:tcPr>
            <w:tcW w:type="dxa" w:w="28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Which city pairs are structurally unreliable</w:t>
            </w:r>
          </w:p>
        </w:tc>
      </w:tr>
      <w:tr>
        <w:trPr>
          <w:tblHeader w:val="false"/>
        </w:trPr>
        <w:tc>
          <w:tcPr>
            <w:tcW w:type="dxa" w:w="31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Monthly and day-of-week delay trend</w:t>
            </w:r>
          </w:p>
        </w:tc>
        <w:tc>
          <w:tcPr>
            <w:tcW w:type="dxa" w:w="30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outputs/scala/temporal.json</w:t>
            </w:r>
          </w:p>
        </w:tc>
        <w:tc>
          <w:tcPr>
            <w:tcW w:type="dxa" w:w="28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Seasonal and weekly patterns</w:t>
            </w:r>
          </w:p>
        </w:tc>
      </w:tr>
      <w:tr>
        <w:trPr>
          <w:tblHeader w:val="false"/>
        </w:trPr>
        <w:tc>
          <w:tcPr>
            <w:tcW w:type="dxa" w:w="31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Delay cause breakdown</w:t>
            </w:r>
          </w:p>
        </w:tc>
        <w:tc>
          <w:tcPr>
            <w:tcW w:type="dxa" w:w="30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outputs/scala/causes.json</w:t>
            </w:r>
          </w:p>
        </w:tc>
        <w:tc>
          <w:tcPr>
            <w:tcW w:type="dxa" w:w="28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Relative contribution of carrier, weather, NAS, security and late aircraft</w:t>
            </w:r>
          </w:p>
        </w:tc>
      </w:tr>
      <w:tr>
        <w:trPr>
          <w:tblHeader w:val="false"/>
        </w:trPr>
        <w:tc>
          <w:tcPr>
            <w:tcW w:type="dxa" w:w="31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Confusion matrix heatmap</w:t>
            </w:r>
          </w:p>
        </w:tc>
        <w:tc>
          <w:tcPr>
            <w:tcW w:type="dxa" w:w="30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outputs/ml/metrics.json</w:t>
            </w:r>
          </w:p>
        </w:tc>
        <w:tc>
          <w:tcPr>
            <w:tcW w:type="dxa" w:w="28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Where the classifier succeeds and fails</w:t>
            </w:r>
          </w:p>
        </w:tc>
      </w:tr>
      <w:tr>
        <w:trPr>
          <w:tblHeader w:val="false"/>
        </w:trPr>
        <w:tc>
          <w:tcPr>
            <w:tcW w:type="dxa" w:w="31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ROC and precision-recall curves</w:t>
            </w:r>
          </w:p>
        </w:tc>
        <w:tc>
          <w:tcPr>
            <w:tcW w:type="dxa" w:w="30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outputs/ml/curves.json</w:t>
            </w:r>
          </w:p>
        </w:tc>
        <w:tc>
          <w:tcPr>
            <w:tcW w:type="dxa" w:w="28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Model A against Model B against the baseline</w:t>
            </w:r>
          </w:p>
        </w:tc>
      </w:tr>
      <w:tr>
        <w:trPr>
          <w:tblHeader w:val="false"/>
        </w:trPr>
        <w:tc>
          <w:tcPr>
            <w:tcW w:type="dxa" w:w="31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Feature importance</w:t>
            </w:r>
          </w:p>
        </w:tc>
        <w:tc>
          <w:tcPr>
            <w:tcW w:type="dxa" w:w="30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outputs/ml/model_a_importance.json</w:t>
            </w:r>
          </w:p>
        </w:tc>
        <w:tc>
          <w:tcPr>
            <w:tcW w:type="dxa" w:w="28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Which scheduled attributes carry signal</w:t>
            </w:r>
          </w:p>
        </w:tc>
      </w:tr>
    </w:tbl>
    <w:p>
      <w:pPr>
        <w:spacing w:after="230" w:before="110"/>
        <w:jc w:val="center"/>
      </w:pPr>
      <w:r>
        <w:rPr>
          <w:rFonts w:ascii="Times New Roman" w:cs="Times New Roman" w:eastAsia="Times New Roman" w:hAnsi="Times New Roman"/>
          <w:i/>
          <w:iCs/>
          <w:sz w:val="19"/>
          <w:szCs w:val="19"/>
        </w:rPr>
        <w:t xml:space="preserve">Planned visualisations and their data sources</w:t>
      </w:r>
    </w:p>
    <w:p>
      <w:pPr>
        <w:spacing w:after="140" w:line="300"/>
        <w:jc w:val="both"/>
      </w:pPr>
      <w:r>
        <w:rPr>
          <w:rFonts w:ascii="Times New Roman" w:cs="Times New Roman" w:eastAsia="Times New Roman" w:hAnsi="Times New Roman"/>
          <w:sz w:val="22"/>
          <w:szCs w:val="22"/>
        </w:rPr>
        <w:t xml:space="preserve">Charts are written to outputs/plots/ as PNG files at presentation resolution, with axis labels, units and a title on every figure.</w:t>
      </w:r>
    </w:p>
    <w:p>
      <w:pPr>
        <w:pageBreakBefore/>
      </w:pPr>
    </w:p>
    <w:p>
      <w:pPr>
        <w:spacing w:after="360" w:before="500"/>
      </w:pPr>
      <w:r>
        <w:rPr>
          <w:rFonts w:ascii="Times New Roman" w:cs="Times New Roman" w:eastAsia="Times New Roman" w:hAnsi="Times New Roman"/>
          <w:b/>
          <w:bCs/>
          <w:sz w:val="34"/>
          <w:szCs w:val="34"/>
        </w:rPr>
        <w:t xml:space="preserve">7.  Member Ownership</w:t>
      </w:r>
    </w:p>
    <w:p>
      <w:pPr>
        <w:spacing w:after="140" w:line="300"/>
        <w:jc w:val="both"/>
      </w:pPr>
      <w:r>
        <w:rPr>
          <w:rFonts w:ascii="Times New Roman" w:cs="Times New Roman" w:eastAsia="Times New Roman" w:hAnsi="Times New Roman"/>
          <w:sz w:val="22"/>
          <w:szCs w:val="22"/>
        </w:rPr>
        <w:t xml:space="preserve">Each member owns one area for development and presentation. The ownership split exists so that nobody duplicates work and so that each member has a clear part to speak to. It does not mean anybody can skip the rest.</w:t>
      </w:r>
    </w:p>
    <w:p>
      <w:pPr>
        <w:pBdr>
          <w:top w:val="single" w:color="E3A49B" w:sz="4"/>
          <w:bottom w:val="single" w:color="E3A49B" w:sz="4"/>
          <w:left w:val="single" w:color="E3A49B" w:sz="4"/>
          <w:right w:val="single" w:color="E3A49B" w:sz="4"/>
        </w:pBdr>
        <w:shd w:fill="FDECEA" w:val="clear"/>
        <w:spacing w:after="170" w:before="90" w:line="280"/>
        <w:ind w:left="170" w:right="170"/>
        <w:jc w:val="both"/>
      </w:pPr>
      <w:r>
        <w:rPr>
          <w:rFonts w:ascii="Times New Roman" w:cs="Times New Roman" w:eastAsia="Times New Roman" w:hAnsi="Times New Roman"/>
          <w:b/>
          <w:bCs/>
          <w:i/>
          <w:iCs/>
          <w:sz w:val="21"/>
          <w:szCs w:val="21"/>
        </w:rPr>
        <w:t xml:space="preserve">Important: </w:t>
      </w:r>
      <w:r>
        <w:rPr>
          <w:rFonts w:ascii="Times New Roman" w:cs="Times New Roman" w:eastAsia="Times New Roman" w:hAnsi="Times New Roman"/>
          <w:i/>
          <w:iCs/>
          <w:sz w:val="21"/>
          <w:szCs w:val="21"/>
        </w:rPr>
        <w:t xml:space="preserve">Every member must be able to run the entire pipeline on their own laptop and answer questions on any component. The examiner may ask any member about any part, and the fifteen-minute analysis question will not respect the division of labour.</w:t>
      </w:r>
    </w:p>
    <w:p>
      <w:pPr>
        <w:pStyle w:val="Heading2"/>
        <w:spacing w:after="150" w:before="320"/>
      </w:pPr>
      <w:r>
        <w:t xml:space="preserve">7.1  Allocation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2300"/>
        <w:gridCol w:w="2100"/>
      </w:tblGrid>
      <w:tr>
        <w:trPr>
          <w:tblHeader/>
        </w:trPr>
        <w:tc>
          <w:tcPr>
            <w:tcW w:type="dxa" w:w="2300"/>
            <w:shd w:fill="E7E9EC"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Member</w:t>
            </w:r>
          </w:p>
        </w:tc>
        <w:tc>
          <w:tcPr>
            <w:tcW w:type="dxa" w:w="2600"/>
            <w:shd w:fill="E7E9EC"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Area</w:t>
            </w:r>
          </w:p>
        </w:tc>
        <w:tc>
          <w:tcPr>
            <w:tcW w:type="dxa" w:w="2300"/>
            <w:shd w:fill="E7E9EC"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Marks covered</w:t>
            </w:r>
          </w:p>
        </w:tc>
        <w:tc>
          <w:tcPr>
            <w:tcW w:type="dxa" w:w="2100"/>
            <w:shd w:fill="E7E9EC"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Primary deliverables</w:t>
            </w:r>
          </w:p>
        </w:tc>
      </w:tr>
      <w:tr>
        <w:trPr>
          <w:tblHeader w:val="false"/>
        </w:trPr>
        <w:tc>
          <w:tcPr>
            <w:tcW w:type="dxa" w:w="23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Karthik Vishal S</w:t>
            </w:r>
          </w:p>
        </w:tc>
        <w:tc>
          <w:tcPr>
            <w:tcW w:type="dxa" w:w="26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Scala Spark and RDD operations</w:t>
            </w:r>
          </w:p>
        </w:tc>
        <w:tc>
          <w:tcPr>
            <w:tcW w:type="dxa" w:w="23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10 (shared)</w:t>
            </w:r>
          </w:p>
        </w:tc>
        <w:tc>
          <w:tcPr>
            <w:tcW w:type="dxa" w:w="21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RddDemo.scala, RouteAnalytics.scala, lineage and partition logs</w:t>
            </w:r>
          </w:p>
        </w:tc>
      </w:tr>
      <w:tr>
        <w:trPr>
          <w:tblHeader w:val="false"/>
        </w:trPr>
        <w:tc>
          <w:tcPr>
            <w:tcW w:type="dxa" w:w="23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Darun R G</w:t>
            </w:r>
          </w:p>
        </w:tc>
        <w:tc>
          <w:tcPr>
            <w:tcW w:type="dxa" w:w="26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Ingestion, EDA, DAG and Spark execution evidence</w:t>
            </w:r>
          </w:p>
        </w:tc>
        <w:tc>
          <w:tcPr>
            <w:tcW w:type="dxa" w:w="23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10 (shared)</w:t>
            </w:r>
          </w:p>
        </w:tc>
        <w:tc>
          <w:tcPr>
            <w:tcW w:type="dxa" w:w="21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Ingest.scala, eda.py, Spark UI evidence, cache timing study</w:t>
            </w:r>
          </w:p>
        </w:tc>
      </w:tr>
      <w:tr>
        <w:trPr>
          <w:tblHeader w:val="false"/>
        </w:trPr>
        <w:tc>
          <w:tcPr>
            <w:tcW w:type="dxa" w:w="23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Abhinav G</w:t>
            </w:r>
          </w:p>
        </w:tc>
        <w:tc>
          <w:tcPr>
            <w:tcW w:type="dxa" w:w="26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PySpark machine learning</w:t>
            </w:r>
          </w:p>
        </w:tc>
        <w:tc>
          <w:tcPr>
            <w:tcW w:type="dxa" w:w="23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3</w:t>
            </w:r>
          </w:p>
        </w:tc>
        <w:tc>
          <w:tcPr>
            <w:tcW w:type="dxa" w:w="21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features.py, train.py, evaluate.py, leakage documentation</w:t>
            </w:r>
          </w:p>
        </w:tc>
      </w:tr>
      <w:tr>
        <w:trPr>
          <w:tblHeader w:val="false"/>
        </w:trPr>
        <w:tc>
          <w:tcPr>
            <w:tcW w:type="dxa" w:w="23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Sathya Roopan M</w:t>
            </w:r>
          </w:p>
        </w:tc>
        <w:tc>
          <w:tcPr>
            <w:tcW w:type="dxa" w:w="26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Visualisations, dashboard, integration and presentation</w:t>
            </w:r>
          </w:p>
        </w:tc>
        <w:tc>
          <w:tcPr>
            <w:tcW w:type="dxa" w:w="23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2</w:t>
            </w:r>
          </w:p>
        </w:tc>
        <w:tc>
          <w:tcPr>
            <w:tcW w:type="dxa" w:w="21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make_plots.py, optional FastAPI dashboard, demo script, slide deck</w:t>
            </w:r>
          </w:p>
        </w:tc>
      </w:tr>
    </w:tbl>
    <w:p>
      <w:pPr>
        <w:spacing w:after="230" w:before="110"/>
        <w:jc w:val="center"/>
      </w:pPr>
      <w:r>
        <w:rPr>
          <w:rFonts w:ascii="Times New Roman" w:cs="Times New Roman" w:eastAsia="Times New Roman" w:hAnsi="Times New Roman"/>
          <w:i/>
          <w:iCs/>
          <w:sz w:val="19"/>
          <w:szCs w:val="19"/>
        </w:rPr>
        <w:t xml:space="preserve">Suggested ownership — swap if someone is stronger in another area</w:t>
      </w:r>
    </w:p>
    <w:p>
      <w:pPr>
        <w:pStyle w:val="Heading2"/>
        <w:spacing w:after="150" w:before="320"/>
      </w:pPr>
      <w:r>
        <w:t xml:space="preserve">7.2  Karthik Vishal S — Scala Spark and RDD operations</w:t>
      </w:r>
    </w:p>
    <w:p>
      <w:pPr>
        <w:spacing w:after="140" w:line="300"/>
        <w:jc w:val="both"/>
      </w:pPr>
      <w:r>
        <w:rPr>
          <w:rFonts w:ascii="Times New Roman" w:cs="Times New Roman" w:eastAsia="Times New Roman" w:hAnsi="Times New Roman"/>
          <w:sz w:val="22"/>
          <w:szCs w:val="22"/>
        </w:rPr>
        <w:t xml:space="preserve">Owns the module that carries ten of the fifteen marks. Writes the RDD demonstration so that every rubric item produces visible output, and writes the route and carrier analytics that feed the later stages. Must be able to explain, without notes, why reduceByKey forces a shuffle while map does not, and to read a lineage string aloud and say what each stage does.</w:t>
      </w:r>
    </w:p>
    <w:p>
      <w:pPr>
        <w:pStyle w:val="Heading2"/>
        <w:spacing w:after="150" w:before="320"/>
      </w:pPr>
      <w:r>
        <w:t xml:space="preserve">7.3  Darun R G — Ingestion, EDA and execution evidence</w:t>
      </w:r>
    </w:p>
    <w:p>
      <w:pPr>
        <w:spacing w:after="140" w:line="300"/>
        <w:jc w:val="both"/>
      </w:pPr>
      <w:r>
        <w:rPr>
          <w:rFonts w:ascii="Times New Roman" w:cs="Times New Roman" w:eastAsia="Times New Roman" w:hAnsi="Times New Roman"/>
          <w:sz w:val="22"/>
          <w:szCs w:val="22"/>
        </w:rPr>
        <w:t xml:space="preserve">Owns the conversion from CSV to Parquet and the validation counts that go with it: how many rows were read, how many were malformed, how many cancelled flights were removed and why. Owns the partition and caching experiments, and is responsible for capturing the Spark UI evidence during a genuine run rather than reconstructing it afterwards. Also owns the PySpark exploratory analysis.</w:t>
      </w:r>
    </w:p>
    <w:p>
      <w:pPr>
        <w:pStyle w:val="Heading2"/>
        <w:spacing w:after="150" w:before="320"/>
      </w:pPr>
      <w:r>
        <w:t xml:space="preserve">7.4  Abhinav G — PySpark machine learning</w:t>
      </w:r>
    </w:p>
    <w:p>
      <w:pPr>
        <w:spacing w:after="140" w:line="300"/>
        <w:jc w:val="both"/>
      </w:pPr>
      <w:r>
        <w:rPr>
          <w:rFonts w:ascii="Times New Roman" w:cs="Times New Roman" w:eastAsia="Times New Roman" w:hAnsi="Times New Roman"/>
          <w:sz w:val="22"/>
          <w:szCs w:val="22"/>
        </w:rPr>
        <w:t xml:space="preserve">Owns feature construction, the two models and the evaluation. The most important part of this role is the leakage discipline described in Chapter 5: the column classification, the training-period-only historical rates and the temporal split. Must be able to explain why the pre-departure model scores lower than the at-departure model and why that is the expected and correct outcome.</w:t>
      </w:r>
    </w:p>
    <w:p>
      <w:pPr>
        <w:pStyle w:val="Heading2"/>
        <w:spacing w:after="150" w:before="320"/>
      </w:pPr>
      <w:r>
        <w:t xml:space="preserve">7.5  Sathya Roopan M — Visualisations, integration and presentation</w:t>
      </w:r>
    </w:p>
    <w:p>
      <w:pPr>
        <w:spacing w:after="140" w:line="300"/>
        <w:jc w:val="both"/>
      </w:pPr>
      <w:r>
        <w:rPr>
          <w:rFonts w:ascii="Times New Roman" w:cs="Times New Roman" w:eastAsia="Times New Roman" w:hAnsi="Times New Roman"/>
          <w:sz w:val="22"/>
          <w:szCs w:val="22"/>
        </w:rPr>
        <w:t xml:space="preserve">Owns every chart, the demonstration script and the slide deck, and the optional dashboard. Responsible for the end-to-end rehearsal: running the full pipeline from a clean checkout on a laptop that has not been used for development, which is the only reliable way to discover missing steps in the setup instructions.</w:t>
      </w:r>
    </w:p>
    <w:p>
      <w:pPr>
        <w:pageBreakBefore/>
      </w:pPr>
    </w:p>
    <w:p>
      <w:pPr>
        <w:spacing w:after="360" w:before="500"/>
      </w:pPr>
      <w:r>
        <w:rPr>
          <w:rFonts w:ascii="Times New Roman" w:cs="Times New Roman" w:eastAsia="Times New Roman" w:hAnsi="Times New Roman"/>
          <w:b/>
          <w:bCs/>
          <w:sz w:val="34"/>
          <w:szCs w:val="34"/>
        </w:rPr>
        <w:t xml:space="preserve">8.  Phased Schedule</w:t>
      </w:r>
    </w:p>
    <w:p>
      <w:pPr>
        <w:spacing w:after="140" w:line="300"/>
        <w:jc w:val="both"/>
      </w:pPr>
      <w:r>
        <w:rPr>
          <w:rFonts w:ascii="Times New Roman" w:cs="Times New Roman" w:eastAsia="Times New Roman" w:hAnsi="Times New Roman"/>
          <w:sz w:val="22"/>
          <w:szCs w:val="22"/>
        </w:rPr>
        <w:t xml:space="preserve">Phases are ordered by mark weight, so the ten-mark Scala module is working before any effort goes into the optional dashboard. Day numbers are relative; map them onto the actual review date and keep the last two days free for rehearsal.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200"/>
        <w:gridCol w:w="2300"/>
      </w:tblGrid>
      <w:tr>
        <w:trPr>
          <w:tblHeader/>
        </w:trPr>
        <w:tc>
          <w:tcPr>
            <w:tcW w:type="dxa" w:w="1200"/>
            <w:shd w:fill="E7E9EC" w:val="clear"/>
            <w:tcMar>
              <w:top w:type="dxa" w:w="60"/>
              <w:left w:type="dxa" w:w="90"/>
              <w:bottom w:type="dxa" w:w="60"/>
              <w:right w:type="dxa" w:w="90"/>
            </w:tcMar>
          </w:tcPr>
          <w:p>
            <w:pPr>
              <w:jc w:val="center"/>
            </w:pPr>
            <w:r>
              <w:rPr>
                <w:rFonts w:ascii="Times New Roman" w:cs="Times New Roman" w:eastAsia="Times New Roman" w:hAnsi="Times New Roman"/>
                <w:b/>
                <w:bCs/>
                <w:sz w:val="19"/>
                <w:szCs w:val="19"/>
              </w:rPr>
              <w:t xml:space="preserve">Phase</w:t>
            </w:r>
          </w:p>
        </w:tc>
        <w:tc>
          <w:tcPr>
            <w:tcW w:type="dxa" w:w="2600"/>
            <w:shd w:fill="E7E9EC"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Days</w:t>
            </w:r>
          </w:p>
        </w:tc>
        <w:tc>
          <w:tcPr>
            <w:tcW w:type="dxa" w:w="3200"/>
            <w:shd w:fill="E7E9EC"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Work</w:t>
            </w:r>
          </w:p>
        </w:tc>
        <w:tc>
          <w:tcPr>
            <w:tcW w:type="dxa" w:w="2300"/>
            <w:shd w:fill="E7E9EC"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Exit condition</w:t>
            </w:r>
          </w:p>
        </w:tc>
      </w:tr>
      <w:tr>
        <w:trPr>
          <w:tblHeader w:val="false"/>
        </w:trPr>
        <w:tc>
          <w:tcPr>
            <w:tcW w:type="dxa" w:w="1200"/>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0</w:t>
            </w:r>
          </w:p>
        </w:tc>
        <w:tc>
          <w:tcPr>
            <w:tcW w:type="dxa" w:w="26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1</w:t>
            </w:r>
          </w:p>
        </w:tc>
        <w:tc>
          <w:tcPr>
            <w:tcW w:type="dxa" w:w="32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Repository created, Docker image builds, all four members run spark-shell inside the container and print the Spark version</w:t>
            </w:r>
          </w:p>
        </w:tc>
        <w:tc>
          <w:tcPr>
            <w:tcW w:type="dxa" w:w="23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Four screenshots of a working spark-shell, one per laptop</w:t>
            </w:r>
          </w:p>
        </w:tc>
      </w:tr>
      <w:tr>
        <w:trPr>
          <w:tblHeader w:val="false"/>
        </w:trPr>
        <w:tc>
          <w:tcPr>
            <w:tcW w:type="dxa" w:w="1200"/>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1</w:t>
            </w:r>
          </w:p>
        </w:tc>
        <w:tc>
          <w:tcPr>
            <w:tcW w:type="dxa" w:w="26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2–3</w:t>
            </w:r>
          </w:p>
        </w:tc>
        <w:tc>
          <w:tcPr>
            <w:tcW w:type="dxa" w:w="32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Ingest.scala converts the CSV to Parquet with validation counts; 100k sample committed</w:t>
            </w:r>
          </w:p>
        </w:tc>
        <w:tc>
          <w:tcPr>
            <w:tcW w:type="dxa" w:w="23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Parquet exists; row counts reconciled against the CSV</w:t>
            </w:r>
          </w:p>
        </w:tc>
      </w:tr>
      <w:tr>
        <w:trPr>
          <w:tblHeader w:val="false"/>
        </w:trPr>
        <w:tc>
          <w:tcPr>
            <w:tcW w:type="dxa" w:w="1200"/>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2</w:t>
            </w:r>
          </w:p>
        </w:tc>
        <w:tc>
          <w:tcPr>
            <w:tcW w:type="dxa" w:w="26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3–5</w:t>
            </w:r>
          </w:p>
        </w:tc>
        <w:tc>
          <w:tcPr>
            <w:tcW w:type="dxa" w:w="32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RddDemo.scala and RouteAnalytics.scala complete, all rubric items logged</w:t>
            </w:r>
          </w:p>
        </w:tc>
        <w:tc>
          <w:tcPr>
            <w:tcW w:type="dxa" w:w="23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outputs/logs/ contains lineage, partitions and timings; Spark UI screenshots captured</w:t>
            </w:r>
          </w:p>
        </w:tc>
      </w:tr>
      <w:tr>
        <w:trPr>
          <w:tblHeader w:val="false"/>
        </w:trPr>
        <w:tc>
          <w:tcPr>
            <w:tcW w:type="dxa" w:w="1200"/>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3</w:t>
            </w:r>
          </w:p>
        </w:tc>
        <w:tc>
          <w:tcPr>
            <w:tcW w:type="dxa" w:w="26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5–6</w:t>
            </w:r>
          </w:p>
        </w:tc>
        <w:tc>
          <w:tcPr>
            <w:tcW w:type="dxa" w:w="32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PySpark EDA producing distributions, trends and missingness</w:t>
            </w:r>
          </w:p>
        </w:tc>
        <w:tc>
          <w:tcPr>
            <w:tcW w:type="dxa" w:w="23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outputs/ JSON files feed the chart script</w:t>
            </w:r>
          </w:p>
        </w:tc>
      </w:tr>
      <w:tr>
        <w:trPr>
          <w:tblHeader w:val="false"/>
        </w:trPr>
        <w:tc>
          <w:tcPr>
            <w:tcW w:type="dxa" w:w="1200"/>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4</w:t>
            </w:r>
          </w:p>
        </w:tc>
        <w:tc>
          <w:tcPr>
            <w:tcW w:type="dxa" w:w="26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6–8</w:t>
            </w:r>
          </w:p>
        </w:tc>
        <w:tc>
          <w:tcPr>
            <w:tcW w:type="dxa" w:w="32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Feature build, both models trained, metrics computed on held-out data</w:t>
            </w:r>
          </w:p>
        </w:tc>
        <w:tc>
          <w:tcPr>
            <w:tcW w:type="dxa" w:w="23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metrics.json with honest numbers for Model A and Model B</w:t>
            </w:r>
          </w:p>
        </w:tc>
      </w:tr>
      <w:tr>
        <w:trPr>
          <w:tblHeader w:val="false"/>
        </w:trPr>
        <w:tc>
          <w:tcPr>
            <w:tcW w:type="dxa" w:w="1200"/>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5</w:t>
            </w:r>
          </w:p>
        </w:tc>
        <w:tc>
          <w:tcPr>
            <w:tcW w:type="dxa" w:w="26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8–9</w:t>
            </w:r>
          </w:p>
        </w:tc>
        <w:tc>
          <w:tcPr>
            <w:tcW w:type="dxa" w:w="32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All charts generated from real outputs</w:t>
            </w:r>
          </w:p>
        </w:tc>
        <w:tc>
          <w:tcPr>
            <w:tcW w:type="dxa" w:w="23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outputs/plots/ populated</w:t>
            </w:r>
          </w:p>
        </w:tc>
      </w:tr>
      <w:tr>
        <w:trPr>
          <w:tblHeader w:val="false"/>
        </w:trPr>
        <w:tc>
          <w:tcPr>
            <w:tcW w:type="dxa" w:w="1200"/>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6</w:t>
            </w:r>
          </w:p>
        </w:tc>
        <w:tc>
          <w:tcPr>
            <w:tcW w:type="dxa" w:w="26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9–10</w:t>
            </w:r>
          </w:p>
        </w:tc>
        <w:tc>
          <w:tcPr>
            <w:tcW w:type="dxa" w:w="32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Documentation, optional dashboard, full rehearsal from a clean clone</w:t>
            </w:r>
          </w:p>
        </w:tc>
        <w:tc>
          <w:tcPr>
            <w:tcW w:type="dxa" w:w="23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A member who did not develop a component can still run and explain it</w:t>
            </w:r>
          </w:p>
        </w:tc>
      </w:tr>
    </w:tbl>
    <w:p>
      <w:pPr>
        <w:spacing w:after="230" w:before="110"/>
        <w:jc w:val="center"/>
      </w:pPr>
      <w:r>
        <w:rPr>
          <w:rFonts w:ascii="Times New Roman" w:cs="Times New Roman" w:eastAsia="Times New Roman" w:hAnsi="Times New Roman"/>
          <w:i/>
          <w:iCs/>
          <w:sz w:val="19"/>
          <w:szCs w:val="19"/>
        </w:rPr>
        <w:t xml:space="preserve">Phase plan ordered by mark weight</w:t>
      </w:r>
    </w:p>
    <w:p>
      <w:pPr>
        <w:pBdr>
          <w:top w:val="single" w:color="E2CF86" w:sz="4"/>
          <w:bottom w:val="single" w:color="E2CF86" w:sz="4"/>
          <w:left w:val="single" w:color="E2CF86" w:sz="4"/>
          <w:right w:val="single" w:color="E2CF86" w:sz="4"/>
        </w:pBdr>
        <w:shd w:fill="FFF8E1" w:val="clear"/>
        <w:spacing w:after="170" w:before="90" w:line="280"/>
        <w:ind w:left="170" w:right="170"/>
        <w:jc w:val="both"/>
      </w:pPr>
      <w:r>
        <w:rPr>
          <w:rFonts w:ascii="Times New Roman" w:cs="Times New Roman" w:eastAsia="Times New Roman" w:hAnsi="Times New Roman"/>
          <w:b/>
          <w:bCs/>
          <w:i/>
          <w:iCs/>
          <w:sz w:val="21"/>
          <w:szCs w:val="21"/>
        </w:rPr>
        <w:t xml:space="preserve">Note: </w:t>
      </w:r>
      <w:r>
        <w:rPr>
          <w:rFonts w:ascii="Times New Roman" w:cs="Times New Roman" w:eastAsia="Times New Roman" w:hAnsi="Times New Roman"/>
          <w:i/>
          <w:iCs/>
          <w:sz w:val="21"/>
          <w:szCs w:val="21"/>
        </w:rPr>
        <w:t xml:space="preserve">If the schedule slips, cut the dashboard first, then the Random Forest comparison, then the optional HBase integration. Never cut any part of the Scala RDD module — it is ten of the fifteen marks and nothing else compensates for it.</w:t>
      </w:r>
    </w:p>
    <w:p>
      <w:pPr>
        <w:pageBreakBefore/>
      </w:pPr>
    </w:p>
    <w:p>
      <w:pPr>
        <w:spacing w:after="360" w:before="500"/>
      </w:pPr>
      <w:r>
        <w:rPr>
          <w:rFonts w:ascii="Times New Roman" w:cs="Times New Roman" w:eastAsia="Times New Roman" w:hAnsi="Times New Roman"/>
          <w:b/>
          <w:bCs/>
          <w:sz w:val="34"/>
          <w:szCs w:val="34"/>
        </w:rPr>
        <w:t xml:space="preserve">9.  Rubric Mapping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1300"/>
        <w:gridCol w:w="3200"/>
      </w:tblGrid>
      <w:tr>
        <w:trPr>
          <w:tblHeader/>
        </w:trPr>
        <w:tc>
          <w:tcPr>
            <w:tcW w:type="dxa" w:w="1100"/>
            <w:shd w:fill="E7E9EC" w:val="clear"/>
            <w:tcMar>
              <w:top w:type="dxa" w:w="60"/>
              <w:left w:type="dxa" w:w="90"/>
              <w:bottom w:type="dxa" w:w="60"/>
              <w:right w:type="dxa" w:w="90"/>
            </w:tcMar>
          </w:tcPr>
          <w:p>
            <w:pPr>
              <w:jc w:val="center"/>
            </w:pPr>
            <w:r>
              <w:rPr>
                <w:rFonts w:ascii="Times New Roman" w:cs="Times New Roman" w:eastAsia="Times New Roman" w:hAnsi="Times New Roman"/>
                <w:b/>
                <w:bCs/>
                <w:sz w:val="19"/>
                <w:szCs w:val="19"/>
              </w:rPr>
              <w:t xml:space="preserve">Marks</w:t>
            </w:r>
          </w:p>
        </w:tc>
        <w:tc>
          <w:tcPr>
            <w:tcW w:type="dxa" w:w="3600"/>
            <w:shd w:fill="E7E9EC"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Requirement</w:t>
            </w:r>
          </w:p>
        </w:tc>
        <w:tc>
          <w:tcPr>
            <w:tcW w:type="dxa" w:w="1300"/>
            <w:shd w:fill="E7E9EC"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Owner</w:t>
            </w:r>
          </w:p>
        </w:tc>
        <w:tc>
          <w:tcPr>
            <w:tcW w:type="dxa" w:w="3200"/>
            <w:shd w:fill="E7E9EC"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Where it is demonstrated</w:t>
            </w:r>
          </w:p>
        </w:tc>
      </w:tr>
      <w:tr>
        <w:trPr>
          <w:tblHeader w:val="false"/>
        </w:trPr>
        <w:tc>
          <w:tcPr>
            <w:tcW w:type="dxa" w:w="1100"/>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10</w:t>
            </w:r>
          </w:p>
        </w:tc>
        <w:tc>
          <w:tcPr>
            <w:tcW w:type="dxa" w:w="36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Scala + Spark RDD processing: creation, three transformations, two actions, key-value operations, partitions, lineage, DAG, fault tolerance, cache/persist</w:t>
            </w:r>
          </w:p>
        </w:tc>
        <w:tc>
          <w:tcPr>
            <w:tcW w:type="dxa" w:w="13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Karthik, Darun</w:t>
            </w:r>
          </w:p>
        </w:tc>
        <w:tc>
          <w:tcPr>
            <w:tcW w:type="dxa" w:w="32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scala/src/main/scala/RddDemo.scala, outputs/logs/</w:t>
            </w:r>
          </w:p>
        </w:tc>
      </w:tr>
      <w:tr>
        <w:trPr>
          <w:tblHeader w:val="false"/>
        </w:trPr>
        <w:tc>
          <w:tcPr>
            <w:tcW w:type="dxa" w:w="1100"/>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3</w:t>
            </w:r>
          </w:p>
        </w:tc>
        <w:tc>
          <w:tcPr>
            <w:tcW w:type="dxa" w:w="36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PySpark ML: preprocessing, features, train/test split, model, prediction, evaluation</w:t>
            </w:r>
          </w:p>
        </w:tc>
        <w:tc>
          <w:tcPr>
            <w:tcW w:type="dxa" w:w="13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Abhinav</w:t>
            </w:r>
          </w:p>
        </w:tc>
        <w:tc>
          <w:tcPr>
            <w:tcW w:type="dxa" w:w="32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pyspark/features.py, train.py, evaluate.py, outputs/ml/</w:t>
            </w:r>
          </w:p>
        </w:tc>
      </w:tr>
      <w:tr>
        <w:trPr>
          <w:tblHeader w:val="false"/>
        </w:trPr>
        <w:tc>
          <w:tcPr>
            <w:tcW w:type="dxa" w:w="1100"/>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2</w:t>
            </w:r>
          </w:p>
        </w:tc>
        <w:tc>
          <w:tcPr>
            <w:tcW w:type="dxa" w:w="36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Visualisation and results with analytical interpretation</w:t>
            </w:r>
          </w:p>
        </w:tc>
        <w:tc>
          <w:tcPr>
            <w:tcW w:type="dxa" w:w="13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Sathya</w:t>
            </w:r>
          </w:p>
        </w:tc>
        <w:tc>
          <w:tcPr>
            <w:tcW w:type="dxa" w:w="32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viz/make_plots.py, outputs/plots/, report discussion</w:t>
            </w:r>
          </w:p>
        </w:tc>
      </w:tr>
      <w:tr>
        <w:trPr>
          <w:tblHeader w:val="false"/>
        </w:trPr>
        <w:tc>
          <w:tcPr>
            <w:tcW w:type="dxa" w:w="1100"/>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15</w:t>
            </w:r>
          </w:p>
        </w:tc>
        <w:tc>
          <w:tcPr>
            <w:tcW w:type="dxa" w:w="36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Total</w:t>
            </w:r>
          </w:p>
        </w:tc>
        <w:tc>
          <w:tcPr>
            <w:tcW w:type="dxa" w:w="13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All</w:t>
            </w:r>
          </w:p>
        </w:tc>
        <w:tc>
          <w:tcPr>
            <w:tcW w:type="dxa" w:w="32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docs/RUBRIC_CHECKLIST.md</w:t>
            </w:r>
          </w:p>
        </w:tc>
      </w:tr>
    </w:tbl>
    <w:p>
      <w:pPr>
        <w:spacing w:after="230" w:before="110"/>
        <w:jc w:val="center"/>
      </w:pPr>
      <w:r>
        <w:rPr>
          <w:rFonts w:ascii="Times New Roman" w:cs="Times New Roman" w:eastAsia="Times New Roman" w:hAnsi="Times New Roman"/>
          <w:i/>
          <w:iCs/>
          <w:sz w:val="19"/>
          <w:szCs w:val="19"/>
        </w:rPr>
        <w:t xml:space="preserve">Fifteen marks mapped to owners and artefacts</w:t>
      </w:r>
    </w:p>
    <w:p>
      <w:pPr>
        <w:pStyle w:val="Heading2"/>
        <w:spacing w:after="150" w:before="320"/>
      </w:pPr>
      <w:r>
        <w:t xml:space="preserve">9.1  The fifteen-minute analysis question</w:t>
      </w:r>
    </w:p>
    <w:p>
      <w:pPr>
        <w:spacing w:after="140" w:line="300"/>
        <w:jc w:val="both"/>
      </w:pPr>
      <w:r>
        <w:rPr>
          <w:rFonts w:ascii="Times New Roman" w:cs="Times New Roman" w:eastAsia="Times New Roman" w:hAnsi="Times New Roman"/>
          <w:sz w:val="22"/>
          <w:szCs w:val="22"/>
        </w:rPr>
        <w:t xml:space="preserve">The faculty expects the team to answer a new analytical question during the review. The safest preparation is a small set of parameterised queries that run against the Parquet file in seconds, so that a question can be answered live rather than from a precomputed file.</w:t>
      </w:r>
    </w:p>
    <w:p>
      <w:pPr>
        <w:pStyle w:val="ListParagraph"/>
        <w:numPr>
          <w:ilvl w:val="0"/>
          <w:numId w:val="1"/>
        </w:numPr>
        <w:spacing w:after="90" w:line="290"/>
      </w:pPr>
      <w:r>
        <w:rPr>
          <w:rFonts w:ascii="Times New Roman" w:cs="Times New Roman" w:eastAsia="Times New Roman" w:hAnsi="Times New Roman"/>
          <w:sz w:val="22"/>
          <w:szCs w:val="22"/>
        </w:rPr>
        <w:t xml:space="preserve">Top N routes by delay rate, with N and the month as parameters.</w:t>
      </w:r>
    </w:p>
    <w:p>
      <w:pPr>
        <w:pStyle w:val="ListParagraph"/>
        <w:numPr>
          <w:ilvl w:val="0"/>
          <w:numId w:val="1"/>
        </w:numPr>
        <w:spacing w:after="90" w:line="290"/>
      </w:pPr>
      <w:r>
        <w:rPr>
          <w:rFonts w:ascii="Times New Roman" w:cs="Times New Roman" w:eastAsia="Times New Roman" w:hAnsi="Times New Roman"/>
          <w:sz w:val="22"/>
          <w:szCs w:val="22"/>
        </w:rPr>
        <w:t xml:space="preserve">Delay distribution for a named carrier.</w:t>
      </w:r>
    </w:p>
    <w:p>
      <w:pPr>
        <w:pStyle w:val="ListParagraph"/>
        <w:numPr>
          <w:ilvl w:val="0"/>
          <w:numId w:val="1"/>
        </w:numPr>
        <w:spacing w:after="90" w:line="290"/>
      </w:pPr>
      <w:r>
        <w:rPr>
          <w:rFonts w:ascii="Times New Roman" w:cs="Times New Roman" w:eastAsia="Times New Roman" w:hAnsi="Times New Roman"/>
          <w:sz w:val="22"/>
          <w:szCs w:val="22"/>
        </w:rPr>
        <w:t xml:space="preserve">Busiest departure hour at a named airport.</w:t>
      </w:r>
    </w:p>
    <w:p>
      <w:pPr>
        <w:pStyle w:val="ListParagraph"/>
        <w:numPr>
          <w:ilvl w:val="0"/>
          <w:numId w:val="1"/>
        </w:numPr>
        <w:spacing w:after="90" w:line="290"/>
      </w:pPr>
      <w:r>
        <w:rPr>
          <w:rFonts w:ascii="Times New Roman" w:cs="Times New Roman" w:eastAsia="Times New Roman" w:hAnsi="Times New Roman"/>
          <w:sz w:val="22"/>
          <w:szCs w:val="22"/>
        </w:rPr>
        <w:t xml:space="preserve">Comparison of two carriers on the same route.</w:t>
      </w:r>
    </w:p>
    <w:p>
      <w:pPr>
        <w:pStyle w:val="ListParagraph"/>
        <w:numPr>
          <w:ilvl w:val="0"/>
          <w:numId w:val="1"/>
        </w:numPr>
        <w:spacing w:after="90" w:line="290"/>
      </w:pPr>
      <w:r>
        <w:rPr>
          <w:rFonts w:ascii="Times New Roman" w:cs="Times New Roman" w:eastAsia="Times New Roman" w:hAnsi="Times New Roman"/>
          <w:sz w:val="22"/>
          <w:szCs w:val="22"/>
        </w:rPr>
        <w:t xml:space="preserve">Cancellation rate for a given month.</w:t>
      </w:r>
    </w:p>
    <w:p>
      <w:pPr>
        <w:spacing w:after="140" w:line="300"/>
        <w:jc w:val="both"/>
      </w:pPr>
      <w:r>
        <w:rPr>
          <w:rFonts w:ascii="Times New Roman" w:cs="Times New Roman" w:eastAsia="Times New Roman" w:hAnsi="Times New Roman"/>
          <w:sz w:val="22"/>
          <w:szCs w:val="22"/>
        </w:rPr>
        <w:t xml:space="preserve">Rehearse each of these at least once before the review and record roughly how long each takes, so that nobody promises an answer in ten seconds that actually takes two minutes.</w:t>
      </w:r>
    </w:p>
    <w:p>
      <w:pPr>
        <w:pageBreakBefore/>
      </w:pPr>
    </w:p>
    <w:p>
      <w:pPr>
        <w:spacing w:after="360" w:before="500"/>
      </w:pPr>
      <w:r>
        <w:rPr>
          <w:rFonts w:ascii="Times New Roman" w:cs="Times New Roman" w:eastAsia="Times New Roman" w:hAnsi="Times New Roman"/>
          <w:b/>
          <w:bCs/>
          <w:sz w:val="34"/>
          <w:szCs w:val="34"/>
        </w:rPr>
        <w:t xml:space="preserve">10.  Risks and Fallbacks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00"/>
      </w:tblGrid>
      <w:tr>
        <w:trPr>
          <w:tblHeader/>
        </w:trPr>
        <w:tc>
          <w:tcPr>
            <w:tcW w:type="dxa" w:w="2800"/>
            <w:shd w:fill="E7E9EC"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Risk</w:t>
            </w:r>
          </w:p>
        </w:tc>
        <w:tc>
          <w:tcPr>
            <w:tcW w:type="dxa" w:w="3200"/>
            <w:shd w:fill="E7E9EC"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Early warning sign</w:t>
            </w:r>
          </w:p>
        </w:tc>
        <w:tc>
          <w:tcPr>
            <w:tcW w:type="dxa" w:w="3000"/>
            <w:shd w:fill="E7E9EC"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Fallback</w:t>
            </w:r>
          </w:p>
        </w:tc>
      </w:tr>
      <w:tr>
        <w:trPr>
          <w:tblHeader w:val="false"/>
        </w:trPr>
        <w:tc>
          <w:tcPr>
            <w:tcW w:type="dxa" w:w="28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Docker will not run on one laptop</w:t>
            </w:r>
          </w:p>
        </w:tc>
        <w:tc>
          <w:tcPr>
            <w:tcW w:type="dxa" w:w="32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Image fails to build in Phase 0</w:t>
            </w:r>
          </w:p>
        </w:tc>
        <w:tc>
          <w:tcPr>
            <w:tcW w:type="dxa" w:w="30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That member runs natively with the documented Linux steps; the WSL2 member uses Docker Desktop with the WSL2 backend</w:t>
            </w:r>
          </w:p>
        </w:tc>
      </w:tr>
      <w:tr>
        <w:trPr>
          <w:tblHeader w:val="false"/>
        </w:trPr>
        <w:tc>
          <w:tcPr>
            <w:tcW w:type="dxa" w:w="28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Spark runs out of memory on the full dataset</w:t>
            </w:r>
          </w:p>
        </w:tc>
        <w:tc>
          <w:tcPr>
            <w:tcW w:type="dxa" w:w="32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Executor lost, or GC overhead errors</w:t>
            </w:r>
          </w:p>
        </w:tc>
        <w:tc>
          <w:tcPr>
            <w:tcW w:type="dxa" w:w="30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Reduce shuffle partitions, raise driver memory, or process a documented fraction and label every figure accordingly</w:t>
            </w:r>
          </w:p>
        </w:tc>
      </w:tr>
      <w:tr>
        <w:trPr>
          <w:tblHeader w:val="false"/>
        </w:trPr>
        <w:tc>
          <w:tcPr>
            <w:tcW w:type="dxa" w:w="28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The ML model performs poorly</w:t>
            </w:r>
          </w:p>
        </w:tc>
        <w:tc>
          <w:tcPr>
            <w:tcW w:type="dxa" w:w="32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PR-AUC close to the positive class rate</w:t>
            </w:r>
          </w:p>
        </w:tc>
        <w:tc>
          <w:tcPr>
            <w:tcW w:type="dxa" w:w="30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Report it honestly and analyse why; weather is the dominant delay cause and is absent from the pre-departure features</w:t>
            </w:r>
          </w:p>
        </w:tc>
      </w:tr>
      <w:tr>
        <w:trPr>
          <w:tblHeader w:val="false"/>
        </w:trPr>
        <w:tc>
          <w:tcPr>
            <w:tcW w:type="dxa" w:w="28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Version mismatch between members</w:t>
            </w:r>
          </w:p>
        </w:tc>
        <w:tc>
          <w:tcPr>
            <w:tcW w:type="dxa" w:w="32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A script works on one laptop and not another</w:t>
            </w:r>
          </w:p>
        </w:tc>
        <w:tc>
          <w:tcPr>
            <w:tcW w:type="dxa" w:w="30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Everyone rebuilds from the same pinned image tag; no local pip or sbt upgrades</w:t>
            </w:r>
          </w:p>
        </w:tc>
      </w:tr>
      <w:tr>
        <w:trPr>
          <w:tblHeader w:val="false"/>
        </w:trPr>
        <w:tc>
          <w:tcPr>
            <w:tcW w:type="dxa" w:w="28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Scala build is slow or unfamiliar</w:t>
            </w:r>
          </w:p>
        </w:tc>
        <w:tc>
          <w:tcPr>
            <w:tcW w:type="dxa" w:w="32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sbt assembly takes a long time or fails</w:t>
            </w:r>
          </w:p>
        </w:tc>
        <w:tc>
          <w:tcPr>
            <w:tcW w:type="dxa" w:w="30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Fall back to spark-shell with :load for the demonstration; the rubric requires Scala RDD operations, not a packaged JAR</w:t>
            </w:r>
          </w:p>
        </w:tc>
      </w:tr>
      <w:tr>
        <w:trPr>
          <w:tblHeader w:val="false"/>
        </w:trPr>
        <w:tc>
          <w:tcPr>
            <w:tcW w:type="dxa" w:w="28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Spark UI unavailable after the job ends</w:t>
            </w:r>
          </w:p>
        </w:tc>
        <w:tc>
          <w:tcPr>
            <w:tcW w:type="dxa" w:w="32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Port 4040 closed once the application exits</w:t>
            </w:r>
          </w:p>
        </w:tc>
        <w:tc>
          <w:tcPr>
            <w:tcW w:type="dxa" w:w="30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Enable the Spark event log and start the history server, or capture screenshots during a long-running job</w:t>
            </w:r>
          </w:p>
        </w:tc>
      </w:tr>
    </w:tbl>
    <w:p>
      <w:pPr>
        <w:spacing w:after="230" w:before="110"/>
        <w:jc w:val="center"/>
      </w:pPr>
      <w:r>
        <w:rPr>
          <w:rFonts w:ascii="Times New Roman" w:cs="Times New Roman" w:eastAsia="Times New Roman" w:hAnsi="Times New Roman"/>
          <w:i/>
          <w:iCs/>
          <w:sz w:val="19"/>
          <w:szCs w:val="19"/>
        </w:rPr>
        <w:t xml:space="preserve">Risk register with concrete fallbacks</w:t>
      </w:r>
    </w:p>
    <w:p>
      <w:pPr>
        <w:pageBreakBefore/>
      </w:pPr>
    </w:p>
    <w:p>
      <w:pPr>
        <w:spacing w:after="360" w:before="500"/>
      </w:pPr>
      <w:r>
        <w:rPr>
          <w:rFonts w:ascii="Times New Roman" w:cs="Times New Roman" w:eastAsia="Times New Roman" w:hAnsi="Times New Roman"/>
          <w:b/>
          <w:bCs/>
          <w:sz w:val="34"/>
          <w:szCs w:val="34"/>
        </w:rPr>
        <w:t xml:space="preserve">11.  Immediate Next Actions</w:t>
      </w:r>
    </w:p>
    <w:p>
      <w:pPr>
        <w:spacing w:after="140" w:line="300"/>
        <w:jc w:val="both"/>
      </w:pPr>
      <w:r>
        <w:rPr>
          <w:rFonts w:ascii="Times New Roman" w:cs="Times New Roman" w:eastAsia="Times New Roman" w:hAnsi="Times New Roman"/>
          <w:sz w:val="22"/>
          <w:szCs w:val="22"/>
        </w:rPr>
        <w:t xml:space="preserve">The first three items should be completed before the team meets again, because everything else depends on them.</w:t>
      </w:r>
    </w:p>
    <w:p>
      <w:pPr>
        <w:pStyle w:val="ListParagraph"/>
        <w:numPr>
          <w:ilvl w:val="0"/>
          <w:numId w:val="2"/>
        </w:numPr>
        <w:spacing w:after="90" w:line="290"/>
      </w:pPr>
      <w:r>
        <w:rPr>
          <w:rFonts w:ascii="Times New Roman" w:cs="Times New Roman" w:eastAsia="Times New Roman" w:hAnsi="Times New Roman"/>
          <w:sz w:val="22"/>
          <w:szCs w:val="22"/>
        </w:rPr>
        <w:t xml:space="preserve">Create the Git repository and push the folder structure from Chapter 3, with the .gitignore in place before any data file is added. Nominate one member as the repository owner.</w:t>
      </w:r>
    </w:p>
    <w:p>
      <w:pPr>
        <w:pStyle w:val="ListParagraph"/>
        <w:numPr>
          <w:ilvl w:val="0"/>
          <w:numId w:val="2"/>
        </w:numPr>
        <w:spacing w:after="90" w:line="290"/>
      </w:pPr>
      <w:r>
        <w:rPr>
          <w:rFonts w:ascii="Times New Roman" w:cs="Times New Roman" w:eastAsia="Times New Roman" w:hAnsi="Times New Roman"/>
          <w:sz w:val="22"/>
          <w:szCs w:val="22"/>
        </w:rPr>
        <w:t xml:space="preserve">Choose one exact Spark patch version, build the Docker image, and have all four members confirm that spark-shell starts and prints that version. Do not proceed until all four have confirmed.</w:t>
      </w:r>
    </w:p>
    <w:p>
      <w:pPr>
        <w:pStyle w:val="ListParagraph"/>
        <w:numPr>
          <w:ilvl w:val="0"/>
          <w:numId w:val="2"/>
        </w:numPr>
        <w:spacing w:after="90" w:line="290"/>
      </w:pPr>
      <w:r>
        <w:rPr>
          <w:rFonts w:ascii="Times New Roman" w:cs="Times New Roman" w:eastAsia="Times New Roman" w:hAnsi="Times New Roman"/>
          <w:sz w:val="22"/>
          <w:szCs w:val="22"/>
        </w:rPr>
        <w:t xml:space="preserve">Locate the cleaned CSV from Review 1 and confirm its record count and column names, since every later stage depends on the schema. Generate the 100,000-row sample and commit it.</w:t>
      </w:r>
    </w:p>
    <w:p>
      <w:pPr>
        <w:pStyle w:val="ListParagraph"/>
        <w:numPr>
          <w:ilvl w:val="0"/>
          <w:numId w:val="2"/>
        </w:numPr>
        <w:spacing w:after="90" w:line="290"/>
      </w:pPr>
      <w:r>
        <w:rPr>
          <w:rFonts w:ascii="Times New Roman" w:cs="Times New Roman" w:eastAsia="Times New Roman" w:hAnsi="Times New Roman"/>
          <w:sz w:val="22"/>
          <w:szCs w:val="22"/>
        </w:rPr>
        <w:t xml:space="preserve">Write Ingest.scala and produce the Parquet file, with the validation counts recorded in the log.</w:t>
      </w:r>
    </w:p>
    <w:p>
      <w:pPr>
        <w:pStyle w:val="ListParagraph"/>
        <w:numPr>
          <w:ilvl w:val="0"/>
          <w:numId w:val="2"/>
        </w:numPr>
        <w:spacing w:after="90" w:line="290"/>
      </w:pPr>
      <w:r>
        <w:rPr>
          <w:rFonts w:ascii="Times New Roman" w:cs="Times New Roman" w:eastAsia="Times New Roman" w:hAnsi="Times New Roman"/>
          <w:sz w:val="22"/>
          <w:szCs w:val="22"/>
        </w:rPr>
        <w:t xml:space="preserve">Begin the RDD module. This is the critical path.</w:t>
      </w:r>
    </w:p>
    <w:p>
      <w:pPr>
        <w:pStyle w:val="Heading2"/>
        <w:spacing w:after="150" w:before="320"/>
      </w:pPr>
      <w:r>
        <w:t xml:space="preserve">11.1  Confirmation checklist before the review</w:t>
      </w:r>
    </w:p>
    <w:p>
      <w:pPr>
        <w:pStyle w:val="ListParagraph"/>
        <w:numPr>
          <w:ilvl w:val="0"/>
          <w:numId w:val="1"/>
        </w:numPr>
        <w:spacing w:after="90" w:line="290"/>
      </w:pPr>
      <w:r>
        <w:rPr>
          <w:rFonts w:ascii="Times New Roman" w:cs="Times New Roman" w:eastAsia="Times New Roman" w:hAnsi="Times New Roman"/>
          <w:sz w:val="22"/>
          <w:szCs w:val="22"/>
        </w:rPr>
        <w:t xml:space="preserve">All four laptops run the full pipeline from a clean clone without manual edits.</w:t>
      </w:r>
    </w:p>
    <w:p>
      <w:pPr>
        <w:pStyle w:val="ListParagraph"/>
        <w:numPr>
          <w:ilvl w:val="0"/>
          <w:numId w:val="1"/>
        </w:numPr>
        <w:spacing w:after="90" w:line="290"/>
      </w:pPr>
      <w:r>
        <w:rPr>
          <w:rFonts w:ascii="Times New Roman" w:cs="Times New Roman" w:eastAsia="Times New Roman" w:hAnsi="Times New Roman"/>
          <w:sz w:val="22"/>
          <w:szCs w:val="22"/>
        </w:rPr>
        <w:t xml:space="preserve">Every number quoted in the slides traces back to a file in outputs/.</w:t>
      </w:r>
    </w:p>
    <w:p>
      <w:pPr>
        <w:pStyle w:val="ListParagraph"/>
        <w:numPr>
          <w:ilvl w:val="0"/>
          <w:numId w:val="1"/>
        </w:numPr>
        <w:spacing w:after="90" w:line="290"/>
      </w:pPr>
      <w:r>
        <w:rPr>
          <w:rFonts w:ascii="Times New Roman" w:cs="Times New Roman" w:eastAsia="Times New Roman" w:hAnsi="Times New Roman"/>
          <w:sz w:val="22"/>
          <w:szCs w:val="22"/>
        </w:rPr>
        <w:t xml:space="preserve">The lineage, partition and timing logs were produced by a real run and are present in the repository.</w:t>
      </w:r>
    </w:p>
    <w:p>
      <w:pPr>
        <w:pStyle w:val="ListParagraph"/>
        <w:numPr>
          <w:ilvl w:val="0"/>
          <w:numId w:val="1"/>
        </w:numPr>
        <w:spacing w:after="90" w:line="290"/>
      </w:pPr>
      <w:r>
        <w:rPr>
          <w:rFonts w:ascii="Times New Roman" w:cs="Times New Roman" w:eastAsia="Times New Roman" w:hAnsi="Times New Roman"/>
          <w:sz w:val="22"/>
          <w:szCs w:val="22"/>
        </w:rPr>
        <w:t xml:space="preserve">Spark UI screenshots are from genuine executions, with the job name and timestamp visible.</w:t>
      </w:r>
    </w:p>
    <w:p>
      <w:pPr>
        <w:pStyle w:val="ListParagraph"/>
        <w:numPr>
          <w:ilvl w:val="0"/>
          <w:numId w:val="1"/>
        </w:numPr>
        <w:spacing w:after="90" w:line="290"/>
      </w:pPr>
      <w:r>
        <w:rPr>
          <w:rFonts w:ascii="Times New Roman" w:cs="Times New Roman" w:eastAsia="Times New Roman" w:hAnsi="Times New Roman"/>
          <w:sz w:val="22"/>
          <w:szCs w:val="22"/>
        </w:rPr>
        <w:t xml:space="preserve">Model metrics come from held-out test data, and the training and test row counts are stated.</w:t>
      </w:r>
    </w:p>
    <w:p>
      <w:pPr>
        <w:pStyle w:val="ListParagraph"/>
        <w:numPr>
          <w:ilvl w:val="0"/>
          <w:numId w:val="1"/>
        </w:numPr>
        <w:spacing w:after="90" w:line="290"/>
      </w:pPr>
      <w:r>
        <w:rPr>
          <w:rFonts w:ascii="Times New Roman" w:cs="Times New Roman" w:eastAsia="Times New Roman" w:hAnsi="Times New Roman"/>
          <w:sz w:val="22"/>
          <w:szCs w:val="22"/>
        </w:rPr>
        <w:t xml:space="preserve">Every chart regenerates from the committed scripts.</w:t>
      </w:r>
    </w:p>
    <w:p>
      <w:pPr>
        <w:pStyle w:val="ListParagraph"/>
        <w:numPr>
          <w:ilvl w:val="0"/>
          <w:numId w:val="1"/>
        </w:numPr>
        <w:spacing w:after="90" w:line="290"/>
      </w:pPr>
      <w:r>
        <w:rPr>
          <w:rFonts w:ascii="Times New Roman" w:cs="Times New Roman" w:eastAsia="Times New Roman" w:hAnsi="Times New Roman"/>
          <w:sz w:val="22"/>
          <w:szCs w:val="22"/>
        </w:rPr>
        <w:t xml:space="preserve">Each member can answer a question about a component they did not build.</w:t>
      </w:r>
    </w:p>
    <w:p>
      <w:pPr>
        <w:pBdr>
          <w:top w:val="single" w:color="E3A49B" w:sz="4"/>
          <w:bottom w:val="single" w:color="E3A49B" w:sz="4"/>
          <w:left w:val="single" w:color="E3A49B" w:sz="4"/>
          <w:right w:val="single" w:color="E3A49B" w:sz="4"/>
        </w:pBdr>
        <w:shd w:fill="FDECEA" w:val="clear"/>
        <w:spacing w:after="170" w:before="90" w:line="280"/>
        <w:ind w:left="170" w:right="170"/>
        <w:jc w:val="both"/>
      </w:pPr>
      <w:r>
        <w:rPr>
          <w:rFonts w:ascii="Times New Roman" w:cs="Times New Roman" w:eastAsia="Times New Roman" w:hAnsi="Times New Roman"/>
          <w:b/>
          <w:bCs/>
          <w:i/>
          <w:iCs/>
          <w:sz w:val="21"/>
          <w:szCs w:val="21"/>
        </w:rPr>
        <w:t xml:space="preserve">Important: </w:t>
      </w:r>
      <w:r>
        <w:rPr>
          <w:rFonts w:ascii="Times New Roman" w:cs="Times New Roman" w:eastAsia="Times New Roman" w:hAnsi="Times New Roman"/>
          <w:i/>
          <w:iCs/>
          <w:sz w:val="21"/>
          <w:szCs w:val="21"/>
        </w:rPr>
        <w:t xml:space="preserve">Nothing in the report or the slides should be presented as executed unless it genuinely ran. If a component is incomplete at review time, label it as such. A clearly stated limitation costs far less than a claim the examiner can disprove by asking one follow-up question.</w:t>
      </w:r>
    </w:p>
    <w:sectPr>
      <w:headerReference w:type="default" r:id="rId7"/>
      <w:headerReference w:type="first" r:id="rId8"/>
      <w:footerReference w:type="default" r:id="rId9"/>
      <w:footerReference w:type="first" r:id="rId10"/>
      <w:pgSz w:w="11906" w:h="16838" w:orient="portrait"/>
      <w:pgMar w:top="1200" w:right="1250" w:bottom="1200" w:left="125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pBdr>
      <w:tabs>
        <w:tab w:val="right" w:pos="9026"/>
      </w:tabs>
    </w:pPr>
    <w:r>
      <w:rPr>
        <w:rFonts w:ascii="Times New Roman" w:cs="Times New Roman" w:eastAsia="Times New Roman" w:hAnsi="Times New Roman"/>
        <w:sz w:val="18"/>
        <w:szCs w:val="18"/>
      </w:rPr>
      <w:t xml:space="preserve">Flight Delay and Route Optimization — Review 3 Plan</w:t>
    </w:r>
    <w:r>
      <w:rPr>
        <w:rFonts w:ascii="Times New Roman" w:cs="Times New Roman" w:eastAsia="Times New Roman" w:hAnsi="Times New Roman"/>
        <w:sz w:val="18"/>
        <w:szCs w:val="18"/>
      </w:rPr>
      <w:t xml:space="preserve">	Big Data Analytics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pPr>
      <w:spacing w:after="150" w:before="320"/>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10" w:before="250"/>
    </w:pPr>
    <w:rPr>
      <w:rFonts w:ascii="Times New Roman" w:cs="Times New Roman" w:eastAsia="Times New Roman" w:hAnsi="Times New Roman"/>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2026-10-14T16:18:03.707Z</dcterms:created>
  <dcterms:modified xsi:type="dcterms:W3CDTF">2026-10-14T16:18:03.714Z</dcterms:modified>
</cp:coreProperties>
</file>

<file path=docProps/custom.xml><?xml version="1.0" encoding="utf-8"?>
<Properties xmlns="http://schemas.openxmlformats.org/officeDocument/2006/custom-properties" xmlns:vt="http://schemas.openxmlformats.org/officeDocument/2006/docPropsVTypes"/>
</file>