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Acme Global Travel &amp; Leave Policy</w:t>
      </w:r>
    </w:p>
    <w:p>
      <w:pPr>
        <w:pStyle w:val="Heading1"/>
      </w:pPr>
      <w:r>
        <w:t>1. Purpose and Scope</w:t>
      </w:r>
    </w:p>
    <w:p>
      <w:r>
        <w:t>This policy governs business travel, leave entitlements and expense reimbursement for all Acme Global employees. It applies to full-time and part-time staff on permanent contracts. Contractors are governed by the Contractor Engagement Policy instead.</w:t>
      </w:r>
    </w:p>
    <w:p>
      <w:r>
        <w:t>This document supersedes the 2024 edition of the travel policy. Where this document conflicts with a local statutory requirement, the local requirement takes precedence.</w:t>
      </w:r>
    </w:p>
    <w:p>
      <w:pPr>
        <w:pStyle w:val="Heading1"/>
      </w:pPr>
      <w:r>
        <w:t>2. Leave Entitlements</w:t>
      </w:r>
    </w:p>
    <w:p>
      <w:r>
        <w:t>Annual leave accrues at 1.75 days per completed calendar month, capped at 25 days per leave year. Accrual begins on the first day of employment.</w:t>
      </w:r>
    </w:p>
    <w:p>
      <w:pPr>
        <w:pStyle w:val="Heading1"/>
      </w:pPr>
      <w:r>
        <w:t>2.1 Eligibility for Parental Leave</w:t>
      </w:r>
    </w:p>
    <w:p>
      <w:r>
        <w:t>Employees who have completed six months of continuous service are eligible to take paid parental leave. The six month qualifying period is waived for employees returning from a documented medical leave.</w:t>
      </w:r>
    </w:p>
    <w:p>
      <w:r>
        <w:t>Parental leave is capped at 18 weeks for the primary caregiver and 6 weeks for the secondary caregiver. A maximum of 3 separate periods may be taken within 24 months of the child's birth.</w:t>
      </w:r>
    </w:p>
    <w:p>
      <w:pPr>
        <w:pStyle w:val="Heading1"/>
      </w:pPr>
      <w:r>
        <w:t>2.2 Sick Leave</w:t>
      </w:r>
    </w:p>
    <w:p>
      <w:r>
        <w:t>Full-time employees accrue 10 days of paid sick leave per leave year. Sick leave may be carried forward into the next leave year up to a maximum of 5 unused days.</w:t>
      </w:r>
    </w:p>
    <w:p/>
    <w:p>
      <w:r>
        <w:rPr>
          <w:b/>
        </w:rPr>
        <w:t>Table 2.2a: Leave accrual rates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Leave type</w:t>
            </w:r>
          </w:p>
        </w:tc>
        <w:tc>
          <w:tcPr>
            <w:tcW w:type="dxa" w:w="2880"/>
          </w:tcPr>
          <w:p>
            <w:r/>
            <w:r>
              <w:rPr>
                <w:b/>
              </w:rPr>
              <w:t>Accrual rate</w:t>
            </w:r>
          </w:p>
        </w:tc>
        <w:tc>
          <w:tcPr>
            <w:tcW w:type="dxa" w:w="2880"/>
          </w:tcPr>
          <w:p>
            <w:r/>
            <w:r>
              <w:rPr>
                <w:b/>
              </w:rPr>
              <w:t>Annual cap (days)</w:t>
            </w:r>
          </w:p>
        </w:tc>
      </w:tr>
      <w:tr>
        <w:tc>
          <w:tcPr>
            <w:tcW w:type="dxa" w:w="2880"/>
          </w:tcPr>
          <w:p>
            <w:r>
              <w:t>Annual leave</w:t>
            </w:r>
          </w:p>
        </w:tc>
        <w:tc>
          <w:tcPr>
            <w:tcW w:type="dxa" w:w="2880"/>
          </w:tcPr>
          <w:p>
            <w:r>
              <w:t>1.75 days per month</w:t>
            </w:r>
          </w:p>
        </w:tc>
        <w:tc>
          <w:tcPr>
            <w:tcW w:type="dxa" w:w="2880"/>
          </w:tcPr>
          <w:p>
            <w:r>
              <w:t>25</w:t>
            </w:r>
          </w:p>
        </w:tc>
      </w:tr>
      <w:tr>
        <w:tc>
          <w:tcPr>
            <w:tcW w:type="dxa" w:w="2880"/>
          </w:tcPr>
          <w:p>
            <w:r>
              <w:t>Sick leave</w:t>
            </w:r>
          </w:p>
        </w:tc>
        <w:tc>
          <w:tcPr>
            <w:tcW w:type="dxa" w:w="2880"/>
          </w:tcPr>
          <w:p>
            <w:r>
              <w:t>10 days per year</w:t>
            </w:r>
          </w:p>
        </w:tc>
        <w:tc>
          <w:tcPr>
            <w:tcW w:type="dxa" w:w="2880"/>
          </w:tcPr>
          <w:p>
            <w:r>
              <w:t>10</w:t>
            </w:r>
          </w:p>
        </w:tc>
      </w:tr>
      <w:tr>
        <w:tc>
          <w:tcPr>
            <w:tcW w:type="dxa" w:w="2880"/>
          </w:tcPr>
          <w:p>
            <w:r>
              <w:t>Parental leave</w:t>
            </w:r>
          </w:p>
        </w:tc>
        <w:tc>
          <w:tcPr>
            <w:tcW w:type="dxa" w:w="2880"/>
          </w:tcPr>
          <w:p>
            <w:r>
              <w:t>18 weeks primary caregiver</w:t>
            </w:r>
          </w:p>
        </w:tc>
        <w:tc>
          <w:tcPr>
            <w:tcW w:type="dxa" w:w="2880"/>
          </w:tcPr>
          <w:p>
            <w:r>
              <w:t>90</w:t>
            </w:r>
          </w:p>
        </w:tc>
      </w:tr>
    </w:tbl>
    <w:p>
      <w:pPr>
        <w:pStyle w:val="Heading1"/>
      </w:pPr>
      <w:r>
        <w:t>6. Travel and Expense Reimbursement</w:t>
      </w:r>
    </w:p>
    <w:p>
      <w:r>
        <w:t>All business travel must be pre-approved by the employee's line manager in the Workday travel module before any costs are incurred. Unapproved expenses will be declined at claim stage.</w:t>
      </w:r>
    </w:p>
    <w:p>
      <w:pPr>
        <w:pStyle w:val="Heading1"/>
      </w:pPr>
      <w:r>
        <w:t>6.1 Air Travel and Booking</w:t>
      </w:r>
    </w:p>
    <w:p>
      <w:r>
        <w:t>Economy class must be booked for all flights under 6 hours. Premium economy is permitted for flights of 6 hours or more, subject to manager approval. Business class requires written director sign-off.</w:t>
      </w:r>
    </w:p>
    <w:p>
      <w:r>
        <w:t>Preferred airline alliance bookings should be used where a route is available. Hotel and car rental should be booked through the corporate portal to access negotiated rates.</w:t>
      </w:r>
    </w:p>
    <w:p>
      <w:pPr>
        <w:pStyle w:val="Heading1"/>
      </w:pPr>
      <w:r>
        <w:t>6.2 Reimbursement Limits</w:t>
      </w:r>
    </w:p>
    <w:p>
      <w:r>
        <w:t>Employees may claim up to 1500 USD per trip for accommodation. Claims above 1500 USD require written approval from a director before travel is booked.</w:t>
      </w:r>
    </w:p>
    <w:p>
      <w:r>
        <w:t>Claims must be submitted within 30 days of completing the trip. Claims submitted after 30 days are only reimbursed at the discretion of the Head of Finance, and receipts are mandatory for all claims.</w:t>
      </w:r>
    </w:p>
    <w:p>
      <w:r>
        <w:t>Meals are reimbursed at a flat daily allowance of 75 USD for domestic travel and 100 USD for international travel. Itemised meal receipts are not required.</w:t>
      </w:r>
    </w:p>
    <w:p/>
    <w:p>
      <w:r>
        <w:rPr>
          <w:b/>
        </w:rPr>
        <w:t>Table 6.2a: Per diem allowances by destination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Destination</w:t>
            </w:r>
          </w:p>
        </w:tc>
        <w:tc>
          <w:tcPr>
            <w:tcW w:type="dxa" w:w="2880"/>
          </w:tcPr>
          <w:p>
            <w:r/>
            <w:r>
              <w:rPr>
                <w:b/>
              </w:rPr>
              <w:t>Daily allowance (USD)</w:t>
            </w:r>
          </w:p>
        </w:tc>
        <w:tc>
          <w:tcPr>
            <w:tcW w:type="dxa" w:w="2880"/>
          </w:tcPr>
          <w:p>
            <w:r/>
            <w:r>
              <w:rPr>
                <w:b/>
              </w:rPr>
              <w:t>Currency</w:t>
            </w:r>
          </w:p>
        </w:tc>
      </w:tr>
      <w:tr>
        <w:tc>
          <w:tcPr>
            <w:tcW w:type="dxa" w:w="2880"/>
          </w:tcPr>
          <w:p>
            <w:r>
              <w:t>New York, USA</w:t>
            </w:r>
          </w:p>
        </w:tc>
        <w:tc>
          <w:tcPr>
            <w:tcW w:type="dxa" w:w="2880"/>
          </w:tcPr>
          <w:p>
            <w:r>
              <w:t>100</w:t>
            </w:r>
          </w:p>
        </w:tc>
        <w:tc>
          <w:tcPr>
            <w:tcW w:type="dxa" w:w="2880"/>
          </w:tcPr>
          <w:p>
            <w:r>
              <w:t>USD</w:t>
            </w:r>
          </w:p>
        </w:tc>
      </w:tr>
      <w:tr>
        <w:tc>
          <w:tcPr>
            <w:tcW w:type="dxa" w:w="2880"/>
          </w:tcPr>
          <w:p>
            <w:r>
              <w:t>London, UK</w:t>
            </w:r>
          </w:p>
        </w:tc>
        <w:tc>
          <w:tcPr>
            <w:tcW w:type="dxa" w:w="2880"/>
          </w:tcPr>
          <w:p>
            <w:r>
              <w:t>95</w:t>
            </w:r>
          </w:p>
        </w:tc>
        <w:tc>
          <w:tcPr>
            <w:tcW w:type="dxa" w:w="2880"/>
          </w:tcPr>
          <w:p>
            <w:r>
              <w:t>GBP equivalent</w:t>
            </w:r>
          </w:p>
        </w:tc>
      </w:tr>
      <w:tr>
        <w:tc>
          <w:tcPr>
            <w:tcW w:type="dxa" w:w="2880"/>
          </w:tcPr>
          <w:p>
            <w:r>
              <w:t>Singapore</w:t>
            </w:r>
          </w:p>
        </w:tc>
        <w:tc>
          <w:tcPr>
            <w:tcW w:type="dxa" w:w="2880"/>
          </w:tcPr>
          <w:p>
            <w:r>
              <w:t>85</w:t>
            </w:r>
          </w:p>
        </w:tc>
        <w:tc>
          <w:tcPr>
            <w:tcW w:type="dxa" w:w="2880"/>
          </w:tcPr>
          <w:p>
            <w:r>
              <w:t>SGD equivalent</w:t>
            </w:r>
          </w:p>
        </w:tc>
      </w:tr>
      <w:tr>
        <w:tc>
          <w:tcPr>
            <w:tcW w:type="dxa" w:w="2880"/>
          </w:tcPr>
          <w:p>
            <w:r>
              <w:t>Remote / domestic day</w:t>
            </w:r>
          </w:p>
        </w:tc>
        <w:tc>
          <w:tcPr>
            <w:tcW w:type="dxa" w:w="2880"/>
          </w:tcPr>
          <w:p>
            <w:r>
              <w:t>75</w:t>
            </w:r>
          </w:p>
        </w:tc>
        <w:tc>
          <w:tcPr>
            <w:tcW w:type="dxa" w:w="2880"/>
          </w:tcPr>
          <w:p>
            <w:r>
              <w:t>USD</w:t>
            </w:r>
          </w:p>
        </w:tc>
      </w:tr>
    </w:tbl>
    <w:p/>
    <w:p>
      <w:r>
        <w:rPr>
          <w:b/>
        </w:rPr>
        <w:t>Table 6.2b: Accommodation tiers by city band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City band</w:t>
            </w:r>
          </w:p>
        </w:tc>
        <w:tc>
          <w:tcPr>
            <w:tcW w:type="dxa" w:w="2880"/>
          </w:tcPr>
          <w:p>
            <w:r/>
            <w:r>
              <w:rPr>
                <w:b/>
              </w:rPr>
              <w:t>Examples</w:t>
            </w:r>
          </w:p>
        </w:tc>
        <w:tc>
          <w:tcPr>
            <w:tcW w:type="dxa" w:w="2880"/>
          </w:tcPr>
          <w:p>
            <w:r/>
            <w:r>
              <w:rPr>
                <w:b/>
              </w:rPr>
              <w:t>Nightly cap (USD)</w:t>
            </w:r>
          </w:p>
        </w:tc>
      </w:tr>
      <w:tr>
        <w:tc>
          <w:tcPr>
            <w:tcW w:type="dxa" w:w="2880"/>
          </w:tcPr>
          <w:p>
            <w:r>
              <w:t>Band A</w:t>
            </w:r>
          </w:p>
        </w:tc>
        <w:tc>
          <w:tcPr>
            <w:tcW w:type="dxa" w:w="2880"/>
          </w:tcPr>
          <w:p>
            <w:r>
              <w:t>New York, London, Tokyo</w:t>
            </w:r>
          </w:p>
        </w:tc>
        <w:tc>
          <w:tcPr>
            <w:tcW w:type="dxa" w:w="2880"/>
          </w:tcPr>
          <w:p>
            <w:r>
              <w:t>1500</w:t>
            </w:r>
          </w:p>
        </w:tc>
      </w:tr>
      <w:tr>
        <w:tc>
          <w:tcPr>
            <w:tcW w:type="dxa" w:w="2880"/>
          </w:tcPr>
          <w:p>
            <w:r>
              <w:t>Band B</w:t>
            </w:r>
          </w:p>
        </w:tc>
        <w:tc>
          <w:tcPr>
            <w:tcW w:type="dxa" w:w="2880"/>
          </w:tcPr>
          <w:p>
            <w:r>
              <w:t>Chicago, Berlin, Sydney</w:t>
            </w:r>
          </w:p>
        </w:tc>
        <w:tc>
          <w:tcPr>
            <w:tcW w:type="dxa" w:w="2880"/>
          </w:tcPr>
          <w:p>
            <w:r>
              <w:t>900</w:t>
            </w:r>
          </w:p>
        </w:tc>
      </w:tr>
      <w:tr>
        <w:tc>
          <w:tcPr>
            <w:tcW w:type="dxa" w:w="2880"/>
          </w:tcPr>
          <w:p>
            <w:r>
              <w:t>Band C</w:t>
            </w:r>
          </w:p>
        </w:tc>
        <w:tc>
          <w:tcPr>
            <w:tcW w:type="dxa" w:w="2880"/>
          </w:tcPr>
          <w:p>
            <w:r>
              <w:t>All other locations</w:t>
            </w:r>
          </w:p>
        </w:tc>
        <w:tc>
          <w:tcPr>
            <w:tcW w:type="dxa" w:w="2880"/>
          </w:tcPr>
          <w:p>
            <w:r>
              <w:t>550</w:t>
            </w:r>
          </w:p>
        </w:tc>
      </w:tr>
    </w:tbl>
    <w:p>
      <w:pPr>
        <w:pStyle w:val="Heading1"/>
      </w:pPr>
      <w:r>
        <w:t>6.3 Ground Transport</w:t>
      </w:r>
    </w:p>
    <w:p>
      <w:r>
        <w:t>Rail travel is preferred for journeys under 400 kilometers. Taxi or rideshare fares are reimbursed in full with receipts, capped at 120 USD per day.</w:t>
      </w:r>
    </w:p>
    <w:p>
      <w:pPr>
        <w:pStyle w:val="Heading1"/>
      </w:pPr>
      <w:r>
        <w:t>9. Compliance</w:t>
      </w:r>
    </w:p>
    <w:p>
      <w:r>
        <w:t>This policy is reviewed annually by the People Operations team. Violations of the approval workflow may result in disciplinary action up to and including termination of employment.</w:t>
      </w:r>
    </w:p>
    <w:p>
      <w:r>
        <w:br w:type="page"/>
      </w:r>
    </w:p>
    <w:p>
      <w:pPr>
        <w:pStyle w:val="Heading1"/>
      </w:pPr>
      <w:r>
        <w:t>9.1 Appendix A: Approval Workflow</w:t>
      </w:r>
    </w:p>
    <w:p>
      <w:r>
        <w:t>Manager approval is required for all travel. Director approval is required for any single expense above 1500 USD. Finance approval is required for claims submitted outside the 30 day window.</w:t>
      </w:r>
    </w:p>
    <w:p>
      <w:r>
        <w:t>Approval requests must be submitted at least 5 working days before travel. Requests submitted fewer than 5 working days in advance are escalated to the Director for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