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drawing>
          <wp:inline distT="0" distB="0" distL="0" distR="0">
            <wp:extent cx="2857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1571625"/>
                    </a:xfrm>
                    <a:prstGeom prst="rect">
                      <a:avLst/>
                    </a:prstGeom>
                  </pic:spPr>
                </pic:pic>
              </a:graphicData>
            </a:graphic>
          </wp:inline>
        </w:drawing>
      </w:r>
    </w:p>
    <w:p>
      <w:pPr>
        <w:spacing w:before="400"/>
      </w:pPr>
    </w:p>
    <w:p>
      <w:pPr>
        <w:spacing w:after="120" w:before="600"/>
        <w:jc w:val="center"/>
      </w:pPr>
      <w:r>
        <w:rPr>
          <w:rFonts w:ascii="Aptos" w:cs="Aptos" w:eastAsia="Aptos" w:hAnsi="Aptos"/>
          <w:b/>
          <w:bCs/>
          <w:color w:val="0E2841"/>
          <w:sz w:val="56"/>
          <w:szCs w:val="56"/>
        </w:rPr>
        <w:t xml:space="preserve">CAIT Security Assessment Report</w:t>
      </w:r>
    </w:p>
    <w:p>
      <w:pPr>
        <w:spacing w:after="400"/>
        <w:jc w:val="center"/>
      </w:pPr>
      <w:r>
        <w:rPr>
          <w:rFonts w:ascii="Aptos" w:cs="Aptos" w:eastAsia="Aptos" w:hAnsi="Aptos"/>
          <w:color w:val="156082"/>
          <w:sz w:val="32"/>
          <w:szCs w:val="32"/>
        </w:rPr>
        <w:t xml:space="preserve">Report of Findings</w:t>
      </w:r>
    </w:p>
    <w:p>
      <w:pPr>
        <w:spacing w:after="60"/>
        <w:jc w:val="center"/>
      </w:pPr>
      <w:r>
        <w:rPr>
          <w:rFonts w:ascii="Aptos" w:cs="Aptos" w:eastAsia="Aptos" w:hAnsi="Aptos"/>
          <w:b/>
          <w:bCs/>
          <w:sz w:val="22"/>
          <w:szCs w:val="22"/>
        </w:rPr>
        <w:t xml:space="preserve">Assessor: </w:t>
      </w:r>
      <w:r>
        <w:rPr>
          <w:rFonts w:ascii="Aptos" w:cs="Aptos" w:eastAsia="Aptos" w:hAnsi="Aptos"/>
          <w:sz w:val="22"/>
          <w:szCs w:val="22"/>
        </w:rPr>
        <w:t xml:space="preserve">CAIT (Continuous Assured Intelligent Testing)</w:t>
      </w:r>
    </w:p>
    <w:p>
      <w:pPr>
        <w:spacing w:after="60"/>
        <w:jc w:val="center"/>
      </w:pPr>
      <w:r>
        <w:rPr>
          <w:rFonts w:ascii="Aptos" w:cs="Aptos" w:eastAsia="Aptos" w:hAnsi="Aptos"/>
          <w:b/>
          <w:bCs/>
          <w:sz w:val="22"/>
          <w:szCs w:val="22"/>
        </w:rPr>
        <w:t xml:space="preserve">Designation: </w:t>
      </w:r>
      <w:r>
        <w:rPr>
          <w:rFonts w:ascii="Aptos" w:cs="Aptos" w:eastAsia="Aptos" w:hAnsi="Aptos"/>
          <w:sz w:val="22"/>
          <w:szCs w:val="22"/>
        </w:rPr>
        <w:t xml:space="preserve">Automated Penetration Testing Assistant</w:t>
      </w:r>
    </w:p>
    <w:p>
      <w:pPr>
        <w:spacing w:after="60"/>
        <w:jc w:val="center"/>
      </w:pPr>
      <w:r>
        <w:rPr>
          <w:rFonts w:ascii="Aptos" w:cs="Aptos" w:eastAsia="Aptos" w:hAnsi="Aptos"/>
          <w:b/>
          <w:bCs/>
          <w:sz w:val="22"/>
          <w:szCs w:val="22"/>
        </w:rPr>
        <w:t xml:space="preserve">Client: </w:t>
      </w:r>
      <w:r>
        <w:rPr>
          <w:rFonts w:ascii="Aptos" w:cs="Aptos" w:eastAsia="Aptos" w:hAnsi="Aptos"/>
          <w:sz w:val="22"/>
          <w:szCs w:val="22"/>
        </w:rPr>
        <w:t xml:space="preserve">DVWA - Local Testing</w:t>
      </w:r>
    </w:p>
    <w:p>
      <w:pPr>
        <w:spacing w:after="60"/>
        <w:jc w:val="center"/>
      </w:pPr>
      <w:r>
        <w:rPr>
          <w:rFonts w:ascii="Aptos" w:cs="Aptos" w:eastAsia="Aptos" w:hAnsi="Aptos"/>
          <w:b/>
          <w:bCs/>
          <w:sz w:val="22"/>
          <w:szCs w:val="22"/>
        </w:rPr>
        <w:t xml:space="preserve">Date: </w:t>
      </w:r>
      <w:r>
        <w:rPr>
          <w:rFonts w:ascii="Aptos" w:cs="Aptos" w:eastAsia="Aptos" w:hAnsi="Aptos"/>
          <w:sz w:val="22"/>
          <w:szCs w:val="22"/>
        </w:rPr>
        <w:t xml:space="preserve">2026-08-27</w:t>
      </w:r>
    </w:p>
    <w:p>
      <w:pPr>
        <w:spacing w:after="60"/>
        <w:jc w:val="center"/>
      </w:pPr>
      <w:r>
        <w:rPr>
          <w:rFonts w:ascii="Aptos" w:cs="Aptos" w:eastAsia="Aptos" w:hAnsi="Aptos"/>
          <w:b/>
          <w:bCs/>
          <w:sz w:val="22"/>
          <w:szCs w:val="22"/>
        </w:rPr>
        <w:t xml:space="preserve">Version: </w:t>
      </w:r>
      <w:r>
        <w:rPr>
          <w:rFonts w:ascii="Aptos" w:cs="Aptos" w:eastAsia="Aptos" w:hAnsi="Aptos"/>
          <w:sz w:val="22"/>
          <w:szCs w:val="22"/>
        </w:rPr>
        <w:t xml:space="preserve">1.0 - Draft</w:t>
      </w:r>
    </w:p>
    <w:p>
      <w:r>
        <w:br w:type="page"/>
      </w:r>
    </w:p>
    <w:p>
      <w:pPr>
        <w:pStyle w:val="Heading1"/>
      </w:pPr>
      <w:r>
        <w:rPr>
          <w:rFonts w:ascii="Aptos" w:cs="Aptos" w:eastAsia="Aptos" w:hAnsi="Apto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ptos" w:cs="Aptos" w:eastAsia="Aptos" w:hAnsi="Aptos"/>
        </w:rPr>
        <w:t xml:space="preserve">1. Document Control</w:t>
      </w:r>
    </w:p>
    <w:p>
      <w:pPr>
        <w:pStyle w:val="Heading2"/>
      </w:pPr>
      <w:r>
        <w:rPr>
          <w:rFonts w:ascii="Aptos" w:cs="Aptos" w:eastAsia="Aptos" w:hAnsi="Aptos"/>
        </w:rPr>
        <w:t xml:space="preserve">1.1 Engagement Contacts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tblHeader/>
        </w:trPr>
        <w:tc>
          <w:tcPr>
            <w:tcW w:type="dxa" w:w="3008"/>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Contact</w:t>
            </w:r>
          </w:p>
        </w:tc>
        <w:tc>
          <w:tcPr>
            <w:tcW w:type="dxa" w:w="3009"/>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Details</w:t>
            </w:r>
          </w:p>
        </w:tc>
        <w:tc>
          <w:tcPr>
            <w:tcW w:type="dxa" w:w="3009"/>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Role</w:t>
            </w:r>
          </w:p>
        </w:tc>
      </w:tr>
      <w:tr>
        <w:tc>
          <w:tcPr>
            <w:tcW w:type="dxa" w:w="3008"/>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CAIT</w:t>
            </w:r>
          </w:p>
        </w:tc>
        <w:tc>
          <w:tcPr>
            <w:tcW w:type="dxa" w:w="3009"/>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Security Assessment Engine</w:t>
            </w:r>
          </w:p>
        </w:tc>
        <w:tc>
          <w:tcPr>
            <w:tcW w:type="dxa" w:w="3009"/>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Operator: Kartik Adak</w:t>
            </w:r>
          </w:p>
        </w:tc>
      </w:tr>
      <w:tr>
        <w:tc>
          <w:tcPr>
            <w:tcW w:type="dxa" w:w="3008"/>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Kartik Adak</w:t>
            </w:r>
          </w:p>
        </w:tc>
        <w:tc>
          <w:tcPr>
            <w:tcW w:type="dxa" w:w="3009"/>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Engagement Approver</w:t>
            </w:r>
          </w:p>
        </w:tc>
        <w:tc>
          <w:tcPr>
            <w:tcW w:type="dxa" w:w="3009"/>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Test Authorizer</w:t>
            </w:r>
          </w:p>
        </w:tc>
      </w:tr>
    </w:tbl>
    <w:p>
      <w:pPr>
        <w:spacing w:after="120"/>
      </w:pPr>
      <w:r>
        <w:rPr>
          <w:rFonts w:ascii="Aptos" w:cs="Aptos" w:eastAsia="Aptos" w:hAnsi="Aptos"/>
          <w:sz w:val="22"/>
          <w:szCs w:val="22"/>
        </w:rPr>
        <w:t xml:space="preserve"/>
      </w:r>
    </w:p>
    <w:p>
      <w:pPr>
        <w:pStyle w:val="Heading2"/>
      </w:pPr>
      <w:r>
        <w:rPr>
          <w:rFonts w:ascii="Aptos" w:cs="Aptos" w:eastAsia="Aptos" w:hAnsi="Aptos"/>
        </w:rPr>
        <w:t xml:space="preserve">1.2 List of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26"/>
        <w:gridCol w:w="2800"/>
      </w:tblGrid>
      <w:tr>
        <w:trPr>
          <w:tblHeader/>
        </w:trPr>
        <w:tc>
          <w:tcPr>
            <w:tcW w:type="dxa" w:w="18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Version</w:t>
            </w:r>
          </w:p>
        </w:tc>
        <w:tc>
          <w:tcPr>
            <w:tcW w:type="dxa" w:w="4426"/>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Description</w:t>
            </w:r>
          </w:p>
        </w:tc>
        <w:tc>
          <w:tcPr>
            <w:tcW w:type="dxa" w:w="28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Date</w:t>
            </w:r>
          </w:p>
        </w:tc>
      </w:tr>
      <w:tr>
        <w:tc>
          <w:tcPr>
            <w:tcW w:type="dxa" w:w="18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0.1</w:t>
            </w:r>
          </w:p>
        </w:tc>
        <w:tc>
          <w:tcPr>
            <w:tcW w:type="dxa" w:w="44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Initial Assessment</w:t>
            </w:r>
          </w:p>
        </w:tc>
        <w:tc>
          <w:tcPr>
            <w:tcW w:type="dxa" w:w="28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2026-08-27</w:t>
            </w:r>
          </w:p>
        </w:tc>
      </w:tr>
      <w:tr>
        <w:tc>
          <w:tcPr>
            <w:tcW w:type="dxa" w:w="18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1.0</w:t>
            </w:r>
          </w:p>
        </w:tc>
        <w:tc>
          <w:tcPr>
            <w:tcW w:type="dxa" w:w="44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Draft Report</w:t>
            </w:r>
          </w:p>
        </w:tc>
        <w:tc>
          <w:tcPr>
            <w:tcW w:type="dxa" w:w="28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2026-08-27</w:t>
            </w:r>
          </w:p>
        </w:tc>
      </w:tr>
    </w:tbl>
    <w:p>
      <w:r>
        <w:br w:type="page"/>
      </w:r>
    </w:p>
    <w:p>
      <w:pPr>
        <w:pStyle w:val="Heading1"/>
      </w:pPr>
      <w:r>
        <w:rPr>
          <w:rFonts w:ascii="Aptos" w:cs="Aptos" w:eastAsia="Aptos" w:hAnsi="Aptos"/>
        </w:rPr>
        <w:t xml:space="preserve">2. Executive Summary</w:t>
      </w:r>
    </w:p>
    <w:p>
      <w:pPr>
        <w:pStyle w:val="Heading2"/>
      </w:pPr>
      <w:r>
        <w:rPr>
          <w:rFonts w:ascii="Aptos" w:cs="Aptos" w:eastAsia="Aptos" w:hAnsi="Aptos"/>
        </w:rPr>
        <w:t xml:space="preserve">2.1 Overview</w:t>
      </w:r>
    </w:p>
    <w:p>
      <w:pPr>
        <w:pStyle w:val="Heading3"/>
      </w:pPr>
      <w:r>
        <w:rPr>
          <w:rFonts w:ascii="Aptos" w:cs="Aptos" w:eastAsia="Aptos" w:hAnsi="Aptos"/>
        </w:rPr>
        <w:t xml:space="preserve">2.1.1 Objective</w:t>
      </w:r>
    </w:p>
    <w:p>
      <w:pPr>
        <w:spacing w:after="120"/>
      </w:pPr>
      <w:r>
        <w:rPr>
          <w:rFonts w:ascii="Aptos" w:cs="Aptos" w:eastAsia="Aptos" w:hAnsi="Aptos"/>
          <w:sz w:val="22"/>
          <w:szCs w:val="22"/>
        </w:rPr>
        <w:t xml:space="preserve">This assessment aimed to identify and evaluate security vulnerabilities in the DVWA (Damn Vulnerable Web Application) practice environment through comprehensive penetration testing techniques.</w:t>
      </w:r>
    </w:p>
    <w:p>
      <w:pPr>
        <w:pStyle w:val="Heading3"/>
      </w:pPr>
      <w:r>
        <w:rPr>
          <w:rFonts w:ascii="Aptos" w:cs="Aptos" w:eastAsia="Aptos" w:hAnsi="Aptos"/>
        </w:rPr>
        <w:t xml:space="preserve">2.1.2 Approach</w:t>
      </w:r>
    </w:p>
    <w:p>
      <w:pPr>
        <w:spacing w:after="120"/>
      </w:pPr>
      <w:r>
        <w:rPr>
          <w:rFonts w:ascii="Aptos" w:cs="Aptos" w:eastAsia="Aptos" w:hAnsi="Aptos"/>
          <w:sz w:val="22"/>
          <w:szCs w:val="22"/>
        </w:rPr>
        <w:t xml:space="preserve">The engagement employed active vulnerability scanning and manual exploitation techniques, with focus on web application injection flaws. Tools used included automated parameter testing and manual payload crafting. Testing was performed with full authorization and within defined scope boundaries.</w:t>
      </w:r>
    </w:p>
    <w:p>
      <w:pPr>
        <w:pStyle w:val="Heading3"/>
      </w:pPr>
      <w:r>
        <w:rPr>
          <w:rFonts w:ascii="Aptos" w:cs="Aptos" w:eastAsia="Aptos" w:hAnsi="Aptos"/>
        </w:rPr>
        <w:t xml:space="preserve">2.1.3 Scope</w:t>
      </w:r>
    </w:p>
    <w:p>
      <w:pPr>
        <w:spacing w:after="120"/>
        <w:rPr>
          <w:b/>
          <w:bCs/>
        </w:rPr>
      </w:pPr>
      <w:r>
        <w:rPr>
          <w:rFonts w:ascii="Aptos" w:cs="Aptos" w:eastAsia="Aptos" w:hAnsi="Aptos"/>
          <w:b/>
          <w:bCs/>
          <w:sz w:val="22"/>
          <w:szCs w:val="22"/>
        </w:rPr>
        <w:t xml:space="preserve">In Scope Assets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Host / URL / IP Address</w:t>
            </w:r>
          </w:p>
        </w:tc>
        <w:tc>
          <w:tcPr>
            <w:tcW w:type="dxa" w:w="5426"/>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Description</w:t>
            </w:r>
          </w:p>
        </w:tc>
      </w:tr>
      <w:tr>
        <w:tc>
          <w:tcPr>
            <w:tcW w:type="dxa" w:w="36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127.0.0.1:80/DVWA</w:t>
            </w:r>
          </w:p>
        </w:tc>
        <w:tc>
          <w:tcPr>
            <w:tcW w:type="dxa" w:w="54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DVWA Application - Vulnerability Testing Practice Environment</w:t>
            </w:r>
          </w:p>
        </w:tc>
      </w:tr>
    </w:tbl>
    <w:p>
      <w:pPr>
        <w:spacing w:after="120"/>
        <w:rPr>
          <w:i/>
          <w:iCs/>
          <w:sz w:val="18"/>
          <w:szCs w:val="18"/>
        </w:rPr>
      </w:pPr>
      <w:r>
        <w:rPr>
          <w:rFonts w:ascii="Aptos" w:cs="Aptos" w:eastAsia="Aptos" w:hAnsi="Aptos"/>
          <w:i/>
          <w:iCs/>
          <w:sz w:val="18"/>
          <w:szCs w:val="18"/>
        </w:rPr>
        <w:t xml:space="preserve">Table 1 — Scope</w:t>
      </w:r>
    </w:p>
    <w:p>
      <w:pPr>
        <w:pStyle w:val="Heading2"/>
      </w:pPr>
      <w:r>
        <w:rPr>
          <w:rFonts w:ascii="Aptos" w:cs="Aptos" w:eastAsia="Aptos" w:hAnsi="Aptos"/>
        </w:rPr>
        <w:t xml:space="preserve">2.2 Assessment Overview</w:t>
      </w:r>
    </w:p>
    <w:p>
      <w:pPr>
        <w:spacing w:after="120"/>
      </w:pPr>
      <w:r>
        <w:rPr>
          <w:rFonts w:ascii="Aptos" w:cs="Aptos" w:eastAsia="Aptos" w:hAnsi="Aptos"/>
          <w:sz w:val="22"/>
          <w:szCs w:val="22"/>
        </w:rPr>
        <w:t xml:space="preserve">A critical boolean-based blind SQL injection vulnerability was identified in the user lookup form. The vulnerability allows unauthenticated attackers to enumerate the entire database, extract password hashes, and bypass authentication controls.</w:t>
      </w:r>
    </w:p>
    <w:p>
      <w:pPr>
        <w:pStyle w:val="Heading3"/>
      </w:pPr>
      <w:r>
        <w:rPr>
          <w:rFonts w:ascii="Aptos" w:cs="Aptos" w:eastAsia="Aptos" w:hAnsi="Aptos"/>
        </w:rPr>
        <w:t xml:space="preserve">2.2.1 Key Findings</w:t>
      </w:r>
    </w:p>
    <w:p>
      <w:pPr>
        <w:spacing w:after="120"/>
      </w:pPr>
      <w:r>
        <w:rPr>
          <w:rFonts w:ascii="Aptos" w:cs="Aptos" w:eastAsia="Aptos" w:hAnsi="Aptos"/>
          <w:sz w:val="22"/>
          <w:szCs w:val="22"/>
        </w:rPr>
        <w:t xml:space="preserve">During this penetration test, 1 Critical, 1 High, 1 Medium and 0 Low vulnerabilities were identified:</w:t>
      </w:r>
    </w:p>
    <w:p>
      <w:pPr>
        <w:spacing w:after="120"/>
      </w:pPr>
      <w:r>
        <w:rPr>
          <w:rFonts w:ascii="Aptos" w:cs="Aptos" w:eastAsia="Aptos" w:hAnsi="Aptos"/>
          <w:sz w:val="22"/>
          <w:szCs w:val="22"/>
        </w:rP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200"/>
        <w:gridCol w:w="6300"/>
      </w:tblGrid>
      <w:tr>
        <w:tc>
          <w:tcPr>
            <w:tcW w:type="dxa" w:w="1200"/>
            <w:shd w:fill="C00000" w:color="auto" w:val="clear"/>
            <w:tcMar>
              <w:top w:type="dxa" w:w="60"/>
              <w:left w:type="dxa" w:w="100"/>
              <w:bottom w:type="dxa" w:w="60"/>
              <w:right w:type="dxa" w:w="100"/>
            </w:tcMar>
            <w:vAlign w:val="center"/>
          </w:tcPr>
          <w:p>
            <w:pPr>
              <w:jc w:val="left"/>
            </w:pPr>
            <w:r>
              <w:rPr>
                <w:rFonts w:ascii="Aptos" w:cs="Aptos" w:eastAsia="Aptos" w:hAnsi="Aptos"/>
                <w:b/>
                <w:bCs/>
                <w:color w:val="FFFFFF"/>
                <w:sz w:val="20"/>
                <w:szCs w:val="20"/>
              </w:rPr>
              <w:t xml:space="preserve">Critical</w:t>
            </w:r>
          </w:p>
        </w:tc>
        <w:tc>
          <w:tcPr>
            <w:tcW w:type="dxa" w:w="6300"/>
            <w:tcMar>
              <w:top w:type="dxa" w:w="60"/>
              <w:left w:type="dxa" w:w="50"/>
              <w:bottom w:type="dxa" w:w="60"/>
              <w:right w:type="dxa" w:w="50"/>
            </w:tcMar>
          </w:tcPr>
          <w:p>
            <w:pPr>
              <w:jc w:val="left"/>
            </w:pPr>
            <w:r>
              <w:rPr>
                <w:rFonts w:ascii="Aptos" w:cs="Aptos" w:eastAsia="Aptos" w:hAnsi="Aptos"/>
                <w:color w:val="C00000"/>
                <w:sz w:val="28"/>
                <w:szCs w:val="28"/>
              </w:rPr>
              <w:t xml:space="preserve">████████████████████</w:t>
            </w:r>
            <w:r>
              <w:rPr>
                <w:rFonts w:ascii="Aptos" w:cs="Aptos" w:eastAsia="Aptos" w:hAnsi="Aptos"/>
                <w:color w:val="000000"/>
                <w:sz w:val="22"/>
                <w:szCs w:val="22"/>
              </w:rPr>
              <w:t xml:space="preserve"> 1</w:t>
            </w:r>
          </w:p>
        </w:tc>
      </w:tr>
      <w:tr>
        <w:tc>
          <w:tcPr>
            <w:tcW w:type="dxa" w:w="1200"/>
            <w:shd w:fill="FF0000" w:color="auto" w:val="clear"/>
            <w:tcMar>
              <w:top w:type="dxa" w:w="60"/>
              <w:left w:type="dxa" w:w="100"/>
              <w:bottom w:type="dxa" w:w="60"/>
              <w:right w:type="dxa" w:w="100"/>
            </w:tcMar>
            <w:vAlign w:val="center"/>
          </w:tcPr>
          <w:p>
            <w:pPr>
              <w:jc w:val="left"/>
            </w:pPr>
            <w:r>
              <w:rPr>
                <w:rFonts w:ascii="Aptos" w:cs="Aptos" w:eastAsia="Aptos" w:hAnsi="Aptos"/>
                <w:b/>
                <w:bCs/>
                <w:color w:val="FFFFFF"/>
                <w:sz w:val="20"/>
                <w:szCs w:val="20"/>
              </w:rPr>
              <w:t xml:space="preserve">High</w:t>
            </w:r>
          </w:p>
        </w:tc>
        <w:tc>
          <w:tcPr>
            <w:tcW w:type="dxa" w:w="6300"/>
            <w:tcMar>
              <w:top w:type="dxa" w:w="60"/>
              <w:left w:type="dxa" w:w="50"/>
              <w:bottom w:type="dxa" w:w="60"/>
              <w:right w:type="dxa" w:w="50"/>
            </w:tcMar>
          </w:tcPr>
          <w:p>
            <w:pPr>
              <w:jc w:val="left"/>
            </w:pPr>
            <w:r>
              <w:rPr>
                <w:rFonts w:ascii="Aptos" w:cs="Aptos" w:eastAsia="Aptos" w:hAnsi="Aptos"/>
                <w:color w:val="FF0000"/>
                <w:sz w:val="28"/>
                <w:szCs w:val="28"/>
              </w:rPr>
              <w:t xml:space="preserve">████████████████████</w:t>
            </w:r>
            <w:r>
              <w:rPr>
                <w:rFonts w:ascii="Aptos" w:cs="Aptos" w:eastAsia="Aptos" w:hAnsi="Aptos"/>
                <w:color w:val="000000"/>
                <w:sz w:val="22"/>
                <w:szCs w:val="22"/>
              </w:rPr>
              <w:t xml:space="preserve"> 1</w:t>
            </w:r>
          </w:p>
        </w:tc>
      </w:tr>
      <w:tr>
        <w:tc>
          <w:tcPr>
            <w:tcW w:type="dxa" w:w="1200"/>
            <w:shd w:fill="FFC000" w:color="auto" w:val="clear"/>
            <w:tcMar>
              <w:top w:type="dxa" w:w="60"/>
              <w:left w:type="dxa" w:w="100"/>
              <w:bottom w:type="dxa" w:w="60"/>
              <w:right w:type="dxa" w:w="100"/>
            </w:tcMar>
            <w:vAlign w:val="center"/>
          </w:tcPr>
          <w:p>
            <w:pPr>
              <w:jc w:val="left"/>
            </w:pPr>
            <w:r>
              <w:rPr>
                <w:rFonts w:ascii="Aptos" w:cs="Aptos" w:eastAsia="Aptos" w:hAnsi="Aptos"/>
                <w:b/>
                <w:bCs/>
                <w:color w:val="FFFFFF"/>
                <w:sz w:val="20"/>
                <w:szCs w:val="20"/>
              </w:rPr>
              <w:t xml:space="preserve">Medium</w:t>
            </w:r>
          </w:p>
        </w:tc>
        <w:tc>
          <w:tcPr>
            <w:tcW w:type="dxa" w:w="6300"/>
            <w:tcMar>
              <w:top w:type="dxa" w:w="60"/>
              <w:left w:type="dxa" w:w="50"/>
              <w:bottom w:type="dxa" w:w="60"/>
              <w:right w:type="dxa" w:w="50"/>
            </w:tcMar>
          </w:tcPr>
          <w:p>
            <w:pPr>
              <w:jc w:val="left"/>
            </w:pPr>
            <w:r>
              <w:rPr>
                <w:rFonts w:ascii="Aptos" w:cs="Aptos" w:eastAsia="Aptos" w:hAnsi="Aptos"/>
                <w:color w:val="FFC000"/>
                <w:sz w:val="28"/>
                <w:szCs w:val="28"/>
              </w:rPr>
              <w:t xml:space="preserve">████████████████████</w:t>
            </w:r>
            <w:r>
              <w:rPr>
                <w:rFonts w:ascii="Aptos" w:cs="Aptos" w:eastAsia="Aptos" w:hAnsi="Aptos"/>
                <w:color w:val="000000"/>
                <w:sz w:val="22"/>
                <w:szCs w:val="22"/>
              </w:rPr>
              <w:t xml:space="preserve"> 1</w:t>
            </w:r>
          </w:p>
        </w:tc>
      </w:tr>
      <w:tr>
        <w:tc>
          <w:tcPr>
            <w:tcW w:type="dxa" w:w="1200"/>
            <w:shd w:fill="00B0F0" w:color="auto" w:val="clear"/>
            <w:tcMar>
              <w:top w:type="dxa" w:w="60"/>
              <w:left w:type="dxa" w:w="100"/>
              <w:bottom w:type="dxa" w:w="60"/>
              <w:right w:type="dxa" w:w="100"/>
            </w:tcMar>
            <w:vAlign w:val="center"/>
          </w:tcPr>
          <w:p>
            <w:pPr>
              <w:jc w:val="left"/>
            </w:pPr>
            <w:r>
              <w:rPr>
                <w:rFonts w:ascii="Aptos" w:cs="Aptos" w:eastAsia="Aptos" w:hAnsi="Aptos"/>
                <w:b/>
                <w:bCs/>
                <w:color w:val="FFFFFF"/>
                <w:sz w:val="20"/>
                <w:szCs w:val="20"/>
              </w:rPr>
              <w:t xml:space="preserve">Low</w:t>
            </w:r>
          </w:p>
        </w:tc>
        <w:tc>
          <w:tcPr>
            <w:tcW w:type="dxa" w:w="6300"/>
            <w:tcMar>
              <w:top w:type="dxa" w:w="60"/>
              <w:left w:type="dxa" w:w="50"/>
              <w:bottom w:type="dxa" w:w="60"/>
              <w:right w:type="dxa" w:w="50"/>
            </w:tcMar>
          </w:tcPr>
          <w:p>
            <w:pPr>
              <w:jc w:val="left"/>
            </w:pPr>
            <w:r>
              <w:rPr>
                <w:rFonts w:ascii="Aptos" w:cs="Aptos" w:eastAsia="Aptos" w:hAnsi="Aptos"/>
                <w:color w:val="00B0F0"/>
                <w:sz w:val="28"/>
                <w:szCs w:val="28"/>
              </w:rPr>
              <w:t xml:space="preserve">█</w:t>
            </w:r>
            <w:r>
              <w:rPr>
                <w:rFonts w:ascii="Aptos" w:cs="Aptos" w:eastAsia="Aptos" w:hAnsi="Aptos"/>
                <w:color w:val="000000"/>
                <w:sz w:val="22"/>
                <w:szCs w:val="22"/>
              </w:rPr>
              <w:t xml:space="preserve"> 0</w:t>
            </w:r>
          </w:p>
        </w:tc>
      </w:tr>
    </w:tbl>
    <w:p>
      <w:pPr>
        <w:spacing w:after="120"/>
      </w:pPr>
      <w:r>
        <w:rPr>
          <w:rFonts w:ascii="Aptos" w:cs="Aptos" w:eastAsia="Aptos" w:hAnsi="Aptos"/>
          <w:sz w:val="22"/>
          <w:szCs w:val="22"/>
        </w:rPr>
        <w:t xml:space="preserve"/>
      </w:r>
    </w:p>
    <w:p>
      <w:pPr>
        <w:spacing w:after="120"/>
        <w:jc w:val="center"/>
        <w:rPr>
          <w:i/>
          <w:iCs/>
          <w:sz w:val="18"/>
          <w:szCs w:val="18"/>
        </w:rPr>
      </w:pPr>
      <w:r>
        <w:rPr>
          <w:rFonts w:ascii="Aptos" w:cs="Aptos" w:eastAsia="Aptos" w:hAnsi="Aptos"/>
          <w:i/>
          <w:iCs/>
          <w:sz w:val="18"/>
          <w:szCs w:val="18"/>
        </w:rPr>
        <w:t xml:space="preserve">Figure 1 — Distribution of Identified Vulnerabilities</w:t>
      </w:r>
    </w:p>
    <w:p>
      <w:pPr>
        <w:pStyle w:val="Heading3"/>
      </w:pPr>
      <w:r>
        <w:rPr>
          <w:rFonts w:ascii="Aptos" w:cs="Aptos" w:eastAsia="Aptos" w:hAnsi="Aptos"/>
        </w:rPr>
        <w:t xml:space="preserve">2.2.2 Identified Vulnerabilities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4726"/>
        <w:gridCol w:w="1300"/>
        <w:gridCol w:w="1000"/>
      </w:tblGrid>
      <w:tr>
        <w:trPr>
          <w:tblHeader/>
        </w:trPr>
        <w:tc>
          <w:tcPr>
            <w:tcW w:type="dxa" w:w="9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w:t>
            </w:r>
          </w:p>
        </w:tc>
        <w:tc>
          <w:tcPr>
            <w:tcW w:type="dxa" w:w="11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CVSS</w:t>
            </w:r>
          </w:p>
        </w:tc>
        <w:tc>
          <w:tcPr>
            <w:tcW w:type="dxa" w:w="4726"/>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Description</w:t>
            </w:r>
          </w:p>
        </w:tc>
        <w:tc>
          <w:tcPr>
            <w:tcW w:type="dxa" w:w="13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Severity</w:t>
            </w:r>
          </w:p>
        </w:tc>
        <w:tc>
          <w:tcPr>
            <w:tcW w:type="dxa" w:w="10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Page</w:t>
            </w:r>
          </w:p>
        </w:tc>
      </w:tr>
      <w:tr>
        <w:tc>
          <w:tcPr>
            <w:tcW w:type="dxa" w:w="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C1</w:t>
            </w:r>
          </w:p>
        </w:tc>
        <w:tc>
          <w:tcPr>
            <w:tcW w:type="dxa" w:w="11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9.8</w:t>
            </w:r>
          </w:p>
        </w:tc>
        <w:tc>
          <w:tcPr>
            <w:tcW w:type="dxa" w:w="47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Remote Code Execution via Command Injection</w:t>
            </w:r>
          </w:p>
        </w:tc>
        <w:tc>
          <w:tcPr>
            <w:tcW w:type="dxa" w:w="1300"/>
            <w:shd w:fill="C00000"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Critical</w:t>
            </w:r>
          </w:p>
        </w:tc>
        <w:tc>
          <w:tcPr>
            <w:tcW w:type="dxa" w:w="10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1</w:t>
            </w:r>
          </w:p>
        </w:tc>
      </w:tr>
      <w:tr>
        <w:tc>
          <w:tcPr>
            <w:tcW w:type="dxa" w:w="9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H1</w:t>
            </w:r>
          </w:p>
        </w:tc>
        <w:tc>
          <w:tcPr>
            <w:tcW w:type="dxa" w:w="11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8.6</w:t>
            </w:r>
          </w:p>
        </w:tc>
        <w:tc>
          <w:tcPr>
            <w:tcW w:type="dxa" w:w="47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SQL Injection in ID Parameter</w:t>
            </w:r>
          </w:p>
        </w:tc>
        <w:tc>
          <w:tcPr>
            <w:tcW w:type="dxa" w:w="1300"/>
            <w:shd w:fill="FF0000"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High</w:t>
            </w:r>
          </w:p>
        </w:tc>
        <w:tc>
          <w:tcPr>
            <w:tcW w:type="dxa" w:w="10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2</w:t>
            </w:r>
          </w:p>
        </w:tc>
      </w:tr>
      <w:tr>
        <w:tc>
          <w:tcPr>
            <w:tcW w:type="dxa" w:w="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M1</w:t>
            </w:r>
          </w:p>
        </w:tc>
        <w:tc>
          <w:tcPr>
            <w:tcW w:type="dxa" w:w="11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6.1</w:t>
            </w:r>
          </w:p>
        </w:tc>
        <w:tc>
          <w:tcPr>
            <w:tcW w:type="dxa" w:w="47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Reflected Cross-Site Scripting (XSS)</w:t>
            </w:r>
          </w:p>
        </w:tc>
        <w:tc>
          <w:tcPr>
            <w:tcW w:type="dxa" w:w="1300"/>
            <w:shd w:fill="FFC000"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Medium</w:t>
            </w:r>
          </w:p>
        </w:tc>
        <w:tc>
          <w:tcPr>
            <w:tcW w:type="dxa" w:w="10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3</w:t>
            </w:r>
          </w:p>
        </w:tc>
      </w:tr>
    </w:tbl>
    <w:p>
      <w:pPr>
        <w:spacing w:after="120"/>
        <w:rPr>
          <w:i/>
          <w:iCs/>
          <w:sz w:val="18"/>
          <w:szCs w:val="18"/>
        </w:rPr>
      </w:pPr>
      <w:r>
        <w:rPr>
          <w:rFonts w:ascii="Aptos" w:cs="Aptos" w:eastAsia="Aptos" w:hAnsi="Aptos"/>
          <w:i/>
          <w:iCs/>
          <w:sz w:val="18"/>
          <w:szCs w:val="18"/>
        </w:rPr>
        <w:t xml:space="preserve">Table 2 — List of Vulnerabilities</w:t>
      </w:r>
    </w:p>
    <w:p>
      <w:pPr>
        <w:pStyle w:val="Heading3"/>
      </w:pPr>
      <w:r>
        <w:rPr>
          <w:rFonts w:ascii="Aptos" w:cs="Aptos" w:eastAsia="Aptos" w:hAnsi="Aptos"/>
        </w:rPr>
        <w:t xml:space="preserve">2.2.3 Business Impact Summary</w:t>
      </w:r>
    </w:p>
    <w:p>
      <w:pPr>
        <w:pStyle w:val="ListParagraph"/>
        <w:numPr>
          <w:ilvl w:val="0"/>
          <w:numId w:val="1"/>
        </w:numPr>
      </w:pPr>
      <w:r>
        <w:rPr>
          <w:rFonts w:ascii="Aptos" w:cs="Aptos" w:eastAsia="Aptos" w:hAnsi="Aptos"/>
          <w:sz w:val="22"/>
          <w:szCs w:val="22"/>
        </w:rPr>
        <w:t xml:space="preserve">CRITICAL: Full database read access and credential compromise without authentication required</w:t>
      </w:r>
    </w:p>
    <w:p>
      <w:pPr>
        <w:pStyle w:val="ListParagraph"/>
        <w:numPr>
          <w:ilvl w:val="0"/>
          <w:numId w:val="1"/>
        </w:numPr>
      </w:pPr>
      <w:r>
        <w:rPr>
          <w:rFonts w:ascii="Aptos" w:cs="Aptos" w:eastAsia="Aptos" w:hAnsi="Aptos"/>
          <w:sz w:val="22"/>
          <w:szCs w:val="22"/>
        </w:rPr>
        <w:t xml:space="preserve">Attackers can extract all user passwords via character-by-character extraction loops</w:t>
      </w:r>
    </w:p>
    <w:p>
      <w:pPr>
        <w:pStyle w:val="ListParagraph"/>
        <w:numPr>
          <w:ilvl w:val="0"/>
          <w:numId w:val="1"/>
        </w:numPr>
      </w:pPr>
      <w:r>
        <w:rPr>
          <w:rFonts w:ascii="Aptos" w:cs="Aptos" w:eastAsia="Aptos" w:hAnsi="Aptos"/>
          <w:sz w:val="22"/>
          <w:szCs w:val="22"/>
        </w:rPr>
        <w:t xml:space="preserve">Admin account takeover enables system-wide compromise</w:t>
      </w:r>
    </w:p>
    <w:p>
      <w:pPr>
        <w:pStyle w:val="ListParagraph"/>
        <w:numPr>
          <w:ilvl w:val="0"/>
          <w:numId w:val="1"/>
        </w:numPr>
      </w:pPr>
      <w:r>
        <w:rPr>
          <w:rFonts w:ascii="Aptos" w:cs="Aptos" w:eastAsia="Aptos" w:hAnsi="Aptos"/>
          <w:sz w:val="22"/>
          <w:szCs w:val="22"/>
        </w:rPr>
        <w:t xml:space="preserve">Regulatory violations (GDPR, HIPAA, PCI-DSS) if exploited in production</w:t>
      </w:r>
    </w:p>
    <w:p>
      <w:pPr>
        <w:pStyle w:val="ListParagraph"/>
        <w:numPr>
          <w:ilvl w:val="0"/>
          <w:numId w:val="1"/>
        </w:numPr>
      </w:pPr>
      <w:r>
        <w:rPr>
          <w:rFonts w:ascii="Aptos" w:cs="Aptos" w:eastAsia="Aptos" w:hAnsi="Aptos"/>
          <w:sz w:val="22"/>
          <w:szCs w:val="22"/>
        </w:rPr>
        <w:t xml:space="preserve">Immediate remediation with prepared statements is essential</w:t>
      </w:r>
    </w:p>
    <w:p>
      <w:pPr>
        <w:pStyle w:val="Heading3"/>
      </w:pPr>
      <w:r>
        <w:rPr>
          <w:rFonts w:ascii="Aptos" w:cs="Aptos" w:eastAsia="Aptos" w:hAnsi="Aptos"/>
        </w:rPr>
        <w:t xml:space="preserve">2.2.4 Recommendations</w:t>
      </w:r>
    </w:p>
    <w:p>
      <w:pPr>
        <w:spacing w:after="120"/>
      </w:pPr>
      <w:r>
        <w:rPr>
          <w:rFonts w:ascii="Aptos" w:cs="Aptos" w:eastAsia="Aptos" w:hAnsi="Aptos"/>
          <w:sz w:val="22"/>
          <w:szCs w:val="22"/>
        </w:rPr>
        <w:t xml:space="preserve">Implement prepared statements immediately, enforce input validation, restrict database privileges, and deploy a Web Application Firewall. See Section 6 for detailed remediation steps.</w:t>
      </w:r>
    </w:p>
    <w:p>
      <w:pPr>
        <w:pStyle w:val="Heading3"/>
      </w:pPr>
      <w:r>
        <w:rPr>
          <w:rFonts w:ascii="Aptos" w:cs="Aptos" w:eastAsia="Aptos" w:hAnsi="Aptos"/>
        </w:rPr>
        <w:t xml:space="preserve">2.2.5 Overall Risk Posture</w:t>
      </w:r>
    </w:p>
    <w:p>
      <w:pPr>
        <w:spacing w:after="120"/>
      </w:pPr>
      <w:r>
        <w:rPr>
          <w:rFonts w:ascii="Aptos" w:cs="Aptos" w:eastAsia="Aptos" w:hAnsi="Aptos"/>
          <w:sz w:val="22"/>
          <w:szCs w:val="22"/>
        </w:rPr>
        <w:t xml:space="preserve">The application has a CRITICAL security posture due to the identified SQL injection vulnerability. Immediate patching is required before any production use. No compensating controls are in place.</w:t>
      </w:r>
    </w:p>
    <w:p>
      <w:r>
        <w:br w:type="page"/>
      </w:r>
    </w:p>
    <w:p>
      <w:pPr>
        <w:pStyle w:val="Heading1"/>
      </w:pPr>
      <w:r>
        <w:rPr>
          <w:rFonts w:ascii="Aptos" w:cs="Aptos" w:eastAsia="Aptos" w:hAnsi="Aptos"/>
        </w:rPr>
        <w:t xml:space="preserve">3. Methodology</w:t>
      </w:r>
    </w:p>
    <w:p>
      <w:pPr>
        <w:pStyle w:val="Heading2"/>
      </w:pPr>
      <w:r>
        <w:rPr>
          <w:rFonts w:ascii="Aptos" w:cs="Aptos" w:eastAsia="Aptos" w:hAnsi="Aptos"/>
        </w:rPr>
        <w:t xml:space="preserve">3.1 Overview</w:t>
      </w:r>
    </w:p>
    <w:p>
      <w:pPr>
        <w:spacing w:after="120"/>
      </w:pPr>
      <w:r>
        <w:rPr>
          <w:rFonts w:ascii="Aptos" w:cs="Aptos" w:eastAsia="Aptos" w:hAnsi="Aptos"/>
          <w:sz w:val="22"/>
          <w:szCs w:val="22"/>
        </w:rPr>
        <w:t xml:space="preserve">The assessment followed a structured approach: (1) Reconnaissance &amp; target mapping to identify endpoints, (2) Vulnerability identification via injection testing and parameter fuzzing, (3) Impact analysis through proof-of-concept exploitation, and (4) Detailed reporting with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26"/>
        <w:gridCol w:w="2500"/>
      </w:tblGrid>
      <w:tr>
        <w:trPr>
          <w:tblHeader/>
        </w:trPr>
        <w:tc>
          <w:tcPr>
            <w:tcW w:type="dxa" w:w="18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Tool Name</w:t>
            </w:r>
          </w:p>
        </w:tc>
        <w:tc>
          <w:tcPr>
            <w:tcW w:type="dxa" w:w="20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Purpose</w:t>
            </w:r>
          </w:p>
        </w:tc>
        <w:tc>
          <w:tcPr>
            <w:tcW w:type="dxa" w:w="2726"/>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Scope of Use</w:t>
            </w:r>
          </w:p>
        </w:tc>
        <w:tc>
          <w:tcPr>
            <w:tcW w:type="dxa" w:w="25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Outcome</w:t>
            </w:r>
          </w:p>
        </w:tc>
      </w:tr>
      <w:tr>
        <w:tc>
          <w:tcPr>
            <w:tcW w:type="dxa" w:w="18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ffuf</w:t>
            </w:r>
          </w:p>
        </w:tc>
        <w:tc>
          <w:tcPr>
            <w:tcW w:type="dxa" w:w="20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Content Discovery</w:t>
            </w:r>
          </w:p>
        </w:tc>
        <w:tc>
          <w:tcPr>
            <w:tcW w:type="dxa" w:w="27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Endpoint enumeration within /DVWA scope</w:t>
            </w:r>
          </w:p>
        </w:tc>
        <w:tc>
          <w:tcPr>
            <w:tcW w:type="dxa" w:w="2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16 endpoints discovered</w:t>
            </w:r>
          </w:p>
        </w:tc>
      </w:tr>
      <w:tr>
        <w:tc>
          <w:tcPr>
            <w:tcW w:type="dxa" w:w="18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curl</w:t>
            </w:r>
          </w:p>
        </w:tc>
        <w:tc>
          <w:tcPr>
            <w:tcW w:type="dxa" w:w="20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HTTP Probing</w:t>
            </w:r>
          </w:p>
        </w:tc>
        <w:tc>
          <w:tcPr>
            <w:tcW w:type="dxa" w:w="27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Parameter testing and injection attempts</w:t>
            </w:r>
          </w:p>
        </w:tc>
        <w:tc>
          <w:tcPr>
            <w:tcW w:type="dxa" w:w="25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3 vulnerabilities confirmed</w:t>
            </w:r>
          </w:p>
        </w:tc>
      </w:tr>
      <w:tr>
        <w:tc>
          <w:tcPr>
            <w:tcW w:type="dxa" w:w="18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mysql</w:t>
            </w:r>
          </w:p>
        </w:tc>
        <w:tc>
          <w:tcPr>
            <w:tcW w:type="dxa" w:w="20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Database Access</w:t>
            </w:r>
          </w:p>
        </w:tc>
        <w:tc>
          <w:tcPr>
            <w:tcW w:type="dxa" w:w="27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Credential validation and schema enumeration</w:t>
            </w:r>
          </w:p>
        </w:tc>
        <w:tc>
          <w:tcPr>
            <w:tcW w:type="dxa" w:w="2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Database access confirmed</w:t>
            </w:r>
          </w:p>
        </w:tc>
      </w:tr>
    </w:tbl>
    <w:p>
      <w:pPr>
        <w:spacing w:after="120"/>
        <w:rPr>
          <w:i/>
          <w:iCs/>
          <w:sz w:val="18"/>
          <w:szCs w:val="18"/>
        </w:rPr>
      </w:pPr>
      <w:r>
        <w:rPr>
          <w:rFonts w:ascii="Aptos" w:cs="Aptos" w:eastAsia="Aptos" w:hAnsi="Aptos"/>
          <w:i/>
          <w:iCs/>
          <w:sz w:val="18"/>
          <w:szCs w:val="18"/>
        </w:rPr>
        <w:t xml:space="preserve">Table 3 — Tools Used</w:t>
      </w:r>
    </w:p>
    <w:p>
      <w:r>
        <w:br w:type="page"/>
      </w:r>
    </w:p>
    <w:p>
      <w:pPr>
        <w:pStyle w:val="Heading1"/>
      </w:pPr>
      <w:r>
        <w:rPr>
          <w:rFonts w:ascii="Aptos" w:cs="Aptos" w:eastAsia="Aptos" w:hAnsi="Aptos"/>
        </w:rPr>
        <w:t xml:space="preserve">4. Risk Assessment</w:t>
      </w:r>
    </w:p>
    <w:p>
      <w:pPr>
        <w:spacing w:after="120"/>
      </w:pPr>
      <w:r>
        <w:rPr>
          <w:rFonts w:ascii="Aptos" w:cs="Aptos" w:eastAsia="Aptos" w:hAnsi="Aptos"/>
          <w:sz w:val="22"/>
          <w:szCs w:val="22"/>
        </w:rPr>
        <w:t xml:space="preserve">Risk severity is assessed using CVSS v3.1 scoring aligned with OWASP and NIST standards. SQL injection is classified as CVSS 9.8 (Critical) due to network accessibility, no authentication required, and high impact on confidentiality, integrity, and availability.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900"/>
        <w:gridCol w:w="2000"/>
        <w:gridCol w:w="1826"/>
      </w:tblGrid>
      <w:tr>
        <w:trPr>
          <w:tblHeader/>
        </w:trPr>
        <w:tc>
          <w:tcPr>
            <w:tcW w:type="dxa" w:w="21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Vulnerability Name</w:t>
            </w:r>
          </w:p>
        </w:tc>
        <w:tc>
          <w:tcPr>
            <w:tcW w:type="dxa" w:w="12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Severity</w:t>
            </w:r>
          </w:p>
        </w:tc>
        <w:tc>
          <w:tcPr>
            <w:tcW w:type="dxa" w:w="19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Affected Assets</w:t>
            </w:r>
          </w:p>
        </w:tc>
        <w:tc>
          <w:tcPr>
            <w:tcW w:type="dxa" w:w="20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Potential Impact</w:t>
            </w:r>
          </w:p>
        </w:tc>
        <w:tc>
          <w:tcPr>
            <w:tcW w:type="dxa" w:w="1826"/>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Recommended Mitigation</w:t>
            </w:r>
          </w:p>
        </w:tc>
      </w:tr>
      <w:tr>
        <w:tc>
          <w:tcPr>
            <w:tcW w:type="dxa" w:w="21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Remote Code Execution</w:t>
            </w:r>
          </w:p>
        </w:tc>
        <w:tc>
          <w:tcPr>
            <w:tcW w:type="dxa" w:w="1200"/>
            <w:shd w:fill="C00000"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Critical</w:t>
            </w:r>
          </w:p>
        </w:tc>
        <w:tc>
          <w:tcPr>
            <w:tcW w:type="dxa" w:w="1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Web Application Server</w:t>
            </w:r>
          </w:p>
        </w:tc>
        <w:tc>
          <w:tcPr>
            <w:tcW w:type="dxa" w:w="20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Arbitrary command execution as www-data user; database credentials exposed; system compromise</w:t>
            </w:r>
          </w:p>
        </w:tc>
        <w:tc>
          <w:tcPr>
            <w:tcW w:type="dxa" w:w="18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Immediately patch command execution endpoint; implement input validation</w:t>
            </w:r>
          </w:p>
        </w:tc>
      </w:tr>
      <w:tr>
        <w:tc>
          <w:tcPr>
            <w:tcW w:type="dxa" w:w="21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SQL Injection</w:t>
            </w:r>
          </w:p>
        </w:tc>
        <w:tc>
          <w:tcPr>
            <w:tcW w:type="dxa" w:w="1200"/>
            <w:shd w:fill="FF0000"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High</w:t>
            </w:r>
          </w:p>
        </w:tc>
        <w:tc>
          <w:tcPr>
            <w:tcW w:type="dxa" w:w="19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Application Database</w:t>
            </w:r>
          </w:p>
        </w:tc>
        <w:tc>
          <w:tcPr>
            <w:tcW w:type="dxa" w:w="20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Data extraction; authentication bypass; potential data modification</w:t>
            </w:r>
          </w:p>
        </w:tc>
        <w:tc>
          <w:tcPr>
            <w:tcW w:type="dxa" w:w="18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Deploy prepared statements; implement parameterized queries</w:t>
            </w:r>
          </w:p>
        </w:tc>
      </w:tr>
      <w:tr>
        <w:tc>
          <w:tcPr>
            <w:tcW w:type="dxa" w:w="21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Cross-Site Scripting</w:t>
            </w:r>
          </w:p>
        </w:tc>
        <w:tc>
          <w:tcPr>
            <w:tcW w:type="dxa" w:w="1200"/>
            <w:shd w:fill="FFC000"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Medium</w:t>
            </w:r>
          </w:p>
        </w:tc>
        <w:tc>
          <w:tcPr>
            <w:tcW w:type="dxa" w:w="1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Application Users</w:t>
            </w:r>
          </w:p>
        </w:tc>
        <w:tc>
          <w:tcPr>
            <w:tcW w:type="dxa" w:w="20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Session hijacking; credential theft; malware distribution; user account compromise</w:t>
            </w:r>
          </w:p>
        </w:tc>
        <w:tc>
          <w:tcPr>
            <w:tcW w:type="dxa" w:w="18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Implement output encoding; deploy Content Security Policy headers</w:t>
            </w:r>
          </w:p>
        </w:tc>
      </w:tr>
    </w:tbl>
    <w:p>
      <w:pPr>
        <w:spacing w:after="120"/>
        <w:rPr>
          <w:i/>
          <w:iCs/>
          <w:sz w:val="18"/>
          <w:szCs w:val="18"/>
        </w:rPr>
      </w:pPr>
      <w:r>
        <w:rPr>
          <w:rFonts w:ascii="Aptos" w:cs="Aptos" w:eastAsia="Aptos" w:hAnsi="Aptos"/>
          <w:i/>
          <w:iCs/>
          <w:sz w:val="18"/>
          <w:szCs w:val="18"/>
        </w:rPr>
        <w:t xml:space="preserve">Table 5 — Risk Assessment</w:t>
      </w:r>
    </w:p>
    <w:p>
      <w:r>
        <w:br w:type="page"/>
      </w:r>
    </w:p>
    <w:p>
      <w:pPr>
        <w:pStyle w:val="Heading1"/>
      </w:pPr>
      <w:r>
        <w:rPr>
          <w:rFonts w:ascii="Aptos" w:cs="Aptos" w:eastAsia="Aptos" w:hAnsi="Aptos"/>
        </w:rPr>
        <w:t xml:space="preserve">5. Findings and Evidence</w:t>
      </w:r>
    </w:p>
    <w:p>
      <w:pPr>
        <w:pStyle w:val="Heading3"/>
        <w:spacing w:before="200"/>
      </w:pPr>
      <w:r>
        <w:rPr>
          <w:rFonts w:ascii="Aptos" w:cs="Aptos" w:eastAsia="Aptos" w:hAnsi="Aptos"/>
        </w:rPr>
        <w:t xml:space="preserve">Remote Code Execution via Command Injection — Critical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shd w:fill="C00000" w:color="auto" w:val="clear"/>
            <w:tcMar>
              <w:top w:type="dxa" w:w="60"/>
              <w:left w:type="dxa" w:w="100"/>
              <w:bottom w:type="dxa" w:w="60"/>
              <w:right w:type="dxa" w:w="100"/>
            </w:tcMar>
            <w:vAlign w:val="center"/>
          </w:tcPr>
          <w:p>
            <w:pPr>
              <w:jc w:val="left"/>
            </w:pPr>
            <w:r>
              <w:rPr>
                <w:rFonts w:ascii="Aptos" w:cs="Aptos" w:eastAsia="Aptos" w:hAnsi="Aptos"/>
                <w:b/>
                <w:bCs/>
                <w:color w:val="FFFFFF"/>
                <w:sz w:val="20"/>
                <w:szCs w:val="20"/>
              </w:rPr>
              <w:t xml:space="preserve">Vulnerability Name</w:t>
            </w:r>
          </w:p>
        </w:tc>
        <w:tc>
          <w:tcPr>
            <w:tcW w:type="dxa" w:w="6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Remote Code Execution via Command Injection</w:t>
            </w:r>
          </w:p>
        </w:tc>
      </w:tr>
      <w:tr>
        <w:tc>
          <w:tcPr>
            <w:tcW w:type="dxa" w:w="2400"/>
            <w:shd w:fill="DDEAF6"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CWE</w:t>
            </w:r>
          </w:p>
        </w:tc>
        <w:tc>
          <w:tcPr>
            <w:tcW w:type="dxa" w:w="6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CWE-78 (OS Command Injection)</w:t>
            </w:r>
          </w:p>
        </w:tc>
      </w:tr>
      <w:tr>
        <w:tc>
          <w:tcPr>
            <w:tcW w:type="dxa" w:w="2400"/>
            <w:shd w:fill="DDEAF6"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CVSS Score</w:t>
            </w:r>
          </w:p>
        </w:tc>
        <w:tc>
          <w:tcPr>
            <w:tcW w:type="dxa" w:w="6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9.8 CVSS:3.1/AV:N/AC:L/PR:N/UI:N/S:U/C:H/I:H/A:H (Critical)</w:t>
            </w:r>
          </w:p>
        </w:tc>
      </w:tr>
      <w:tr>
        <w:tc>
          <w:tcPr>
            <w:tcW w:type="dxa" w:w="2400"/>
            <w:shd w:fill="DDEAF6"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Affected Endpoints</w:t>
            </w:r>
          </w:p>
        </w:tc>
        <w:tc>
          <w:tcPr>
            <w:tcW w:type="dxa" w:w="6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/DVWA/vulnerabilities/exec/ (POST, ip parameter)</w:t>
            </w:r>
          </w:p>
        </w:tc>
      </w:tr>
      <w:tr>
        <w:tc>
          <w:tcPr>
            <w:tcW w:type="dxa" w:w="2400"/>
            <w:shd w:fill="DDEAF6"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Description</w:t>
            </w:r>
          </w:p>
        </w:tc>
        <w:tc>
          <w:tcPr>
            <w:tcW w:type="dxa" w:w="6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The /DVWA/vulnerabilities/exec/ endpoint fails to sanitize the 'ip' parameter, allowing OS command injection. Attacker-controlled input is passed directly to shell execution, enabling arbitrary command execution in the www-data user context.</w:t>
            </w:r>
          </w:p>
        </w:tc>
      </w:tr>
      <w:tr>
        <w:tc>
          <w:tcPr>
            <w:tcW w:type="dxa" w:w="2400"/>
            <w:shd w:fill="DDEAF6"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Security Impact</w:t>
            </w:r>
          </w:p>
        </w:tc>
        <w:tc>
          <w:tcPr>
            <w:tcW w:type="dxa" w:w="6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Unauthenticated remote code execution; database credential extraction (dvwa/p@ssw0rd); full system compromise; lateral movement potential; data exfiltration</w:t>
            </w:r>
          </w:p>
        </w:tc>
      </w:tr>
    </w:tbl>
    <w:p>
      <w:pPr>
        <w:spacing w:before="120"/>
        <w:rPr>
          <w:b/>
          <w:bCs/>
        </w:rPr>
      </w:pPr>
      <w:r>
        <w:rPr>
          <w:rFonts w:ascii="Aptos" w:cs="Aptos" w:eastAsia="Aptos" w:hAnsi="Aptos"/>
          <w:b/>
          <w:bCs/>
          <w:sz w:val="22"/>
          <w:szCs w:val="22"/>
        </w:rPr>
        <w:t xml:space="preserve">Exploitation Steps and Payloads</w:t>
      </w:r>
    </w:p>
    <w:p>
      <w:pPr>
        <w:spacing w:before="200"/>
        <w:rPr>
          <w:b/>
          <w:bCs/>
        </w:rPr>
      </w:pPr>
      <w:r>
        <w:rPr>
          <w:rFonts w:ascii="Aptos" w:cs="Aptos" w:eastAsia="Aptos" w:hAnsi="Aptos"/>
          <w:b/>
          <w:bCs/>
          <w:sz w:val="22"/>
          <w:szCs w:val="22"/>
        </w:rPr>
        <w:t xml:space="preserve">References</w:t>
      </w:r>
    </w:p>
    <w:p>
      <w:pPr>
        <w:pStyle w:val="ListParagraph"/>
        <w:numPr>
          <w:ilvl w:val="0"/>
          <w:numId w:val="1"/>
        </w:numPr>
      </w:pPr>
      <w:r>
        <w:rPr>
          <w:rFonts w:ascii="Aptos" w:cs="Aptos" w:eastAsia="Aptos" w:hAnsi="Aptos"/>
          <w:sz w:val="22"/>
          <w:szCs w:val="22"/>
        </w:rPr>
        <w:t xml:space="preserve">CWE-78: Improper Neutralization of Special Elements used in an OS Command</w:t>
      </w:r>
    </w:p>
    <w:p>
      <w:pPr>
        <w:pStyle w:val="ListParagraph"/>
        <w:numPr>
          <w:ilvl w:val="0"/>
          <w:numId w:val="1"/>
        </w:numPr>
      </w:pPr>
      <w:r>
        <w:rPr>
          <w:rFonts w:ascii="Aptos" w:cs="Aptos" w:eastAsia="Aptos" w:hAnsi="Aptos"/>
          <w:sz w:val="22"/>
          <w:szCs w:val="22"/>
        </w:rPr>
        <w:t xml:space="preserve">OWASP OS Command Injection</w:t>
      </w:r>
    </w:p>
    <w:p>
      <w:pPr>
        <w:pStyle w:val="Heading3"/>
        <w:spacing w:before="200"/>
      </w:pPr>
      <w:r>
        <w:rPr>
          <w:rFonts w:ascii="Aptos" w:cs="Aptos" w:eastAsia="Aptos" w:hAnsi="Aptos"/>
        </w:rPr>
        <w:t xml:space="preserve">SQL Injection in ID Parameter — High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shd w:fill="FF0000" w:color="auto" w:val="clear"/>
            <w:tcMar>
              <w:top w:type="dxa" w:w="60"/>
              <w:left w:type="dxa" w:w="100"/>
              <w:bottom w:type="dxa" w:w="60"/>
              <w:right w:type="dxa" w:w="100"/>
            </w:tcMar>
            <w:vAlign w:val="center"/>
          </w:tcPr>
          <w:p>
            <w:pPr>
              <w:jc w:val="left"/>
            </w:pPr>
            <w:r>
              <w:rPr>
                <w:rFonts w:ascii="Aptos" w:cs="Aptos" w:eastAsia="Aptos" w:hAnsi="Aptos"/>
                <w:b/>
                <w:bCs/>
                <w:color w:val="FFFFFF"/>
                <w:sz w:val="20"/>
                <w:szCs w:val="20"/>
              </w:rPr>
              <w:t xml:space="preserve">Vulnerability Name</w:t>
            </w:r>
          </w:p>
        </w:tc>
        <w:tc>
          <w:tcPr>
            <w:tcW w:type="dxa" w:w="6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SQL Injection in ID Parameter</w:t>
            </w:r>
          </w:p>
        </w:tc>
      </w:tr>
      <w:tr>
        <w:tc>
          <w:tcPr>
            <w:tcW w:type="dxa" w:w="2400"/>
            <w:shd w:fill="DDEAF6"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CWE</w:t>
            </w:r>
          </w:p>
        </w:tc>
        <w:tc>
          <w:tcPr>
            <w:tcW w:type="dxa" w:w="6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CWE-89 (SQL Injection)</w:t>
            </w:r>
          </w:p>
        </w:tc>
      </w:tr>
      <w:tr>
        <w:tc>
          <w:tcPr>
            <w:tcW w:type="dxa" w:w="2400"/>
            <w:shd w:fill="DDEAF6"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CVSS Score</w:t>
            </w:r>
          </w:p>
        </w:tc>
        <w:tc>
          <w:tcPr>
            <w:tcW w:type="dxa" w:w="6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8.6 CVSS:3.1/AV:N/AC:L/PR:N/UI:N/S:U/C:H/I:L/A:L (High)</w:t>
            </w:r>
          </w:p>
        </w:tc>
      </w:tr>
      <w:tr>
        <w:tc>
          <w:tcPr>
            <w:tcW w:type="dxa" w:w="2400"/>
            <w:shd w:fill="DDEAF6"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Affected Endpoints</w:t>
            </w:r>
          </w:p>
        </w:tc>
        <w:tc>
          <w:tcPr>
            <w:tcW w:type="dxa" w:w="6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/DVWA/vulnerabilities/sqli/ (GET, id parameter)</w:t>
            </w:r>
          </w:p>
        </w:tc>
      </w:tr>
      <w:tr>
        <w:tc>
          <w:tcPr>
            <w:tcW w:type="dxa" w:w="2400"/>
            <w:shd w:fill="DDEAF6"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Description</w:t>
            </w:r>
          </w:p>
        </w:tc>
        <w:tc>
          <w:tcPr>
            <w:tcW w:type="dxa" w:w="6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The /DVWA/vulnerabilities/sqli/ endpoint incorporates user input from the 'id' parameter directly into SQL queries without sanitization. Both error-based and boolean-based SQL injection techniques confirmed. Attacker can extract arbitrary data from the MySQL database.</w:t>
            </w:r>
          </w:p>
        </w:tc>
      </w:tr>
      <w:tr>
        <w:tc>
          <w:tcPr>
            <w:tcW w:type="dxa" w:w="2400"/>
            <w:shd w:fill="DDEAF6"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Security Impact</w:t>
            </w:r>
          </w:p>
        </w:tc>
        <w:tc>
          <w:tcPr>
            <w:tcW w:type="dxa" w:w="6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Unauthorized data access; user credentials and sensitive information extraction; potential authentication bypass; data modification; database account credential discovery</w:t>
            </w:r>
          </w:p>
        </w:tc>
      </w:tr>
    </w:tbl>
    <w:p>
      <w:pPr>
        <w:spacing w:before="120"/>
        <w:rPr>
          <w:b/>
          <w:bCs/>
        </w:rPr>
      </w:pPr>
      <w:r>
        <w:rPr>
          <w:rFonts w:ascii="Aptos" w:cs="Aptos" w:eastAsia="Aptos" w:hAnsi="Aptos"/>
          <w:b/>
          <w:bCs/>
          <w:sz w:val="22"/>
          <w:szCs w:val="22"/>
        </w:rPr>
        <w:t xml:space="preserve">Exploitation Steps and Payloads</w:t>
      </w:r>
    </w:p>
    <w:p>
      <w:pPr>
        <w:spacing w:before="200"/>
        <w:rPr>
          <w:b/>
          <w:bCs/>
        </w:rPr>
      </w:pPr>
      <w:r>
        <w:rPr>
          <w:rFonts w:ascii="Aptos" w:cs="Aptos" w:eastAsia="Aptos" w:hAnsi="Aptos"/>
          <w:b/>
          <w:bCs/>
          <w:sz w:val="22"/>
          <w:szCs w:val="22"/>
        </w:rPr>
        <w:t xml:space="preserve">References</w:t>
      </w:r>
    </w:p>
    <w:p>
      <w:pPr>
        <w:pStyle w:val="ListParagraph"/>
        <w:numPr>
          <w:ilvl w:val="0"/>
          <w:numId w:val="1"/>
        </w:numPr>
      </w:pPr>
      <w:r>
        <w:rPr>
          <w:rFonts w:ascii="Aptos" w:cs="Aptos" w:eastAsia="Aptos" w:hAnsi="Aptos"/>
          <w:sz w:val="22"/>
          <w:szCs w:val="22"/>
        </w:rPr>
        <w:t xml:space="preserve">CWE-89: SQL Injection</w:t>
      </w:r>
    </w:p>
    <w:p>
      <w:pPr>
        <w:pStyle w:val="ListParagraph"/>
        <w:numPr>
          <w:ilvl w:val="0"/>
          <w:numId w:val="1"/>
        </w:numPr>
      </w:pPr>
      <w:r>
        <w:rPr>
          <w:rFonts w:ascii="Aptos" w:cs="Aptos" w:eastAsia="Aptos" w:hAnsi="Aptos"/>
          <w:sz w:val="22"/>
          <w:szCs w:val="22"/>
        </w:rPr>
        <w:t xml:space="preserve">OWASP SQL Injection Prevention Cheat Sheet</w:t>
      </w:r>
    </w:p>
    <w:p>
      <w:pPr>
        <w:pStyle w:val="Heading3"/>
        <w:spacing w:before="200"/>
      </w:pPr>
      <w:r>
        <w:rPr>
          <w:rFonts w:ascii="Aptos" w:cs="Aptos" w:eastAsia="Aptos" w:hAnsi="Aptos"/>
        </w:rPr>
        <w:t xml:space="preserve">Reflected Cross-Site Scripting (XSS) — Medium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shd w:fill="FFC000" w:color="auto" w:val="clear"/>
            <w:tcMar>
              <w:top w:type="dxa" w:w="60"/>
              <w:left w:type="dxa" w:w="100"/>
              <w:bottom w:type="dxa" w:w="60"/>
              <w:right w:type="dxa" w:w="100"/>
            </w:tcMar>
            <w:vAlign w:val="center"/>
          </w:tcPr>
          <w:p>
            <w:pPr>
              <w:jc w:val="left"/>
            </w:pPr>
            <w:r>
              <w:rPr>
                <w:rFonts w:ascii="Aptos" w:cs="Aptos" w:eastAsia="Aptos" w:hAnsi="Aptos"/>
                <w:b/>
                <w:bCs/>
                <w:color w:val="FFFFFF"/>
                <w:sz w:val="20"/>
                <w:szCs w:val="20"/>
              </w:rPr>
              <w:t xml:space="preserve">Vulnerability Name</w:t>
            </w:r>
          </w:p>
        </w:tc>
        <w:tc>
          <w:tcPr>
            <w:tcW w:type="dxa" w:w="6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Reflected Cross-Site Scripting (XSS)</w:t>
            </w:r>
          </w:p>
        </w:tc>
      </w:tr>
      <w:tr>
        <w:tc>
          <w:tcPr>
            <w:tcW w:type="dxa" w:w="2400"/>
            <w:shd w:fill="DDEAF6"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CWE</w:t>
            </w:r>
          </w:p>
        </w:tc>
        <w:tc>
          <w:tcPr>
            <w:tcW w:type="dxa" w:w="6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CWE-79 (Cross-Site Scripting)</w:t>
            </w:r>
          </w:p>
        </w:tc>
      </w:tr>
      <w:tr>
        <w:tc>
          <w:tcPr>
            <w:tcW w:type="dxa" w:w="2400"/>
            <w:shd w:fill="DDEAF6"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CVSS Score</w:t>
            </w:r>
          </w:p>
        </w:tc>
        <w:tc>
          <w:tcPr>
            <w:tcW w:type="dxa" w:w="6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6.1 CVSS:3.1/AV:N/AC:L/PR:N/UI:R/S:C/C:L/I:L/A:N (Medium)</w:t>
            </w:r>
          </w:p>
        </w:tc>
      </w:tr>
      <w:tr>
        <w:tc>
          <w:tcPr>
            <w:tcW w:type="dxa" w:w="2400"/>
            <w:shd w:fill="DDEAF6"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Affected Endpoints</w:t>
            </w:r>
          </w:p>
        </w:tc>
        <w:tc>
          <w:tcPr>
            <w:tcW w:type="dxa" w:w="6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/DVWA/vulnerabilities/xss_r/ (GET, XSS parameter)</w:t>
            </w:r>
          </w:p>
        </w:tc>
      </w:tr>
      <w:tr>
        <w:tc>
          <w:tcPr>
            <w:tcW w:type="dxa" w:w="2400"/>
            <w:shd w:fill="DDEAF6"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Description</w:t>
            </w:r>
          </w:p>
        </w:tc>
        <w:tc>
          <w:tcPr>
            <w:tcW w:type="dxa" w:w="6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The /DVWA/vulnerabilities/xss_r/ endpoint reflects user-supplied input directly into the HTML response without encoding. JavaScript payloads execute in victim browsers, enabling session hijacking, credential theft, and malware distribution.</w:t>
            </w:r>
          </w:p>
        </w:tc>
      </w:tr>
      <w:tr>
        <w:tc>
          <w:tcPr>
            <w:tcW w:type="dxa" w:w="2400"/>
            <w:shd w:fill="DDEAF6"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Security Impact</w:t>
            </w:r>
          </w:p>
        </w:tc>
        <w:tc>
          <w:tcPr>
            <w:tcW w:type="dxa" w:w="6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Session hijacking via cookie theft; credential harvesting through fake login forms; malware distribution; user account compromise; phishing attacks; information disclosure</w:t>
            </w:r>
          </w:p>
        </w:tc>
      </w:tr>
    </w:tbl>
    <w:p>
      <w:pPr>
        <w:spacing w:before="120"/>
        <w:rPr>
          <w:b/>
          <w:bCs/>
        </w:rPr>
      </w:pPr>
      <w:r>
        <w:rPr>
          <w:rFonts w:ascii="Aptos" w:cs="Aptos" w:eastAsia="Aptos" w:hAnsi="Aptos"/>
          <w:b/>
          <w:bCs/>
          <w:sz w:val="22"/>
          <w:szCs w:val="22"/>
        </w:rPr>
        <w:t xml:space="preserve">Exploitation Steps and Payloads</w:t>
      </w:r>
    </w:p>
    <w:p>
      <w:pPr>
        <w:spacing w:before="200"/>
        <w:rPr>
          <w:b/>
          <w:bCs/>
        </w:rPr>
      </w:pPr>
      <w:r>
        <w:rPr>
          <w:rFonts w:ascii="Aptos" w:cs="Aptos" w:eastAsia="Aptos" w:hAnsi="Aptos"/>
          <w:b/>
          <w:bCs/>
          <w:sz w:val="22"/>
          <w:szCs w:val="22"/>
        </w:rPr>
        <w:t xml:space="preserve">References</w:t>
      </w:r>
    </w:p>
    <w:p>
      <w:pPr>
        <w:pStyle w:val="ListParagraph"/>
        <w:numPr>
          <w:ilvl w:val="0"/>
          <w:numId w:val="1"/>
        </w:numPr>
      </w:pPr>
      <w:r>
        <w:rPr>
          <w:rFonts w:ascii="Aptos" w:cs="Aptos" w:eastAsia="Aptos" w:hAnsi="Aptos"/>
          <w:sz w:val="22"/>
          <w:szCs w:val="22"/>
        </w:rPr>
        <w:t xml:space="preserve">CWE-79: Improper Neutralization of Input During Web Page Generation</w:t>
      </w:r>
    </w:p>
    <w:p>
      <w:pPr>
        <w:pStyle w:val="ListParagraph"/>
        <w:numPr>
          <w:ilvl w:val="0"/>
          <w:numId w:val="1"/>
        </w:numPr>
      </w:pPr>
      <w:r>
        <w:rPr>
          <w:rFonts w:ascii="Aptos" w:cs="Aptos" w:eastAsia="Aptos" w:hAnsi="Aptos"/>
          <w:sz w:val="22"/>
          <w:szCs w:val="22"/>
        </w:rPr>
        <w:t xml:space="preserve">OWASP XSS Prevention Cheat Sheet</w:t>
      </w:r>
    </w:p>
    <w:p>
      <w:r>
        <w:br w:type="page"/>
      </w:r>
    </w:p>
    <w:p>
      <w:pPr>
        <w:pStyle w:val="Heading1"/>
      </w:pPr>
      <w:r>
        <w:rPr>
          <w:rFonts w:ascii="Aptos" w:cs="Aptos" w:eastAsia="Aptos" w:hAnsi="Aptos"/>
        </w:rPr>
        <w:t xml:space="preserve">6. Recommendations</w:t>
      </w:r>
    </w:p>
    <w:p>
      <w:pPr>
        <w:pStyle w:val="Heading2"/>
      </w:pPr>
      <w:r>
        <w:rPr>
          <w:rFonts w:ascii="Aptos" w:cs="Aptos" w:eastAsia="Aptos" w:hAnsi="Aptos"/>
        </w:rPr>
        <w:t xml:space="preserve">6.1 Immediate Actions (Urgent — within 48 hours)</w:t>
      </w:r>
    </w:p>
    <w:p>
      <w:pPr>
        <w:pStyle w:val="ListParagraph"/>
        <w:numPr>
          <w:ilvl w:val="0"/>
          <w:numId w:val="1"/>
        </w:numPr>
      </w:pPr>
      <w:r>
        <w:rPr>
          <w:rFonts w:ascii="Aptos" w:cs="Aptos" w:eastAsia="Aptos" w:hAnsi="Aptos"/>
          <w:sz w:val="22"/>
          <w:szCs w:val="22"/>
        </w:rPr>
        <w:t xml:space="preserve">Use parameterized queries / prepared statements for all database interactions</w:t>
      </w:r>
    </w:p>
    <w:p>
      <w:pPr>
        <w:pStyle w:val="ListParagraph"/>
        <w:numPr>
          <w:ilvl w:val="0"/>
          <w:numId w:val="1"/>
        </w:numPr>
      </w:pPr>
      <w:r>
        <w:rPr>
          <w:rFonts w:ascii="Aptos" w:cs="Aptos" w:eastAsia="Aptos" w:hAnsi="Aptos"/>
          <w:sz w:val="22"/>
          <w:szCs w:val="22"/>
        </w:rPr>
        <w:t xml:space="preserve">Implement strict input validation (force integer type for ID parameters)</w:t>
      </w:r>
    </w:p>
    <w:p>
      <w:pPr>
        <w:pStyle w:val="ListParagraph"/>
        <w:numPr>
          <w:ilvl w:val="0"/>
          <w:numId w:val="1"/>
        </w:numPr>
      </w:pPr>
      <w:r>
        <w:rPr>
          <w:rFonts w:ascii="Aptos" w:cs="Aptos" w:eastAsia="Aptos" w:hAnsi="Aptos"/>
          <w:sz w:val="22"/>
          <w:szCs w:val="22"/>
        </w:rPr>
        <w:t xml:space="preserve">Test the patch against known SQLi payloads before deployment</w:t>
      </w:r>
    </w:p>
    <w:p>
      <w:pPr>
        <w:pStyle w:val="Heading2"/>
      </w:pPr>
      <w:r>
        <w:rPr>
          <w:rFonts w:ascii="Aptos" w:cs="Aptos" w:eastAsia="Aptos" w:hAnsi="Aptos"/>
        </w:rPr>
        <w:t xml:space="preserve">6.2 Short-Term Hardening (1-2 weeks)</w:t>
      </w:r>
    </w:p>
    <w:p>
      <w:pPr>
        <w:pStyle w:val="ListParagraph"/>
        <w:numPr>
          <w:ilvl w:val="0"/>
          <w:numId w:val="1"/>
        </w:numPr>
      </w:pPr>
      <w:r>
        <w:rPr>
          <w:rFonts w:ascii="Aptos" w:cs="Aptos" w:eastAsia="Aptos" w:hAnsi="Aptos"/>
          <w:sz w:val="22"/>
          <w:szCs w:val="22"/>
        </w:rPr>
        <w:t xml:space="preserve">Restrict database account to SELECT-only operations</w:t>
      </w:r>
    </w:p>
    <w:p>
      <w:pPr>
        <w:pStyle w:val="ListParagraph"/>
        <w:numPr>
          <w:ilvl w:val="0"/>
          <w:numId w:val="1"/>
        </w:numPr>
      </w:pPr>
      <w:r>
        <w:rPr>
          <w:rFonts w:ascii="Aptos" w:cs="Aptos" w:eastAsia="Aptos" w:hAnsi="Aptos"/>
          <w:sz w:val="22"/>
          <w:szCs w:val="22"/>
        </w:rPr>
        <w:t xml:space="preserve">Remove database user access to information_schema</w:t>
      </w:r>
    </w:p>
    <w:p>
      <w:pPr>
        <w:pStyle w:val="ListParagraph"/>
        <w:numPr>
          <w:ilvl w:val="0"/>
          <w:numId w:val="1"/>
        </w:numPr>
      </w:pPr>
      <w:r>
        <w:rPr>
          <w:rFonts w:ascii="Aptos" w:cs="Aptos" w:eastAsia="Aptos" w:hAnsi="Aptos"/>
          <w:sz w:val="22"/>
          <w:szCs w:val="22"/>
        </w:rPr>
        <w:t xml:space="preserve">Suppress detailed error messages in production</w:t>
      </w:r>
    </w:p>
    <w:p>
      <w:pPr>
        <w:pStyle w:val="ListParagraph"/>
        <w:numPr>
          <w:ilvl w:val="0"/>
          <w:numId w:val="1"/>
        </w:numPr>
      </w:pPr>
      <w:r>
        <w:rPr>
          <w:rFonts w:ascii="Aptos" w:cs="Aptos" w:eastAsia="Aptos" w:hAnsi="Aptos"/>
          <w:sz w:val="22"/>
          <w:szCs w:val="22"/>
        </w:rPr>
        <w:t xml:space="preserve">Force password reset for all users</w:t>
      </w:r>
    </w:p>
    <w:p>
      <w:pPr>
        <w:pStyle w:val="Heading2"/>
      </w:pPr>
      <w:r>
        <w:rPr>
          <w:rFonts w:ascii="Aptos" w:cs="Aptos" w:eastAsia="Aptos" w:hAnsi="Aptos"/>
        </w:rPr>
        <w:t xml:space="preserve">6.3 Long-Term Security Program (Ongoing)</w:t>
      </w:r>
    </w:p>
    <w:p>
      <w:pPr>
        <w:pStyle w:val="ListParagraph"/>
        <w:numPr>
          <w:ilvl w:val="0"/>
          <w:numId w:val="1"/>
        </w:numPr>
      </w:pPr>
      <w:r>
        <w:rPr>
          <w:rFonts w:ascii="Aptos" w:cs="Aptos" w:eastAsia="Aptos" w:hAnsi="Aptos"/>
          <w:sz w:val="22"/>
          <w:szCs w:val="22"/>
        </w:rPr>
        <w:t xml:space="preserve">Implement automated SQL injection scanning in CI/CD pipeline</w:t>
      </w:r>
    </w:p>
    <w:p>
      <w:pPr>
        <w:pStyle w:val="ListParagraph"/>
        <w:numPr>
          <w:ilvl w:val="0"/>
          <w:numId w:val="1"/>
        </w:numPr>
      </w:pPr>
      <w:r>
        <w:rPr>
          <w:rFonts w:ascii="Aptos" w:cs="Aptos" w:eastAsia="Aptos" w:hAnsi="Aptos"/>
          <w:sz w:val="22"/>
          <w:szCs w:val="22"/>
        </w:rPr>
        <w:t xml:space="preserve">Deploy a Web Application Firewall (WAF) with SQL injection rules</w:t>
      </w:r>
    </w:p>
    <w:p>
      <w:pPr>
        <w:pStyle w:val="ListParagraph"/>
        <w:numPr>
          <w:ilvl w:val="0"/>
          <w:numId w:val="1"/>
        </w:numPr>
      </w:pPr>
      <w:r>
        <w:rPr>
          <w:rFonts w:ascii="Aptos" w:cs="Aptos" w:eastAsia="Aptos" w:hAnsi="Aptos"/>
          <w:sz w:val="22"/>
          <w:szCs w:val="22"/>
        </w:rPr>
        <w:t xml:space="preserve">Conduct code reviews for all database queries</w:t>
      </w:r>
    </w:p>
    <w:p>
      <w:pPr>
        <w:pStyle w:val="ListParagraph"/>
        <w:numPr>
          <w:ilvl w:val="0"/>
          <w:numId w:val="1"/>
        </w:numPr>
      </w:pPr>
      <w:r>
        <w:rPr>
          <w:rFonts w:ascii="Aptos" w:cs="Aptos" w:eastAsia="Aptos" w:hAnsi="Aptos"/>
          <w:sz w:val="22"/>
          <w:szCs w:val="22"/>
        </w:rPr>
        <w:t xml:space="preserve">Perform quarterly penetration testing</w:t>
      </w:r>
    </w:p>
    <w:p>
      <w:pPr>
        <w:pStyle w:val="ListParagraph"/>
        <w:numPr>
          <w:ilvl w:val="0"/>
          <w:numId w:val="1"/>
        </w:numPr>
      </w:pPr>
      <w:r>
        <w:rPr>
          <w:rFonts w:ascii="Aptos" w:cs="Aptos" w:eastAsia="Aptos" w:hAnsi="Aptos"/>
          <w:sz w:val="22"/>
          <w:szCs w:val="22"/>
        </w:rPr>
        <w:t xml:space="preserve">Implement Security Development Lifecycle (SDLC) practices</w:t>
      </w:r>
    </w:p>
    <w:p>
      <w:r>
        <w:br w:type="page"/>
      </w:r>
    </w:p>
    <w:p>
      <w:pPr>
        <w:pStyle w:val="Heading1"/>
      </w:pPr>
      <w:r>
        <w:rPr>
          <w:rFonts w:ascii="Aptos" w:cs="Aptos" w:eastAsia="Aptos" w:hAnsi="Aptos"/>
        </w:rPr>
        <w:t xml:space="preserve">Appendix A: Glossary of Technical Terms</w:t>
      </w:r>
    </w:p>
    <w:p>
      <w:pPr>
        <w:spacing w:after="120"/>
      </w:pPr>
      <w:r>
        <w:rPr>
          <w:rFonts w:ascii="Aptos" w:cs="Aptos" w:eastAsia="Aptos" w:hAnsi="Aptos"/>
          <w:sz w:val="22"/>
          <w:szCs w:val="22"/>
        </w:rPr>
        <w:t xml:space="preserve">{{Glossary}}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2a6fa8591bb3f1c78e9ef88b7f8effb53244aa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2026-08-27T08:26:19.151Z</dcterms:created>
  <dcterms:modified xsi:type="dcterms:W3CDTF">2026-08-27T08:26:19.152Z</dcterms:modified>
</cp:coreProperties>
</file>

<file path=docProps/custom.xml><?xml version="1.0" encoding="utf-8"?>
<Properties xmlns="http://schemas.openxmlformats.org/officeDocument/2006/custom-properties" xmlns:vt="http://schemas.openxmlformats.org/officeDocument/2006/docPropsVTypes"/>
</file>