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2857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571625"/>
                    </a:xfrm>
                    <a:prstGeom prst="rect">
                      <a:avLst/>
                    </a:prstGeom>
                  </pic:spPr>
                </pic:pic>
              </a:graphicData>
            </a:graphic>
          </wp:inline>
        </w:drawing>
      </w:r>
    </w:p>
    <w:p>
      <w:pPr>
        <w:spacing w:before="400"/>
      </w:pPr>
    </w:p>
    <w:p>
      <w:pPr>
        <w:spacing w:after="120" w:before="600"/>
        <w:jc w:val="center"/>
      </w:pPr>
      <w:r>
        <w:rPr>
          <w:rFonts w:ascii="Aptos" w:cs="Aptos" w:eastAsia="Aptos" w:hAnsi="Aptos"/>
          <w:b/>
          <w:bCs/>
          <w:color w:val="0E2841"/>
          <w:sz w:val="56"/>
          <w:szCs w:val="56"/>
        </w:rPr>
        <w:t xml:space="preserve">Web Application Security Assessment Report</w:t>
      </w:r>
    </w:p>
    <w:p>
      <w:pPr>
        <w:spacing w:after="400"/>
        <w:jc w:val="center"/>
      </w:pPr>
      <w:r>
        <w:rPr>
          <w:rFonts w:ascii="Aptos" w:cs="Aptos" w:eastAsia="Aptos" w:hAnsi="Aptos"/>
          <w:color w:val="156082"/>
          <w:sz w:val="32"/>
          <w:szCs w:val="32"/>
        </w:rPr>
        <w:t xml:space="preserve">Report of Findings</w:t>
      </w:r>
    </w:p>
    <w:p>
      <w:pPr>
        <w:spacing w:after="60"/>
        <w:jc w:val="center"/>
      </w:pPr>
      <w:r>
        <w:rPr>
          <w:rFonts w:ascii="Aptos" w:cs="Aptos" w:eastAsia="Aptos" w:hAnsi="Aptos"/>
          <w:b/>
          <w:bCs/>
          <w:sz w:val="22"/>
          <w:szCs w:val="22"/>
        </w:rPr>
        <w:t xml:space="preserve">Assessor: </w:t>
      </w:r>
      <w:r>
        <w:rPr>
          <w:rFonts w:ascii="Aptos" w:cs="Aptos" w:eastAsia="Aptos" w:hAnsi="Aptos"/>
          <w:sz w:val="22"/>
          <w:szCs w:val="22"/>
        </w:rPr>
        <w:t xml:space="preserve">CAIT</w:t>
      </w:r>
    </w:p>
    <w:p>
      <w:pPr>
        <w:spacing w:after="60"/>
        <w:jc w:val="center"/>
      </w:pPr>
      <w:r>
        <w:rPr>
          <w:rFonts w:ascii="Aptos" w:cs="Aptos" w:eastAsia="Aptos" w:hAnsi="Aptos"/>
          <w:b/>
          <w:bCs/>
          <w:sz w:val="22"/>
          <w:szCs w:val="22"/>
        </w:rPr>
        <w:t xml:space="preserve">Designation: </w:t>
      </w:r>
      <w:r>
        <w:rPr>
          <w:rFonts w:ascii="Aptos" w:cs="Aptos" w:eastAsia="Aptos" w:hAnsi="Aptos"/>
          <w:sz w:val="22"/>
          <w:szCs w:val="22"/>
        </w:rPr>
        <w:t xml:space="preserve">Penetration Testing Operator</w:t>
      </w:r>
    </w:p>
    <w:p>
      <w:pPr>
        <w:spacing w:after="60"/>
        <w:jc w:val="center"/>
      </w:pPr>
      <w:r>
        <w:rPr>
          <w:rFonts w:ascii="Aptos" w:cs="Aptos" w:eastAsia="Aptos" w:hAnsi="Aptos"/>
          <w:b/>
          <w:bCs/>
          <w:sz w:val="22"/>
          <w:szCs w:val="22"/>
        </w:rPr>
        <w:t xml:space="preserve">Client: </w:t>
      </w:r>
      <w:r>
        <w:rPr>
          <w:rFonts w:ascii="Aptos" w:cs="Aptos" w:eastAsia="Aptos" w:hAnsi="Aptos"/>
          <w:sz w:val="22"/>
          <w:szCs w:val="22"/>
        </w:rPr>
        <w:t xml:space="preserve">Local DVWA Practice</w:t>
      </w:r>
    </w:p>
    <w:p>
      <w:pPr>
        <w:spacing w:after="60"/>
        <w:jc w:val="center"/>
      </w:pPr>
      <w:r>
        <w:rPr>
          <w:rFonts w:ascii="Aptos" w:cs="Aptos" w:eastAsia="Aptos" w:hAnsi="Aptos"/>
          <w:b/>
          <w:bCs/>
          <w:sz w:val="22"/>
          <w:szCs w:val="22"/>
        </w:rPr>
        <w:t xml:space="preserve">Date: </w:t>
      </w:r>
      <w:r>
        <w:rPr>
          <w:rFonts w:ascii="Aptos" w:cs="Aptos" w:eastAsia="Aptos" w:hAnsi="Aptos"/>
          <w:sz w:val="22"/>
          <w:szCs w:val="22"/>
        </w:rPr>
        <w:t xml:space="preserve">2026-08-24</w:t>
      </w:r>
    </w:p>
    <w:p>
      <w:pPr>
        <w:spacing w:after="60"/>
        <w:jc w:val="center"/>
      </w:pPr>
      <w:r>
        <w:rPr>
          <w:rFonts w:ascii="Aptos" w:cs="Aptos" w:eastAsia="Aptos" w:hAnsi="Aptos"/>
          <w:b/>
          <w:bCs/>
          <w:sz w:val="22"/>
          <w:szCs w:val="22"/>
        </w:rPr>
        <w:t xml:space="preserve">Version: </w:t>
      </w:r>
      <w:r>
        <w:rPr>
          <w:rFonts w:ascii="Aptos" w:cs="Aptos" w:eastAsia="Aptos" w:hAnsi="Aptos"/>
          <w:sz w:val="22"/>
          <w:szCs w:val="22"/>
        </w:rPr>
        <w:t xml:space="preserve">1.0</w:t>
      </w:r>
    </w:p>
    <w:p>
      <w:r>
        <w:br w:type="page"/>
      </w:r>
    </w:p>
    <w:p>
      <w:pPr>
        <w:pStyle w:val="Heading1"/>
      </w:pPr>
      <w:r>
        <w:rPr>
          <w:rFonts w:ascii="Aptos" w:cs="Aptos" w:eastAsia="Aptos" w:hAnsi="Apto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ptos" w:cs="Aptos" w:eastAsia="Aptos" w:hAnsi="Aptos"/>
        </w:rPr>
        <w:t xml:space="preserve">1. Document Control</w:t>
      </w:r>
    </w:p>
    <w:p>
      <w:pPr>
        <w:pStyle w:val="Heading2"/>
      </w:pPr>
      <w:r>
        <w:rPr>
          <w:rFonts w:ascii="Aptos" w:cs="Aptos" w:eastAsia="Aptos" w:hAnsi="Aptos"/>
        </w:rPr>
        <w:t xml:space="preserve">1.1 Engagement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Contact</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Details</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Role</w:t>
            </w:r>
          </w:p>
        </w:tc>
      </w:tr>
      <w:tr>
        <w:tc>
          <w:tcPr>
            <w:tcW w:type="dxa" w:w="3008"/>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CAIT</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 Assessment Operator</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Tester</w:t>
            </w:r>
          </w:p>
        </w:tc>
      </w:tr>
      <w:tr>
        <w:tc>
          <w:tcPr>
            <w:tcW w:type="dxa" w:w="3008"/>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CAIT</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Report Generator</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Automated Assessment Framework</w:t>
            </w:r>
          </w:p>
        </w:tc>
      </w:tr>
    </w:tbl>
    <w:p>
      <w:pPr>
        <w:spacing w:after="120"/>
      </w:pPr>
      <w:r>
        <w:rPr>
          <w:rFonts w:ascii="Aptos" w:cs="Aptos" w:eastAsia="Aptos" w:hAnsi="Aptos"/>
          <w:sz w:val="22"/>
          <w:szCs w:val="22"/>
        </w:rPr>
        <w:t xml:space="preserve"/>
      </w:r>
    </w:p>
    <w:p>
      <w:pPr>
        <w:pStyle w:val="Heading2"/>
      </w:pPr>
      <w:r>
        <w:rPr>
          <w:rFonts w:ascii="Aptos" w:cs="Aptos" w:eastAsia="Aptos" w:hAnsi="Aptos"/>
        </w:rPr>
        <w:t xml:space="preserve">1.2 List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Version</w:t>
            </w:r>
          </w:p>
        </w:tc>
        <w:tc>
          <w:tcPr>
            <w:tcW w:type="dxa" w:w="4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2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Date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0.1</w:t>
            </w:r>
          </w:p>
        </w:tc>
        <w:tc>
          <w:tcPr>
            <w:tcW w:type="dxa" w:w="4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Draft</w:t>
            </w:r>
          </w:p>
        </w:tc>
        <w:tc>
          <w:tcPr>
            <w:tcW w:type="dxa" w:w="2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2026-08-20</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1.0</w:t>
            </w:r>
          </w:p>
        </w:tc>
        <w:tc>
          <w:tcPr>
            <w:tcW w:type="dxa" w:w="44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Final Report</w:t>
            </w:r>
          </w:p>
        </w:tc>
        <w:tc>
          <w:tcPr>
            <w:tcW w:type="dxa" w:w="2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2026-08-24</w:t>
            </w:r>
          </w:p>
        </w:tc>
      </w:tr>
    </w:tbl>
    <w:p>
      <w:r>
        <w:br w:type="page"/>
      </w:r>
    </w:p>
    <w:p>
      <w:pPr>
        <w:pStyle w:val="Heading1"/>
      </w:pPr>
      <w:r>
        <w:rPr>
          <w:rFonts w:ascii="Aptos" w:cs="Aptos" w:eastAsia="Aptos" w:hAnsi="Aptos"/>
        </w:rPr>
        <w:t xml:space="preserve">2. Executive Summary</w:t>
      </w:r>
    </w:p>
    <w:p>
      <w:pPr>
        <w:pStyle w:val="Heading2"/>
      </w:pPr>
      <w:r>
        <w:rPr>
          <w:rFonts w:ascii="Aptos" w:cs="Aptos" w:eastAsia="Aptos" w:hAnsi="Aptos"/>
        </w:rPr>
        <w:t xml:space="preserve">2.1 Overview</w:t>
      </w:r>
    </w:p>
    <w:p>
      <w:pPr>
        <w:pStyle w:val="Heading3"/>
      </w:pPr>
      <w:r>
        <w:rPr>
          <w:rFonts w:ascii="Aptos" w:cs="Aptos" w:eastAsia="Aptos" w:hAnsi="Aptos"/>
        </w:rPr>
        <w:t xml:space="preserve">2.1.1 Objective</w:t>
      </w:r>
    </w:p>
    <w:p>
      <w:pPr>
        <w:spacing w:after="120"/>
      </w:pPr>
      <w:r>
        <w:rPr>
          <w:rFonts w:ascii="Aptos" w:cs="Aptos" w:eastAsia="Aptos" w:hAnsi="Aptos"/>
          <w:sz w:val="22"/>
          <w:szCs w:val="22"/>
        </w:rPr>
        <w:t xml:space="preserve">This assessment aimed to identify and evaluate security vulnerabilities in the DVWA (Damn Vulnerable Web Application) practice environment through comprehensive penetration testing techniques.</w:t>
      </w:r>
    </w:p>
    <w:p>
      <w:pPr>
        <w:pStyle w:val="Heading3"/>
      </w:pPr>
      <w:r>
        <w:rPr>
          <w:rFonts w:ascii="Aptos" w:cs="Aptos" w:eastAsia="Aptos" w:hAnsi="Aptos"/>
        </w:rPr>
        <w:t xml:space="preserve">2.1.2 Approach</w:t>
      </w:r>
    </w:p>
    <w:p>
      <w:pPr>
        <w:spacing w:after="120"/>
      </w:pPr>
      <w:r>
        <w:rPr>
          <w:rFonts w:ascii="Aptos" w:cs="Aptos" w:eastAsia="Aptos" w:hAnsi="Aptos"/>
          <w:sz w:val="22"/>
          <w:szCs w:val="22"/>
        </w:rPr>
        <w:t xml:space="preserve">The engagement employed active vulnerability scanning and manual exploitation techniques, with focus on web application injection flaws. Tools used included automated parameter testing and manual payload crafting. Testing was performed with full authorization and within defined scope boundaries.</w:t>
      </w:r>
    </w:p>
    <w:p>
      <w:pPr>
        <w:pStyle w:val="Heading3"/>
      </w:pPr>
      <w:r>
        <w:rPr>
          <w:rFonts w:ascii="Aptos" w:cs="Aptos" w:eastAsia="Aptos" w:hAnsi="Aptos"/>
        </w:rPr>
        <w:t xml:space="preserve">2.1.3 Scope</w:t>
      </w:r>
    </w:p>
    <w:p>
      <w:pPr>
        <w:spacing w:after="120"/>
        <w:rPr>
          <w:b/>
          <w:bCs/>
        </w:rPr>
      </w:pPr>
      <w:r>
        <w:rPr>
          <w:rFonts w:ascii="Aptos" w:cs="Aptos" w:eastAsia="Aptos" w:hAnsi="Aptos"/>
          <w:b/>
          <w:bCs/>
          <w:sz w:val="22"/>
          <w:szCs w:val="22"/>
        </w:rPr>
        <w:t xml:space="preserve">In Scope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Host / URL / IP Address</w:t>
            </w:r>
          </w:p>
        </w:tc>
        <w:tc>
          <w:tcPr>
            <w:tcW w:type="dxa" w:w="5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r>
      <w:tr>
        <w:tc>
          <w:tcPr>
            <w:tcW w:type="dxa" w:w="36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http://127.0.0.1:80/DVWA/</w:t>
            </w:r>
          </w:p>
        </w:tc>
        <w:tc>
          <w:tcPr>
            <w:tcW w:type="dxa" w:w="5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Damn Vulnerable Web Application - Practice Target</w:t>
            </w:r>
          </w:p>
        </w:tc>
      </w:tr>
    </w:tbl>
    <w:p>
      <w:pPr>
        <w:spacing w:after="120"/>
        <w:rPr>
          <w:i/>
          <w:iCs/>
          <w:sz w:val="18"/>
          <w:szCs w:val="18"/>
        </w:rPr>
      </w:pPr>
      <w:r>
        <w:rPr>
          <w:rFonts w:ascii="Aptos" w:cs="Aptos" w:eastAsia="Aptos" w:hAnsi="Aptos"/>
          <w:i/>
          <w:iCs/>
          <w:sz w:val="18"/>
          <w:szCs w:val="18"/>
        </w:rPr>
        <w:t xml:space="preserve">Table 1 — Scope</w:t>
      </w:r>
    </w:p>
    <w:p>
      <w:pPr>
        <w:pStyle w:val="Heading2"/>
      </w:pPr>
      <w:r>
        <w:rPr>
          <w:rFonts w:ascii="Aptos" w:cs="Aptos" w:eastAsia="Aptos" w:hAnsi="Aptos"/>
        </w:rPr>
        <w:t xml:space="preserve">2.2 Assessment Overview</w:t>
      </w:r>
    </w:p>
    <w:p>
      <w:pPr>
        <w:spacing w:after="120"/>
      </w:pPr>
      <w:r>
        <w:rPr>
          <w:rFonts w:ascii="Aptos" w:cs="Aptos" w:eastAsia="Aptos" w:hAnsi="Aptos"/>
          <w:sz w:val="22"/>
          <w:szCs w:val="22"/>
        </w:rPr>
        <w:t xml:space="preserve">A critical boolean-based blind SQL injection vulnerability was identified in the user lookup form. The vulnerability allows unauthenticated attackers to enumerate the entire database, extract password hashes, and bypass authentication controls.</w:t>
      </w:r>
    </w:p>
    <w:p>
      <w:pPr>
        <w:pStyle w:val="Heading3"/>
      </w:pPr>
      <w:r>
        <w:rPr>
          <w:rFonts w:ascii="Aptos" w:cs="Aptos" w:eastAsia="Aptos" w:hAnsi="Aptos"/>
        </w:rPr>
        <w:t xml:space="preserve">2.2.1 Key Findings</w:t>
      </w:r>
    </w:p>
    <w:p>
      <w:pPr>
        <w:spacing w:after="120"/>
      </w:pPr>
      <w:r>
        <w:rPr>
          <w:rFonts w:ascii="Aptos" w:cs="Aptos" w:eastAsia="Aptos" w:hAnsi="Aptos"/>
          <w:sz w:val="22"/>
          <w:szCs w:val="22"/>
        </w:rPr>
        <w:t xml:space="preserve">During this penetration test, 1 Critical, 0 High, 0 Medium and 0 Low vulnerabilities were identified: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shd w:fill="F2F2F2" w:color="auto" w:val="clear"/>
            <w:vAlign w:val="center"/>
          </w:tcPr>
          <w:p>
            <w:pPr>
              <w:jc w:val="center"/>
            </w:pPr>
            <w:r>
              <w:rPr>
                <w:rFonts w:ascii="Aptos" w:cs="Aptos" w:eastAsia="Aptos" w:hAnsi="Aptos"/>
                <w:i/>
                <w:iCs/>
                <w:color w:val="808080"/>
                <w:sz w:val="20"/>
                <w:szCs w:val="20"/>
              </w:rPr>
              <w:t xml:space="preserve">[ Figure 1 — Distribution of Identified Vulnerabilities ]</w:t>
            </w:r>
          </w:p>
        </w:tc>
      </w:tr>
    </w:tbl>
    <w:p>
      <w:pPr>
        <w:spacing w:after="120"/>
        <w:jc w:val="center"/>
        <w:rPr>
          <w:i/>
          <w:iCs/>
          <w:sz w:val="18"/>
          <w:szCs w:val="18"/>
        </w:rPr>
      </w:pPr>
      <w:r>
        <w:rPr>
          <w:rFonts w:ascii="Aptos" w:cs="Aptos" w:eastAsia="Aptos" w:hAnsi="Aptos"/>
          <w:i/>
          <w:iCs/>
          <w:sz w:val="18"/>
          <w:szCs w:val="18"/>
        </w:rPr>
        <w:t xml:space="preserve">Figure 1 — Distribution of Identified Vulnerabilities</w:t>
      </w:r>
    </w:p>
    <w:p>
      <w:pPr>
        <w:pStyle w:val="Heading3"/>
      </w:pPr>
      <w:r>
        <w:rPr>
          <w:rFonts w:ascii="Aptos" w:cs="Aptos" w:eastAsia="Aptos" w:hAnsi="Aptos"/>
        </w:rPr>
        <w:t xml:space="preserve">2.2.2 Identified Vulnerabilities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726"/>
        <w:gridCol w:w="1300"/>
        <w:gridCol w:w="1000"/>
      </w:tblGrid>
      <w:tr>
        <w:trPr>
          <w:tblHeader/>
        </w:trPr>
        <w:tc>
          <w:tcPr>
            <w:tcW w:type="dxa" w:w="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w:t>
            </w:r>
          </w:p>
        </w:tc>
        <w:tc>
          <w:tcPr>
            <w:tcW w:type="dxa" w:w="1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CVSS</w:t>
            </w:r>
          </w:p>
        </w:tc>
        <w:tc>
          <w:tcPr>
            <w:tcW w:type="dxa" w:w="4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13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Page</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SQL-001</w:t>
            </w:r>
          </w:p>
        </w:tc>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w:t>
            </w:r>
          </w:p>
        </w:tc>
        <w:tc>
          <w:tcPr>
            <w:tcW w:type="dxa" w:w="4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w:t>
            </w:r>
          </w:p>
        </w:tc>
        <w:tc>
          <w:tcPr>
            <w:tcW w:type="dxa" w:w="13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18</w:t>
            </w:r>
          </w:p>
        </w:tc>
      </w:tr>
    </w:tbl>
    <w:p>
      <w:pPr>
        <w:spacing w:after="120"/>
        <w:rPr>
          <w:i/>
          <w:iCs/>
          <w:sz w:val="18"/>
          <w:szCs w:val="18"/>
        </w:rPr>
      </w:pPr>
      <w:r>
        <w:rPr>
          <w:rFonts w:ascii="Aptos" w:cs="Aptos" w:eastAsia="Aptos" w:hAnsi="Aptos"/>
          <w:i/>
          <w:iCs/>
          <w:sz w:val="18"/>
          <w:szCs w:val="18"/>
        </w:rPr>
        <w:t xml:space="preserve">Table 2 — List of Vulnerabilities</w:t>
      </w:r>
    </w:p>
    <w:p>
      <w:pPr>
        <w:pStyle w:val="Heading3"/>
      </w:pPr>
      <w:r>
        <w:rPr>
          <w:rFonts w:ascii="Aptos" w:cs="Aptos" w:eastAsia="Aptos" w:hAnsi="Aptos"/>
        </w:rPr>
        <w:t xml:space="preserve">2.2.3 Business Impact Summary</w:t>
      </w:r>
    </w:p>
    <w:p>
      <w:pPr>
        <w:pStyle w:val="ListParagraph"/>
        <w:numPr>
          <w:ilvl w:val="0"/>
          <w:numId w:val="1"/>
        </w:numPr>
      </w:pPr>
      <w:r>
        <w:rPr>
          <w:rFonts w:ascii="Aptos" w:cs="Aptos" w:eastAsia="Aptos" w:hAnsi="Aptos"/>
          <w:sz w:val="22"/>
          <w:szCs w:val="22"/>
        </w:rPr>
        <w:t xml:space="preserve">CRITICAL: Full database read access and credential compromise without authentication required</w:t>
      </w:r>
    </w:p>
    <w:p>
      <w:pPr>
        <w:pStyle w:val="ListParagraph"/>
        <w:numPr>
          <w:ilvl w:val="0"/>
          <w:numId w:val="1"/>
        </w:numPr>
      </w:pPr>
      <w:r>
        <w:rPr>
          <w:rFonts w:ascii="Aptos" w:cs="Aptos" w:eastAsia="Aptos" w:hAnsi="Aptos"/>
          <w:sz w:val="22"/>
          <w:szCs w:val="22"/>
        </w:rPr>
        <w:t xml:space="preserve">Attackers can extract all user passwords via character-by-character extraction loops</w:t>
      </w:r>
    </w:p>
    <w:p>
      <w:pPr>
        <w:pStyle w:val="ListParagraph"/>
        <w:numPr>
          <w:ilvl w:val="0"/>
          <w:numId w:val="1"/>
        </w:numPr>
      </w:pPr>
      <w:r>
        <w:rPr>
          <w:rFonts w:ascii="Aptos" w:cs="Aptos" w:eastAsia="Aptos" w:hAnsi="Aptos"/>
          <w:sz w:val="22"/>
          <w:szCs w:val="22"/>
        </w:rPr>
        <w:t xml:space="preserve">Admin account takeover enables system-wide compromise</w:t>
      </w:r>
    </w:p>
    <w:p>
      <w:pPr>
        <w:pStyle w:val="ListParagraph"/>
        <w:numPr>
          <w:ilvl w:val="0"/>
          <w:numId w:val="1"/>
        </w:numPr>
      </w:pPr>
      <w:r>
        <w:rPr>
          <w:rFonts w:ascii="Aptos" w:cs="Aptos" w:eastAsia="Aptos" w:hAnsi="Aptos"/>
          <w:sz w:val="22"/>
          <w:szCs w:val="22"/>
        </w:rPr>
        <w:t xml:space="preserve">Regulatory violations (GDPR, HIPAA, PCI-DSS) if exploited in production</w:t>
      </w:r>
    </w:p>
    <w:p>
      <w:pPr>
        <w:pStyle w:val="ListParagraph"/>
        <w:numPr>
          <w:ilvl w:val="0"/>
          <w:numId w:val="1"/>
        </w:numPr>
      </w:pPr>
      <w:r>
        <w:rPr>
          <w:rFonts w:ascii="Aptos" w:cs="Aptos" w:eastAsia="Aptos" w:hAnsi="Aptos"/>
          <w:sz w:val="22"/>
          <w:szCs w:val="22"/>
        </w:rPr>
        <w:t xml:space="preserve">Immediate remediation with prepared statements is essential</w:t>
      </w:r>
    </w:p>
    <w:p>
      <w:pPr>
        <w:pStyle w:val="Heading3"/>
      </w:pPr>
      <w:r>
        <w:rPr>
          <w:rFonts w:ascii="Aptos" w:cs="Aptos" w:eastAsia="Aptos" w:hAnsi="Aptos"/>
        </w:rPr>
        <w:t xml:space="preserve">2.2.4 Recommendations</w:t>
      </w:r>
    </w:p>
    <w:p>
      <w:pPr>
        <w:spacing w:after="120"/>
      </w:pPr>
      <w:r>
        <w:rPr>
          <w:rFonts w:ascii="Aptos" w:cs="Aptos" w:eastAsia="Aptos" w:hAnsi="Aptos"/>
          <w:sz w:val="22"/>
          <w:szCs w:val="22"/>
        </w:rPr>
        <w:t xml:space="preserve">Implement prepared statements immediately, enforce input validation, restrict database privileges, and deploy a Web Application Firewall. See Section 6 for detailed remediation steps.</w:t>
      </w:r>
    </w:p>
    <w:p>
      <w:pPr>
        <w:pStyle w:val="Heading3"/>
      </w:pPr>
      <w:r>
        <w:rPr>
          <w:rFonts w:ascii="Aptos" w:cs="Aptos" w:eastAsia="Aptos" w:hAnsi="Aptos"/>
        </w:rPr>
        <w:t xml:space="preserve">2.2.5 Overall Risk Posture</w:t>
      </w:r>
    </w:p>
    <w:p>
      <w:pPr>
        <w:spacing w:after="120"/>
      </w:pPr>
      <w:r>
        <w:rPr>
          <w:rFonts w:ascii="Aptos" w:cs="Aptos" w:eastAsia="Aptos" w:hAnsi="Aptos"/>
          <w:sz w:val="22"/>
          <w:szCs w:val="22"/>
        </w:rPr>
        <w:t xml:space="preserve">The application has a CRITICAL security posture due to the identified SQL injection vulnerability. Immediate patching is required before any production use. No compensating controls are in place.</w:t>
      </w:r>
    </w:p>
    <w:p>
      <w:r>
        <w:br w:type="page"/>
      </w:r>
    </w:p>
    <w:p>
      <w:pPr>
        <w:pStyle w:val="Heading1"/>
      </w:pPr>
      <w:r>
        <w:rPr>
          <w:rFonts w:ascii="Aptos" w:cs="Aptos" w:eastAsia="Aptos" w:hAnsi="Aptos"/>
        </w:rPr>
        <w:t xml:space="preserve">3. Methodology</w:t>
      </w:r>
    </w:p>
    <w:p>
      <w:pPr>
        <w:pStyle w:val="Heading2"/>
      </w:pPr>
      <w:r>
        <w:rPr>
          <w:rFonts w:ascii="Aptos" w:cs="Aptos" w:eastAsia="Aptos" w:hAnsi="Aptos"/>
        </w:rPr>
        <w:t xml:space="preserve">3.1 Overview</w:t>
      </w:r>
    </w:p>
    <w:p>
      <w:pPr>
        <w:spacing w:after="120"/>
      </w:pPr>
      <w:r>
        <w:rPr>
          <w:rFonts w:ascii="Aptos" w:cs="Aptos" w:eastAsia="Aptos" w:hAnsi="Aptos"/>
          <w:sz w:val="22"/>
          <w:szCs w:val="22"/>
        </w:rPr>
        <w:t xml:space="preserve">The assessment followed a structured approach: (1) Reconnaissance &amp; target mapping to identify endpoints, (2) Vulnerability identification via injection testing and parameter fuzzing, (3) Impact analysis through proof-of-concept exploitation, and (4) Detailed reporting with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26"/>
        <w:gridCol w:w="25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Tool Name</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Purpose</w:t>
            </w:r>
          </w:p>
        </w:tc>
        <w:tc>
          <w:tcPr>
            <w:tcW w:type="dxa" w:w="2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Scope of Use</w:t>
            </w:r>
          </w:p>
        </w:tc>
        <w:tc>
          <w:tcPr>
            <w:tcW w:type="dxa" w:w="25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Outcome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curl</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 Request Testing</w:t>
            </w:r>
          </w:p>
        </w:tc>
        <w:tc>
          <w:tcPr>
            <w:tcW w:type="dxa" w:w="2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POST parameter injection testing</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confirmed</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Manual Analysis</w:t>
            </w:r>
          </w:p>
        </w:tc>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Characterization</w:t>
            </w:r>
          </w:p>
        </w:tc>
        <w:tc>
          <w:tcPr>
            <w:tcW w:type="dxa" w:w="2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 differential testing</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verified</w:t>
            </w:r>
          </w:p>
        </w:tc>
      </w:tr>
    </w:tbl>
    <w:p>
      <w:pPr>
        <w:spacing w:after="120"/>
        <w:rPr>
          <w:i/>
          <w:iCs/>
          <w:sz w:val="18"/>
          <w:szCs w:val="18"/>
        </w:rPr>
      </w:pPr>
      <w:r>
        <w:rPr>
          <w:rFonts w:ascii="Aptos" w:cs="Aptos" w:eastAsia="Aptos" w:hAnsi="Aptos"/>
          <w:i/>
          <w:iCs/>
          <w:sz w:val="18"/>
          <w:szCs w:val="18"/>
        </w:rPr>
        <w:t xml:space="preserve">Table 3 — Tools Used</w:t>
      </w:r>
    </w:p>
    <w:p>
      <w:r>
        <w:br w:type="page"/>
      </w:r>
    </w:p>
    <w:p>
      <w:pPr>
        <w:pStyle w:val="Heading1"/>
      </w:pPr>
      <w:r>
        <w:rPr>
          <w:rFonts w:ascii="Aptos" w:cs="Aptos" w:eastAsia="Aptos" w:hAnsi="Aptos"/>
        </w:rPr>
        <w:t xml:space="preserve">4. Risk Assessment</w:t>
      </w:r>
    </w:p>
    <w:p>
      <w:pPr>
        <w:spacing w:after="120"/>
      </w:pPr>
      <w:r>
        <w:rPr>
          <w:rFonts w:ascii="Aptos" w:cs="Aptos" w:eastAsia="Aptos" w:hAnsi="Aptos"/>
          <w:sz w:val="22"/>
          <w:szCs w:val="22"/>
        </w:rPr>
        <w:t xml:space="preserve">Risk severity is assessed using CVSS v3.1 scoring aligned with OWASP and NIST standards. SQL injection is classified as CVSS 9.8 (Critical) due to network accessibility, no authentication required, and high impact on confidentiality, integrity,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900"/>
        <w:gridCol w:w="2000"/>
        <w:gridCol w:w="1826"/>
      </w:tblGrid>
      <w:tr>
        <w:trPr>
          <w:tblHeader/>
        </w:trPr>
        <w:tc>
          <w:tcPr>
            <w:tcW w:type="dxa" w:w="2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Vulnerability Name</w:t>
            </w:r>
          </w:p>
        </w:tc>
        <w:tc>
          <w:tcPr>
            <w:tcW w:type="dxa" w:w="12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Affected Assets</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Potential Impact</w:t>
            </w:r>
          </w:p>
        </w:tc>
        <w:tc>
          <w:tcPr>
            <w:tcW w:type="dxa" w:w="18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Recommended Mitigation</w:t>
            </w:r>
          </w:p>
        </w:tc>
      </w:tr>
      <w:tr>
        <w:tc>
          <w:tcPr>
            <w:tcW w:type="dxa" w:w="2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 in /vulnerabilities/sqli/</w:t>
            </w:r>
          </w:p>
        </w:tc>
        <w:tc>
          <w:tcPr>
            <w:tcW w:type="dxa" w:w="12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http://127.0.0.1/DVWA/vulnerabilities/sqli/ (POST id parameter)</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Full database read access, credential theft, authentication bypass, data exfiltration</w:t>
            </w:r>
          </w:p>
        </w:tc>
        <w:tc>
          <w:tcPr>
            <w:tcW w:type="dxa" w:w="18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Implement prepared statements, input validation, database account hardening, WAF deployment</w:t>
            </w:r>
          </w:p>
        </w:tc>
      </w:tr>
    </w:tbl>
    <w:p>
      <w:pPr>
        <w:spacing w:after="120"/>
        <w:rPr>
          <w:i/>
          <w:iCs/>
          <w:sz w:val="18"/>
          <w:szCs w:val="18"/>
        </w:rPr>
      </w:pPr>
      <w:r>
        <w:rPr>
          <w:rFonts w:ascii="Aptos" w:cs="Aptos" w:eastAsia="Aptos" w:hAnsi="Aptos"/>
          <w:i/>
          <w:iCs/>
          <w:sz w:val="18"/>
          <w:szCs w:val="18"/>
        </w:rPr>
        <w:t xml:space="preserve">Table 5 — Risk Assessment</w:t>
      </w:r>
    </w:p>
    <w:p>
      <w:r>
        <w:br w:type="page"/>
      </w:r>
    </w:p>
    <w:p>
      <w:pPr>
        <w:pStyle w:val="Heading1"/>
      </w:pPr>
      <w:r>
        <w:rPr>
          <w:rFonts w:ascii="Aptos" w:cs="Aptos" w:eastAsia="Aptos" w:hAnsi="Aptos"/>
        </w:rPr>
        <w:t xml:space="preserve">5. Findings and Evidence</w:t>
      </w:r>
    </w:p>
    <w:p>
      <w:pPr>
        <w:pStyle w:val="Heading3"/>
        <w:spacing w:before="200"/>
      </w:pPr>
      <w:r>
        <w:rPr>
          <w:rFonts w:ascii="Aptos" w:cs="Aptos" w:eastAsia="Aptos" w:hAnsi="Aptos"/>
        </w:rPr>
        <w:t xml:space="preserve">Boolean-Based Blind SQL Injection in User Lookup Form —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C0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Vulnerability Name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 in User Lookup Form</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CWE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CWE-89</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CVSS Score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 (CVSS:3.1/AV:N/AC:L/PR:N/UI:N/S:U/C:H/I:H/A:H) (Critical)</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Affected Endpoints</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POST /DVWA/vulnerabilities/sqli/ (id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Description</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The application concatenates user input directly into SQL queries without sanitization or prepared statements. The id POST parameter is vulnerable to boolean-based blind SQL injection, allowing attackers to enumerate all database users and extract password hashes character-by-character.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Security Impact</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An unauthenticated attacker can: (1) Enumerate all users in the database (5 users confirmed), (2) Extract password hashes via SUBSTRING comparison loop (32 HTTP requests per user), (3) Reverse MD5 hashes to recover plaintext passwords, (4) Bypass authentication using extracted credentials, (5) Gain full read access to the database, (6) Exfiltrate sensitive data without detection.</w:t>
            </w:r>
          </w:p>
        </w:tc>
      </w:tr>
    </w:tbl>
    <w:p>
      <w:pPr>
        <w:spacing w:before="120"/>
        <w:rPr>
          <w:b/>
          <w:bCs/>
        </w:rPr>
      </w:pPr>
      <w:r>
        <w:rPr>
          <w:rFonts w:ascii="Aptos" w:cs="Aptos" w:eastAsia="Aptos" w:hAnsi="Aptos"/>
          <w:b/>
          <w:bCs/>
          <w:sz w:val="22"/>
          <w:szCs w:val="22"/>
        </w:rPr>
        <w:t xml:space="preserve">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600" w:hRule="atLeast"/>
        </w:trPr>
        <w:tc>
          <w:tcPr>
            <w:tcW w:type="dxa" w:w="9026"/>
            <w:shd w:fill="F2F2F2" w:color="auto" w:val="clear"/>
            <w:vAlign w:val="center"/>
          </w:tcPr>
          <w:p>
            <w:pPr>
              <w:jc w:val="center"/>
            </w:pPr>
            <w:r>
              <w:rPr>
                <w:rFonts w:ascii="Aptos" w:cs="Aptos" w:eastAsia="Aptos" w:hAnsi="Aptos"/>
                <w:i/>
                <w:iCs/>
                <w:color w:val="808080"/>
                <w:sz w:val="20"/>
                <w:szCs w:val="20"/>
              </w:rPr>
              <w:t xml:space="preserve">[ Evidence screenshot / scan output — CAIT inserts from engagement/evidence/ ]</w:t>
            </w:r>
          </w:p>
        </w:tc>
      </w:tr>
    </w:tbl>
    <w:p>
      <w:pPr>
        <w:spacing w:after="120"/>
        <w:rPr>
          <w:b/>
          <w:bCs/>
        </w:rPr>
      </w:pPr>
      <w:r>
        <w:rPr>
          <w:rFonts w:ascii="Aptos" w:cs="Aptos" w:eastAsia="Aptos" w:hAnsi="Aptos"/>
          <w:b/>
          <w:bCs/>
          <w:sz w:val="22"/>
          <w:szCs w:val="22"/>
        </w:rPr>
        <w:t xml:space="preserve">References</w:t>
      </w:r>
    </w:p>
    <w:p>
      <w:pPr>
        <w:pStyle w:val="ListParagraph"/>
        <w:numPr>
          <w:ilvl w:val="0"/>
          <w:numId w:val="1"/>
        </w:numPr>
      </w:pPr>
      <w:r>
        <w:rPr>
          <w:rFonts w:ascii="Aptos" w:cs="Aptos" w:eastAsia="Aptos" w:hAnsi="Aptos"/>
          <w:sz w:val="22"/>
          <w:szCs w:val="22"/>
        </w:rPr>
        <w:t xml:space="preserve">OWASP SQL Injection: https://owasp.org/www-community/attacks/SQL_Injection</w:t>
      </w:r>
    </w:p>
    <w:p>
      <w:pPr>
        <w:pStyle w:val="ListParagraph"/>
        <w:numPr>
          <w:ilvl w:val="0"/>
          <w:numId w:val="1"/>
        </w:numPr>
      </w:pPr>
      <w:r>
        <w:rPr>
          <w:rFonts w:ascii="Aptos" w:cs="Aptos" w:eastAsia="Aptos" w:hAnsi="Aptos"/>
          <w:sz w:val="22"/>
          <w:szCs w:val="22"/>
        </w:rPr>
        <w:t xml:space="preserve">CWE-89: https://cwe.mitre.org/data/definitions/89.html</w:t>
      </w:r>
    </w:p>
    <w:p>
      <w:pPr>
        <w:pStyle w:val="ListParagraph"/>
        <w:numPr>
          <w:ilvl w:val="0"/>
          <w:numId w:val="1"/>
        </w:numPr>
      </w:pPr>
      <w:r>
        <w:rPr>
          <w:rFonts w:ascii="Aptos" w:cs="Aptos" w:eastAsia="Aptos" w:hAnsi="Aptos"/>
          <w:sz w:val="22"/>
          <w:szCs w:val="22"/>
        </w:rPr>
        <w:t xml:space="preserve">WSTG-INPV-05: https://owasp.org/www-project-web-security-testing-guide/</w:t>
      </w:r>
    </w:p>
    <w:p>
      <w:pPr>
        <w:pStyle w:val="ListParagraph"/>
        <w:numPr>
          <w:ilvl w:val="0"/>
          <w:numId w:val="1"/>
        </w:numPr>
      </w:pPr>
      <w:r>
        <w:rPr>
          <w:rFonts w:ascii="Aptos" w:cs="Aptos" w:eastAsia="Aptos" w:hAnsi="Aptos"/>
          <w:sz w:val="22"/>
          <w:szCs w:val="22"/>
        </w:rPr>
        <w:t xml:space="preserve">NIST SQL Injection Guidelines: https://nvlpubs.nist.gov/nistpubs/Legacy/SP/nistspecialpublication800-115.pdf</w:t>
      </w:r>
    </w:p>
    <w:p>
      <w:r>
        <w:br w:type="page"/>
      </w:r>
    </w:p>
    <w:p>
      <w:pPr>
        <w:pStyle w:val="Heading1"/>
      </w:pPr>
      <w:r>
        <w:rPr>
          <w:rFonts w:ascii="Aptos" w:cs="Aptos" w:eastAsia="Aptos" w:hAnsi="Aptos"/>
        </w:rPr>
        <w:t xml:space="preserve">6. Recommendations</w:t>
      </w:r>
    </w:p>
    <w:p>
      <w:pPr>
        <w:pStyle w:val="Heading2"/>
      </w:pPr>
      <w:r>
        <w:rPr>
          <w:rFonts w:ascii="Aptos" w:cs="Aptos" w:eastAsia="Aptos" w:hAnsi="Aptos"/>
        </w:rPr>
        <w:t xml:space="preserve">6.1 Immediate Actions (Urgent — within 48 hours)</w:t>
      </w:r>
    </w:p>
    <w:p>
      <w:pPr>
        <w:pStyle w:val="ListParagraph"/>
        <w:numPr>
          <w:ilvl w:val="0"/>
          <w:numId w:val="1"/>
        </w:numPr>
      </w:pPr>
      <w:r>
        <w:rPr>
          <w:rFonts w:ascii="Aptos" w:cs="Aptos" w:eastAsia="Aptos" w:hAnsi="Aptos"/>
          <w:sz w:val="22"/>
          <w:szCs w:val="22"/>
        </w:rPr>
        <w:t xml:space="preserve">Use parameterized queries / prepared statements for all database interactions</w:t>
      </w:r>
    </w:p>
    <w:p>
      <w:pPr>
        <w:pStyle w:val="ListParagraph"/>
        <w:numPr>
          <w:ilvl w:val="0"/>
          <w:numId w:val="1"/>
        </w:numPr>
      </w:pPr>
      <w:r>
        <w:rPr>
          <w:rFonts w:ascii="Aptos" w:cs="Aptos" w:eastAsia="Aptos" w:hAnsi="Aptos"/>
          <w:sz w:val="22"/>
          <w:szCs w:val="22"/>
        </w:rPr>
        <w:t xml:space="preserve">Implement strict input validation (force integer type for ID parameters)</w:t>
      </w:r>
    </w:p>
    <w:p>
      <w:pPr>
        <w:pStyle w:val="ListParagraph"/>
        <w:numPr>
          <w:ilvl w:val="0"/>
          <w:numId w:val="1"/>
        </w:numPr>
      </w:pPr>
      <w:r>
        <w:rPr>
          <w:rFonts w:ascii="Aptos" w:cs="Aptos" w:eastAsia="Aptos" w:hAnsi="Aptos"/>
          <w:sz w:val="22"/>
          <w:szCs w:val="22"/>
        </w:rPr>
        <w:t xml:space="preserve">Test the patch against known SQLi payloads before deployment</w:t>
      </w:r>
    </w:p>
    <w:p>
      <w:pPr>
        <w:pStyle w:val="Heading2"/>
      </w:pPr>
      <w:r>
        <w:rPr>
          <w:rFonts w:ascii="Aptos" w:cs="Aptos" w:eastAsia="Aptos" w:hAnsi="Aptos"/>
        </w:rPr>
        <w:t xml:space="preserve">6.2 Short-Term Hardening (1-2 weeks)</w:t>
      </w:r>
    </w:p>
    <w:p>
      <w:pPr>
        <w:pStyle w:val="ListParagraph"/>
        <w:numPr>
          <w:ilvl w:val="0"/>
          <w:numId w:val="1"/>
        </w:numPr>
      </w:pPr>
      <w:r>
        <w:rPr>
          <w:rFonts w:ascii="Aptos" w:cs="Aptos" w:eastAsia="Aptos" w:hAnsi="Aptos"/>
          <w:sz w:val="22"/>
          <w:szCs w:val="22"/>
        </w:rPr>
        <w:t xml:space="preserve">Restrict database account to SELECT-only operations</w:t>
      </w:r>
    </w:p>
    <w:p>
      <w:pPr>
        <w:pStyle w:val="ListParagraph"/>
        <w:numPr>
          <w:ilvl w:val="0"/>
          <w:numId w:val="1"/>
        </w:numPr>
      </w:pPr>
      <w:r>
        <w:rPr>
          <w:rFonts w:ascii="Aptos" w:cs="Aptos" w:eastAsia="Aptos" w:hAnsi="Aptos"/>
          <w:sz w:val="22"/>
          <w:szCs w:val="22"/>
        </w:rPr>
        <w:t xml:space="preserve">Remove database user access to information_schema</w:t>
      </w:r>
    </w:p>
    <w:p>
      <w:pPr>
        <w:pStyle w:val="ListParagraph"/>
        <w:numPr>
          <w:ilvl w:val="0"/>
          <w:numId w:val="1"/>
        </w:numPr>
      </w:pPr>
      <w:r>
        <w:rPr>
          <w:rFonts w:ascii="Aptos" w:cs="Aptos" w:eastAsia="Aptos" w:hAnsi="Aptos"/>
          <w:sz w:val="22"/>
          <w:szCs w:val="22"/>
        </w:rPr>
        <w:t xml:space="preserve">Suppress detailed error messages in production</w:t>
      </w:r>
    </w:p>
    <w:p>
      <w:pPr>
        <w:pStyle w:val="ListParagraph"/>
        <w:numPr>
          <w:ilvl w:val="0"/>
          <w:numId w:val="1"/>
        </w:numPr>
      </w:pPr>
      <w:r>
        <w:rPr>
          <w:rFonts w:ascii="Aptos" w:cs="Aptos" w:eastAsia="Aptos" w:hAnsi="Aptos"/>
          <w:sz w:val="22"/>
          <w:szCs w:val="22"/>
        </w:rPr>
        <w:t xml:space="preserve">Force password reset for all users</w:t>
      </w:r>
    </w:p>
    <w:p>
      <w:pPr>
        <w:pStyle w:val="Heading2"/>
      </w:pPr>
      <w:r>
        <w:rPr>
          <w:rFonts w:ascii="Aptos" w:cs="Aptos" w:eastAsia="Aptos" w:hAnsi="Aptos"/>
        </w:rPr>
        <w:t xml:space="preserve">6.3 Long-Term Security Program (Ongoing)</w:t>
      </w:r>
    </w:p>
    <w:p>
      <w:pPr>
        <w:pStyle w:val="ListParagraph"/>
        <w:numPr>
          <w:ilvl w:val="0"/>
          <w:numId w:val="1"/>
        </w:numPr>
      </w:pPr>
      <w:r>
        <w:rPr>
          <w:rFonts w:ascii="Aptos" w:cs="Aptos" w:eastAsia="Aptos" w:hAnsi="Aptos"/>
          <w:sz w:val="22"/>
          <w:szCs w:val="22"/>
        </w:rPr>
        <w:t xml:space="preserve">Implement automated SQL injection scanning in CI/CD pipeline</w:t>
      </w:r>
    </w:p>
    <w:p>
      <w:pPr>
        <w:pStyle w:val="ListParagraph"/>
        <w:numPr>
          <w:ilvl w:val="0"/>
          <w:numId w:val="1"/>
        </w:numPr>
      </w:pPr>
      <w:r>
        <w:rPr>
          <w:rFonts w:ascii="Aptos" w:cs="Aptos" w:eastAsia="Aptos" w:hAnsi="Aptos"/>
          <w:sz w:val="22"/>
          <w:szCs w:val="22"/>
        </w:rPr>
        <w:t xml:space="preserve">Deploy a Web Application Firewall (WAF) with SQL injection rules</w:t>
      </w:r>
    </w:p>
    <w:p>
      <w:pPr>
        <w:pStyle w:val="ListParagraph"/>
        <w:numPr>
          <w:ilvl w:val="0"/>
          <w:numId w:val="1"/>
        </w:numPr>
      </w:pPr>
      <w:r>
        <w:rPr>
          <w:rFonts w:ascii="Aptos" w:cs="Aptos" w:eastAsia="Aptos" w:hAnsi="Aptos"/>
          <w:sz w:val="22"/>
          <w:szCs w:val="22"/>
        </w:rPr>
        <w:t xml:space="preserve">Conduct code reviews for all database queries</w:t>
      </w:r>
    </w:p>
    <w:p>
      <w:pPr>
        <w:pStyle w:val="ListParagraph"/>
        <w:numPr>
          <w:ilvl w:val="0"/>
          <w:numId w:val="1"/>
        </w:numPr>
      </w:pPr>
      <w:r>
        <w:rPr>
          <w:rFonts w:ascii="Aptos" w:cs="Aptos" w:eastAsia="Aptos" w:hAnsi="Aptos"/>
          <w:sz w:val="22"/>
          <w:szCs w:val="22"/>
        </w:rPr>
        <w:t xml:space="preserve">Perform quarterly penetration testing</w:t>
      </w:r>
    </w:p>
    <w:p>
      <w:pPr>
        <w:pStyle w:val="ListParagraph"/>
        <w:numPr>
          <w:ilvl w:val="0"/>
          <w:numId w:val="1"/>
        </w:numPr>
      </w:pPr>
      <w:r>
        <w:rPr>
          <w:rFonts w:ascii="Aptos" w:cs="Aptos" w:eastAsia="Aptos" w:hAnsi="Aptos"/>
          <w:sz w:val="22"/>
          <w:szCs w:val="22"/>
        </w:rPr>
        <w:t xml:space="preserve">Implement Security Development Lifecycle (SDLC) practices</w:t>
      </w:r>
    </w:p>
    <w:p>
      <w:r>
        <w:br w:type="page"/>
      </w:r>
    </w:p>
    <w:p>
      <w:pPr>
        <w:pStyle w:val="Heading1"/>
      </w:pPr>
      <w:r>
        <w:rPr>
          <w:rFonts w:ascii="Aptos" w:cs="Aptos" w:eastAsia="Aptos" w:hAnsi="Aptos"/>
        </w:rPr>
        <w:t xml:space="preserve">Appendix A: Glossary of Technical Terms</w:t>
      </w:r>
    </w:p>
    <w:p>
      <w:pPr>
        <w:spacing w:after="120"/>
      </w:pPr>
      <w:r>
        <w:rPr>
          <w:rFonts w:ascii="Aptos" w:cs="Aptos" w:eastAsia="Aptos" w:hAnsi="Aptos"/>
          <w:sz w:val="22"/>
          <w:szCs w:val="22"/>
        </w:rPr>
        <w:t xml:space="preserve">{{Glossary}}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a6fa8591bb3f1c78e9ef88b7f8effb53244a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2026-08-24T08:50:13.958Z</dcterms:created>
  <dcterms:modified xsi:type="dcterms:W3CDTF">2026-08-24T08:50:13.959Z</dcterms:modified>
</cp:coreProperties>
</file>

<file path=docProps/custom.xml><?xml version="1.0" encoding="utf-8"?>
<Properties xmlns="http://schemas.openxmlformats.org/officeDocument/2006/custom-properties" xmlns:vt="http://schemas.openxmlformats.org/officeDocument/2006/docPropsVTypes"/>
</file>