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charts/chart15.xml" ContentType="application/vnd.openxmlformats-officedocument.drawingml.chart+xml"/>
  <Override PartName="/word/theme/themeOverride15.xml" ContentType="application/vnd.openxmlformats-officedocument.themeOverride+xml"/>
  <Override PartName="/word/charts/chart16.xml" ContentType="application/vnd.openxmlformats-officedocument.drawingml.chart+xml"/>
  <Override PartName="/word/theme/themeOverride16.xml" ContentType="application/vnd.openxmlformats-officedocument.themeOverride+xml"/>
  <Override PartName="/word/charts/chart17.xml" ContentType="application/vnd.openxmlformats-officedocument.drawingml.chart+xml"/>
  <Override PartName="/word/theme/themeOverride17.xml" ContentType="application/vnd.openxmlformats-officedocument.themeOverride+xml"/>
  <Override PartName="/word/charts/chart18.xml" ContentType="application/vnd.openxmlformats-officedocument.drawingml.chart+xml"/>
  <Override PartName="/word/theme/themeOverride18.xml" ContentType="application/vnd.openxmlformats-officedocument.themeOverride+xml"/>
  <Override PartName="/word/charts/chart19.xml" ContentType="application/vnd.openxmlformats-officedocument.drawingml.chart+xml"/>
  <Override PartName="/word/theme/themeOverride19.xml" ContentType="application/vnd.openxmlformats-officedocument.themeOverride+xml"/>
  <Override PartName="/word/charts/chart20.xml" ContentType="application/vnd.openxmlformats-officedocument.drawingml.chart+xml"/>
  <Override PartName="/word/theme/themeOverride20.xml" ContentType="application/vnd.openxmlformats-officedocument.themeOverride+xml"/>
  <Override PartName="/word/charts/chart21.xml" ContentType="application/vnd.openxmlformats-officedocument.drawingml.chart+xml"/>
  <Override PartName="/word/theme/themeOverride21.xml" ContentType="application/vnd.openxmlformats-officedocument.themeOverride+xml"/>
  <Override PartName="/word/charts/chart22.xml" ContentType="application/vnd.openxmlformats-officedocument.drawingml.chart+xml"/>
  <Override PartName="/word/theme/themeOverride22.xml" ContentType="application/vnd.openxmlformats-officedocument.themeOverride+xml"/>
  <Override PartName="/word/charts/chart23.xml" ContentType="application/vnd.openxmlformats-officedocument.drawingml.chart+xml"/>
  <Override PartName="/word/theme/themeOverride23.xml" ContentType="application/vnd.openxmlformats-officedocument.themeOverride+xml"/>
  <Override PartName="/word/charts/chart24.xml" ContentType="application/vnd.openxmlformats-officedocument.drawingml.chart+xml"/>
  <Override PartName="/word/theme/themeOverride24.xml" ContentType="application/vnd.openxmlformats-officedocument.themeOverride+xml"/>
  <Override PartName="/word/charts/chart25.xml" ContentType="application/vnd.openxmlformats-officedocument.drawingml.chart+xml"/>
  <Override PartName="/word/theme/themeOverride25.xml" ContentType="application/vnd.openxmlformats-officedocument.themeOverride+xml"/>
  <Override PartName="/word/charts/chart26.xml" ContentType="application/vnd.openxmlformats-officedocument.drawingml.chart+xml"/>
  <Override PartName="/word/theme/themeOverride26.xml" ContentType="application/vnd.openxmlformats-officedocument.themeOverride+xml"/>
  <Override PartName="/word/charts/chart27.xml" ContentType="application/vnd.openxmlformats-officedocument.drawingml.chart+xml"/>
  <Override PartName="/word/theme/themeOverride27.xml" ContentType="application/vnd.openxmlformats-officedocument.themeOverride+xml"/>
  <Override PartName="/word/charts/chart28.xml" ContentType="application/vnd.openxmlformats-officedocument.drawingml.chart+xml"/>
  <Override PartName="/word/theme/themeOverride28.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4E4E" w14:textId="01CDC0CE" w:rsidR="00C316B4" w:rsidRPr="00C316B4" w:rsidRDefault="00C316B4" w:rsidP="00C316B4">
      <w:pPr>
        <w:spacing w:after="0" w:line="240" w:lineRule="auto"/>
        <w:jc w:val="center"/>
        <w:rPr>
          <w:rFonts w:ascii="Cambria" w:eastAsia="Cambria" w:hAnsi="Cambria" w:cs="Arial"/>
          <w:b/>
          <w:bCs/>
          <w:smallCaps/>
          <w:spacing w:val="5"/>
          <w:sz w:val="28"/>
          <w:szCs w:val="28"/>
          <w:lang w:val="en-US"/>
        </w:rPr>
      </w:pPr>
      <w:r w:rsidRPr="00C316B4">
        <w:rPr>
          <w:rFonts w:ascii="Cambria" w:eastAsia="Cambria" w:hAnsi="Cambria" w:cs="Arial"/>
          <w:b/>
          <w:bCs/>
          <w:smallCaps/>
          <w:spacing w:val="5"/>
          <w:sz w:val="28"/>
          <w:szCs w:val="28"/>
          <w:lang w:val="en-US"/>
        </w:rPr>
        <w:t>Nowhere to Run, Nowhere to Hide:</w:t>
      </w:r>
    </w:p>
    <w:p w14:paraId="233AAF53" w14:textId="77777777" w:rsidR="00C316B4" w:rsidRPr="00C316B4" w:rsidRDefault="00C316B4" w:rsidP="00C316B4">
      <w:pPr>
        <w:spacing w:after="0" w:line="240" w:lineRule="auto"/>
        <w:jc w:val="center"/>
        <w:rPr>
          <w:rFonts w:ascii="Cambria" w:eastAsia="Cambria" w:hAnsi="Cambria" w:cs="Arial"/>
          <w:b/>
          <w:bCs/>
          <w:smallCaps/>
          <w:spacing w:val="5"/>
          <w:sz w:val="28"/>
          <w:szCs w:val="28"/>
          <w:lang w:val="en-US"/>
        </w:rPr>
      </w:pPr>
      <w:r w:rsidRPr="00C316B4">
        <w:rPr>
          <w:rFonts w:ascii="Cambria" w:eastAsia="Cambria" w:hAnsi="Cambria" w:cs="Arial"/>
          <w:b/>
          <w:bCs/>
          <w:smallCaps/>
          <w:spacing w:val="5"/>
          <w:sz w:val="28"/>
          <w:szCs w:val="28"/>
          <w:lang w:val="en-US"/>
        </w:rPr>
        <w:t>Asset Diversification in a Flat World</w:t>
      </w:r>
    </w:p>
    <w:p w14:paraId="1D64C458" w14:textId="77777777" w:rsidR="00C316B4" w:rsidRPr="00C316B4" w:rsidRDefault="00C316B4" w:rsidP="00C316B4">
      <w:pPr>
        <w:spacing w:after="0" w:line="360" w:lineRule="auto"/>
        <w:jc w:val="both"/>
        <w:outlineLvl w:val="0"/>
        <w:rPr>
          <w:rFonts w:ascii="Cambria" w:eastAsia="Cambria" w:hAnsi="Cambria" w:cs="Arial"/>
          <w:sz w:val="24"/>
          <w:szCs w:val="24"/>
          <w:lang w:val="en-US"/>
        </w:rPr>
      </w:pPr>
    </w:p>
    <w:p w14:paraId="3DCD2F7F" w14:textId="77777777" w:rsidR="00C316B4" w:rsidRPr="00C316B4" w:rsidRDefault="00C316B4" w:rsidP="00C316B4">
      <w:pPr>
        <w:spacing w:after="0" w:line="360" w:lineRule="auto"/>
        <w:jc w:val="center"/>
        <w:outlineLvl w:val="0"/>
        <w:rPr>
          <w:rFonts w:ascii="Calibri" w:eastAsia="Cambria" w:hAnsi="Calibri" w:cs="Calibri"/>
          <w:lang w:val="en-US"/>
        </w:rPr>
      </w:pPr>
      <w:r w:rsidRPr="00C316B4">
        <w:rPr>
          <w:rFonts w:ascii="Calibri" w:eastAsia="Cambria" w:hAnsi="Calibri" w:cs="Calibri"/>
          <w:lang w:val="en-US"/>
        </w:rPr>
        <w:t>By</w:t>
      </w:r>
    </w:p>
    <w:p w14:paraId="57819199" w14:textId="77777777" w:rsidR="00A26AE3" w:rsidRDefault="00C316B4" w:rsidP="00C316B4">
      <w:pPr>
        <w:spacing w:after="0" w:line="360" w:lineRule="auto"/>
        <w:jc w:val="center"/>
        <w:outlineLvl w:val="0"/>
        <w:rPr>
          <w:rFonts w:ascii="Calibri" w:eastAsia="Cambria" w:hAnsi="Calibri" w:cs="Calibri"/>
          <w:lang w:val="en-US"/>
        </w:rPr>
      </w:pPr>
      <w:r w:rsidRPr="00C316B4">
        <w:rPr>
          <w:rFonts w:ascii="Calibri" w:eastAsia="Cambria" w:hAnsi="Calibri" w:cs="Calibri"/>
          <w:lang w:val="en-US"/>
        </w:rPr>
        <w:t>John Cotter</w:t>
      </w:r>
      <w:r w:rsidRPr="00C316B4">
        <w:rPr>
          <w:rFonts w:ascii="Calibri" w:eastAsia="Cambria" w:hAnsi="Calibri" w:cs="Calibri"/>
          <w:vertAlign w:val="superscript"/>
          <w:lang w:val="en-US"/>
        </w:rPr>
        <w:footnoteReference w:id="1"/>
      </w:r>
      <w:r w:rsidRPr="00C316B4">
        <w:rPr>
          <w:rFonts w:ascii="Calibri" w:eastAsia="Cambria" w:hAnsi="Calibri" w:cs="Calibri"/>
          <w:lang w:val="en-US"/>
        </w:rPr>
        <w:t>, Stuart Gabriel</w:t>
      </w:r>
      <w:r w:rsidRPr="00C316B4">
        <w:rPr>
          <w:rFonts w:ascii="Calibri" w:eastAsia="Cambria" w:hAnsi="Calibri" w:cs="Calibri"/>
          <w:vertAlign w:val="superscript"/>
          <w:lang w:val="en-US"/>
        </w:rPr>
        <w:footnoteReference w:id="2"/>
      </w:r>
      <w:r w:rsidRPr="00C316B4">
        <w:rPr>
          <w:rFonts w:ascii="Calibri" w:eastAsia="Cambria" w:hAnsi="Calibri" w:cs="Calibri"/>
          <w:lang w:val="en-US"/>
        </w:rPr>
        <w:t xml:space="preserve"> and Richard Roll</w:t>
      </w:r>
      <w:r w:rsidRPr="00C316B4">
        <w:rPr>
          <w:rFonts w:ascii="Calibri" w:eastAsia="Cambria" w:hAnsi="Calibri" w:cs="Calibri"/>
          <w:vertAlign w:val="superscript"/>
          <w:lang w:val="en-US"/>
        </w:rPr>
        <w:footnoteReference w:id="3"/>
      </w:r>
      <w:r w:rsidR="00A26AE3">
        <w:rPr>
          <w:rFonts w:ascii="Calibri" w:eastAsia="Cambria" w:hAnsi="Calibri" w:cs="Calibri"/>
          <w:lang w:val="en-US"/>
        </w:rPr>
        <w:t xml:space="preserve"> </w:t>
      </w:r>
    </w:p>
    <w:p w14:paraId="03A3F894" w14:textId="0696F612" w:rsidR="00C316B4" w:rsidRPr="00C316B4" w:rsidRDefault="00A26AE3" w:rsidP="00C316B4">
      <w:pPr>
        <w:spacing w:after="0" w:line="360" w:lineRule="auto"/>
        <w:jc w:val="center"/>
        <w:outlineLvl w:val="0"/>
        <w:rPr>
          <w:rFonts w:ascii="Calibri" w:eastAsia="Cambria" w:hAnsi="Calibri" w:cs="Calibri"/>
          <w:lang w:val="en-US"/>
        </w:rPr>
      </w:pPr>
      <w:r>
        <w:rPr>
          <w:rFonts w:ascii="Calibri" w:eastAsia="Cambria" w:hAnsi="Calibri" w:cs="Calibri"/>
          <w:lang w:val="en-US"/>
        </w:rPr>
        <w:t xml:space="preserve">February </w:t>
      </w:r>
      <w:r w:rsidR="006F289E">
        <w:rPr>
          <w:rFonts w:ascii="Calibri" w:eastAsia="Cambria" w:hAnsi="Calibri" w:cs="Calibri"/>
          <w:lang w:val="en-US"/>
        </w:rPr>
        <w:t>19</w:t>
      </w:r>
      <w:r>
        <w:rPr>
          <w:rFonts w:ascii="Calibri" w:eastAsia="Cambria" w:hAnsi="Calibri" w:cs="Calibri"/>
          <w:lang w:val="en-US"/>
        </w:rPr>
        <w:t>, 2019</w:t>
      </w:r>
    </w:p>
    <w:p w14:paraId="4483E649" w14:textId="2B62FDFD" w:rsidR="00C316B4" w:rsidRPr="00C316B4" w:rsidRDefault="00C316B4" w:rsidP="00C316B4">
      <w:pPr>
        <w:spacing w:after="0" w:line="240" w:lineRule="auto"/>
        <w:jc w:val="center"/>
        <w:rPr>
          <w:rFonts w:ascii="Calibri" w:eastAsia="Cambria" w:hAnsi="Calibri" w:cs="Calibri"/>
          <w:lang w:val="en-US"/>
        </w:rPr>
      </w:pPr>
    </w:p>
    <w:p w14:paraId="132651EB" w14:textId="77777777" w:rsidR="00C316B4" w:rsidRPr="00C316B4" w:rsidRDefault="00C316B4" w:rsidP="00C316B4">
      <w:pPr>
        <w:spacing w:after="0" w:line="360" w:lineRule="auto"/>
        <w:jc w:val="center"/>
        <w:outlineLvl w:val="0"/>
        <w:rPr>
          <w:rFonts w:ascii="Calibri" w:eastAsia="Times New Roman" w:hAnsi="Calibri" w:cs="Calibri"/>
          <w:bCs/>
          <w:lang w:val="en-GB" w:eastAsia="fr-FR"/>
        </w:rPr>
      </w:pPr>
    </w:p>
    <w:p w14:paraId="027F9B3C" w14:textId="77777777" w:rsidR="00C316B4" w:rsidRPr="00777364" w:rsidRDefault="00C316B4" w:rsidP="00C316B4">
      <w:pPr>
        <w:spacing w:after="0" w:line="360" w:lineRule="auto"/>
        <w:jc w:val="center"/>
        <w:outlineLvl w:val="0"/>
        <w:rPr>
          <w:rFonts w:eastAsia="Cambria" w:cs="Times New Roman"/>
          <w:b/>
          <w:bCs/>
          <w:smallCaps/>
          <w:spacing w:val="5"/>
          <w:sz w:val="24"/>
          <w:szCs w:val="24"/>
          <w:lang w:val="en-GB" w:eastAsia="fr-FR"/>
        </w:rPr>
      </w:pPr>
      <w:r w:rsidRPr="00777364">
        <w:rPr>
          <w:rFonts w:eastAsia="Cambria" w:cs="Times New Roman"/>
          <w:b/>
          <w:bCs/>
          <w:smallCaps/>
          <w:spacing w:val="5"/>
          <w:sz w:val="24"/>
          <w:szCs w:val="24"/>
          <w:lang w:val="en-GB" w:eastAsia="fr-FR"/>
        </w:rPr>
        <w:t>Abstract</w:t>
      </w:r>
    </w:p>
    <w:p w14:paraId="7B165C94" w14:textId="4C88DFA9" w:rsidR="00C316B4" w:rsidRPr="007975D2" w:rsidRDefault="00C316B4" w:rsidP="00C316B4">
      <w:pPr>
        <w:spacing w:after="0" w:line="240" w:lineRule="auto"/>
        <w:jc w:val="both"/>
        <w:rPr>
          <w:rFonts w:eastAsia="Cambria" w:cs="Arial"/>
          <w:bCs/>
        </w:rPr>
      </w:pPr>
      <w:r>
        <w:rPr>
          <w:rFonts w:eastAsia="Cambria" w:cs="Arial"/>
        </w:rPr>
        <w:t>We estimate</w:t>
      </w:r>
      <w:r w:rsidRPr="00D17ABC">
        <w:rPr>
          <w:rFonts w:eastAsia="Cambria" w:cs="Arial"/>
        </w:rPr>
        <w:t xml:space="preserve"> </w:t>
      </w:r>
      <w:r>
        <w:rPr>
          <w:rFonts w:eastAsia="Cambria" w:cs="Arial"/>
        </w:rPr>
        <w:t xml:space="preserve">trends in diversification </w:t>
      </w:r>
      <w:r w:rsidR="0067579B">
        <w:rPr>
          <w:rFonts w:eastAsia="Cambria" w:cs="Arial"/>
        </w:rPr>
        <w:t xml:space="preserve">potential </w:t>
      </w:r>
      <w:r>
        <w:rPr>
          <w:rFonts w:eastAsia="Cambria" w:cs="Arial"/>
        </w:rPr>
        <w:t xml:space="preserve">for equity, </w:t>
      </w:r>
      <w:r w:rsidRPr="00D17ABC">
        <w:rPr>
          <w:rFonts w:eastAsia="Cambria" w:cs="Arial"/>
        </w:rPr>
        <w:t>deb</w:t>
      </w:r>
      <w:r>
        <w:rPr>
          <w:rFonts w:eastAsia="Cambria" w:cs="Arial"/>
        </w:rPr>
        <w:t xml:space="preserve">t, and real estate within and across </w:t>
      </w:r>
      <w:r w:rsidR="009E3399">
        <w:rPr>
          <w:rFonts w:eastAsia="Cambria" w:cs="Arial"/>
        </w:rPr>
        <w:t>asset classes</w:t>
      </w:r>
      <w:r w:rsidR="003E2CBA">
        <w:rPr>
          <w:rFonts w:eastAsia="Cambria" w:cs="Arial"/>
        </w:rPr>
        <w:t xml:space="preserve"> </w:t>
      </w:r>
      <w:r w:rsidR="009E3399">
        <w:rPr>
          <w:rFonts w:eastAsia="Cambria" w:cs="Arial"/>
        </w:rPr>
        <w:t xml:space="preserve">and </w:t>
      </w:r>
      <w:r>
        <w:rPr>
          <w:rFonts w:eastAsia="Cambria" w:cs="Arial"/>
        </w:rPr>
        <w:t xml:space="preserve">countries. </w:t>
      </w:r>
      <w:r w:rsidR="00B737D6">
        <w:rPr>
          <w:rFonts w:eastAsia="Cambria" w:cs="Arial"/>
        </w:rPr>
        <w:t xml:space="preserve"> </w:t>
      </w:r>
      <w:r>
        <w:rPr>
          <w:rFonts w:eastAsia="Cambria" w:cs="Arial"/>
        </w:rPr>
        <w:t xml:space="preserve">After 2000, we uncover a </w:t>
      </w:r>
      <w:r w:rsidRPr="00777364">
        <w:rPr>
          <w:rFonts w:eastAsia="Cambria" w:cs="Arial"/>
        </w:rPr>
        <w:t>marked</w:t>
      </w:r>
      <w:r>
        <w:rPr>
          <w:rFonts w:eastAsia="Cambria" w:cs="Arial"/>
        </w:rPr>
        <w:t xml:space="preserve"> and near ubiquitous decline in diversification</w:t>
      </w:r>
      <w:r w:rsidR="0067579B">
        <w:rPr>
          <w:rFonts w:eastAsia="Cambria" w:cs="Arial"/>
        </w:rPr>
        <w:t xml:space="preserve"> potential</w:t>
      </w:r>
      <w:r>
        <w:rPr>
          <w:rFonts w:eastAsia="Cambria" w:cs="Arial"/>
        </w:rPr>
        <w:t>, which coincides</w:t>
      </w:r>
      <w:r w:rsidRPr="004C737E">
        <w:rPr>
          <w:rFonts w:eastAsia="Cambria" w:cs="Arial"/>
        </w:rPr>
        <w:t xml:space="preserve"> with sharply higher levels of investment risk.  </w:t>
      </w:r>
      <w:r>
        <w:rPr>
          <w:rFonts w:eastAsia="Cambria" w:cs="Arial"/>
        </w:rPr>
        <w:t>This decline is</w:t>
      </w:r>
      <w:r w:rsidRPr="007975D2">
        <w:rPr>
          <w:rFonts w:eastAsia="Cambria" w:cs="Arial"/>
          <w:bCs/>
        </w:rPr>
        <w:t xml:space="preserve"> associated with </w:t>
      </w:r>
      <w:r w:rsidR="00B737D6">
        <w:rPr>
          <w:rFonts w:eastAsia="Cambria" w:cs="Arial"/>
          <w:bCs/>
        </w:rPr>
        <w:t xml:space="preserve">gains in </w:t>
      </w:r>
      <w:r w:rsidR="001B3BBB">
        <w:rPr>
          <w:rFonts w:eastAsia="Cambria" w:cs="Arial"/>
          <w:bCs/>
        </w:rPr>
        <w:t xml:space="preserve">market liquidity, </w:t>
      </w:r>
      <w:r>
        <w:rPr>
          <w:rFonts w:eastAsia="Cambria" w:cs="Arial"/>
          <w:bCs/>
        </w:rPr>
        <w:t xml:space="preserve">country </w:t>
      </w:r>
      <w:r w:rsidRPr="007975D2">
        <w:rPr>
          <w:rFonts w:eastAsia="Cambria" w:cs="Arial"/>
          <w:bCs/>
        </w:rPr>
        <w:t>economic development</w:t>
      </w:r>
      <w:r w:rsidR="00B737D6">
        <w:rPr>
          <w:rFonts w:eastAsia="Cambria" w:cs="Arial"/>
          <w:bCs/>
        </w:rPr>
        <w:t>,</w:t>
      </w:r>
      <w:r w:rsidRPr="007975D2">
        <w:rPr>
          <w:rFonts w:eastAsia="Cambria" w:cs="Arial"/>
          <w:bCs/>
        </w:rPr>
        <w:t xml:space="preserve"> </w:t>
      </w:r>
      <w:r w:rsidR="001B3BBB">
        <w:rPr>
          <w:rFonts w:eastAsia="Cambria" w:cs="Arial"/>
          <w:bCs/>
        </w:rPr>
        <w:t xml:space="preserve">and </w:t>
      </w:r>
      <w:r w:rsidR="00B737D6">
        <w:rPr>
          <w:rFonts w:eastAsia="Cambria" w:cs="Arial"/>
          <w:bCs/>
        </w:rPr>
        <w:t>internet</w:t>
      </w:r>
      <w:r w:rsidR="00940148">
        <w:rPr>
          <w:rFonts w:eastAsia="Cambria" w:cs="Arial"/>
          <w:bCs/>
        </w:rPr>
        <w:t xml:space="preserve"> diffusion</w:t>
      </w:r>
      <w:r w:rsidRPr="007975D2">
        <w:rPr>
          <w:rFonts w:eastAsia="Cambria" w:cs="Arial"/>
          <w:bCs/>
        </w:rPr>
        <w:t xml:space="preserve">.  </w:t>
      </w:r>
      <w:r>
        <w:rPr>
          <w:rFonts w:eastAsia="Cambria" w:cs="Arial"/>
          <w:bCs/>
        </w:rPr>
        <w:t xml:space="preserve">Diversification </w:t>
      </w:r>
      <w:r w:rsidR="0099342F">
        <w:rPr>
          <w:rFonts w:eastAsia="Cambria" w:cs="Arial"/>
          <w:bCs/>
        </w:rPr>
        <w:t xml:space="preserve">potential </w:t>
      </w:r>
      <w:r>
        <w:rPr>
          <w:rFonts w:eastAsia="Cambria" w:cs="Arial"/>
          <w:bCs/>
        </w:rPr>
        <w:t xml:space="preserve">also waned temporarily during the </w:t>
      </w:r>
      <w:r>
        <w:rPr>
          <w:rFonts w:eastAsia="Cambria" w:cs="Arial"/>
        </w:rPr>
        <w:t>1992 ERM and 2009-2010 European sovereign debt crises.  The results</w:t>
      </w:r>
      <w:r w:rsidRPr="007975D2">
        <w:rPr>
          <w:rFonts w:eastAsia="Cambria" w:cs="Arial"/>
          <w:bCs/>
        </w:rPr>
        <w:t xml:space="preserve"> are robust to</w:t>
      </w:r>
      <w:r>
        <w:rPr>
          <w:rFonts w:eastAsia="Cambria" w:cs="Arial"/>
          <w:bCs/>
        </w:rPr>
        <w:t xml:space="preserve"> controls for</w:t>
      </w:r>
      <w:r w:rsidRPr="007975D2">
        <w:rPr>
          <w:rFonts w:eastAsia="Cambria" w:cs="Arial"/>
          <w:bCs/>
        </w:rPr>
        <w:t xml:space="preserve"> </w:t>
      </w:r>
      <w:r>
        <w:rPr>
          <w:rFonts w:eastAsia="Cambria" w:cs="Arial"/>
          <w:bCs/>
        </w:rPr>
        <w:t>macro-financial</w:t>
      </w:r>
      <w:r w:rsidR="00D052E1">
        <w:rPr>
          <w:rFonts w:eastAsia="Cambria" w:cs="Arial"/>
          <w:bCs/>
        </w:rPr>
        <w:t xml:space="preserve"> influences, investor sentiment,</w:t>
      </w:r>
      <w:r>
        <w:rPr>
          <w:rFonts w:eastAsia="Cambria" w:cs="Arial"/>
          <w:bCs/>
        </w:rPr>
        <w:t xml:space="preserve"> and proxies for economic, political, and financial risks</w:t>
      </w:r>
      <w:r w:rsidR="0099342F">
        <w:rPr>
          <w:rFonts w:eastAsia="Cambria" w:cs="Arial"/>
          <w:bCs/>
        </w:rPr>
        <w:t>.</w:t>
      </w:r>
      <w:r>
        <w:rPr>
          <w:rFonts w:eastAsia="Cambria" w:cs="Arial"/>
          <w:bCs/>
        </w:rPr>
        <w:t xml:space="preserve"> </w:t>
      </w:r>
      <w:r w:rsidR="00940148">
        <w:rPr>
          <w:rFonts w:eastAsia="Cambria" w:cs="Arial"/>
          <w:bCs/>
        </w:rPr>
        <w:t xml:space="preserve"> </w:t>
      </w:r>
      <w:r w:rsidR="0099342F">
        <w:rPr>
          <w:rFonts w:eastAsia="Cambria" w:cs="Arial"/>
          <w:bCs/>
        </w:rPr>
        <w:t>Finding</w:t>
      </w:r>
      <w:r w:rsidR="0041573D">
        <w:rPr>
          <w:rFonts w:eastAsia="Cambria" w:cs="Arial"/>
          <w:bCs/>
        </w:rPr>
        <w:t>s</w:t>
      </w:r>
      <w:r w:rsidR="0099342F">
        <w:rPr>
          <w:rFonts w:eastAsia="Cambria" w:cs="Arial"/>
          <w:bCs/>
        </w:rPr>
        <w:t xml:space="preserve"> offer a</w:t>
      </w:r>
      <w:r w:rsidRPr="007975D2">
        <w:rPr>
          <w:rFonts w:eastAsia="Cambria" w:cs="Arial"/>
          <w:bCs/>
        </w:rPr>
        <w:t xml:space="preserve"> cautionary note regarding asset class and geographic diversification of investment risk in an increasingly flat world.</w:t>
      </w:r>
    </w:p>
    <w:p w14:paraId="40215E37" w14:textId="77777777" w:rsidR="00C316B4" w:rsidRPr="00C316B4" w:rsidRDefault="00C316B4" w:rsidP="00C316B4">
      <w:pPr>
        <w:spacing w:after="0" w:line="240" w:lineRule="auto"/>
        <w:jc w:val="both"/>
        <w:rPr>
          <w:rFonts w:ascii="Calibri" w:eastAsia="Cambria" w:hAnsi="Calibri" w:cs="Calibri"/>
          <w:noProof/>
          <w:vertAlign w:val="superscript"/>
          <w:lang w:val="en-US"/>
        </w:rPr>
      </w:pPr>
    </w:p>
    <w:p w14:paraId="5B284683" w14:textId="77777777" w:rsidR="00C316B4" w:rsidRPr="00C316B4" w:rsidRDefault="00C316B4" w:rsidP="00C316B4">
      <w:pPr>
        <w:spacing w:after="0" w:line="240" w:lineRule="auto"/>
        <w:jc w:val="both"/>
        <w:outlineLvl w:val="0"/>
        <w:rPr>
          <w:rFonts w:ascii="Calibri" w:eastAsia="Times New Roman" w:hAnsi="Calibri" w:cs="Calibri"/>
          <w:bCs/>
          <w:lang w:val="en-GB" w:eastAsia="fr-FR"/>
        </w:rPr>
      </w:pPr>
      <w:r w:rsidRPr="00C316B4">
        <w:rPr>
          <w:rFonts w:ascii="Calibri" w:eastAsia="Times New Roman" w:hAnsi="Calibri" w:cs="Calibri"/>
          <w:bCs/>
          <w:lang w:val="en-GB" w:eastAsia="fr-FR"/>
        </w:rPr>
        <w:t>Keywords: asset return integration and diversification, equities, fixed income, real estate, economic development</w:t>
      </w:r>
    </w:p>
    <w:p w14:paraId="3325E3F6" w14:textId="77777777" w:rsidR="00C316B4" w:rsidRPr="00C316B4" w:rsidRDefault="00C316B4" w:rsidP="00C316B4">
      <w:pPr>
        <w:spacing w:after="0" w:line="240" w:lineRule="auto"/>
        <w:jc w:val="both"/>
        <w:outlineLvl w:val="0"/>
        <w:rPr>
          <w:rFonts w:ascii="Calibri" w:eastAsia="Cambria" w:hAnsi="Calibri" w:cs="Calibri"/>
          <w:lang w:val="en-US"/>
        </w:rPr>
      </w:pPr>
      <w:r w:rsidRPr="00C316B4">
        <w:rPr>
          <w:rFonts w:ascii="Calibri" w:eastAsia="Cambria" w:hAnsi="Calibri" w:cs="Calibri"/>
          <w:bCs/>
          <w:lang w:val="en-US"/>
        </w:rPr>
        <w:t xml:space="preserve">JEL Classification: G01, </w:t>
      </w:r>
      <w:r w:rsidRPr="00C316B4">
        <w:rPr>
          <w:rFonts w:ascii="Calibri" w:eastAsia="Cambria" w:hAnsi="Calibri" w:cs="Calibri"/>
          <w:lang w:val="en-US"/>
        </w:rPr>
        <w:t xml:space="preserve">G10, G11, </w:t>
      </w:r>
      <w:r w:rsidRPr="00C316B4">
        <w:rPr>
          <w:rFonts w:ascii="Calibri" w:eastAsia="Cambria" w:hAnsi="Calibri" w:cs="Calibri"/>
          <w:bCs/>
          <w:lang w:val="en-US"/>
        </w:rPr>
        <w:t>G12, G14, G15</w:t>
      </w:r>
    </w:p>
    <w:p w14:paraId="4FA71C13" w14:textId="77777777" w:rsidR="00C316B4" w:rsidRPr="00C316B4" w:rsidRDefault="00C316B4" w:rsidP="00C316B4">
      <w:pPr>
        <w:spacing w:after="0" w:line="240" w:lineRule="auto"/>
        <w:jc w:val="both"/>
        <w:rPr>
          <w:rFonts w:ascii="Calibri" w:eastAsia="Cambria" w:hAnsi="Calibri" w:cs="Calibri"/>
          <w:color w:val="0000FF"/>
          <w:u w:val="single"/>
          <w:lang w:val="en-US"/>
        </w:rPr>
      </w:pPr>
    </w:p>
    <w:p w14:paraId="58ECD839" w14:textId="3BA4C0E7" w:rsidR="00C316B4" w:rsidRPr="00C316B4" w:rsidRDefault="00C316B4" w:rsidP="00C316B4">
      <w:pPr>
        <w:spacing w:after="0" w:line="240" w:lineRule="auto"/>
        <w:jc w:val="center"/>
        <w:rPr>
          <w:rFonts w:ascii="Calibri" w:eastAsia="Cambria" w:hAnsi="Calibri" w:cs="Calibri"/>
          <w:color w:val="0000FF"/>
          <w:u w:val="single"/>
          <w:lang w:val="en-US"/>
        </w:rPr>
      </w:pPr>
    </w:p>
    <w:p w14:paraId="7415B990" w14:textId="1AAC07D3" w:rsidR="00C316B4" w:rsidRPr="00C316B4" w:rsidRDefault="00C316B4" w:rsidP="00C316B4">
      <w:pPr>
        <w:spacing w:after="0" w:line="240" w:lineRule="auto"/>
        <w:jc w:val="both"/>
        <w:rPr>
          <w:rFonts w:ascii="Calibri" w:eastAsia="Cambria" w:hAnsi="Calibri" w:cs="Calibri"/>
          <w:lang w:val="en-US"/>
        </w:rPr>
      </w:pPr>
      <w:r>
        <w:rPr>
          <w:rFonts w:ascii="Calibri" w:eastAsia="Cambria" w:hAnsi="Calibri" w:cs="Calibri"/>
          <w:lang w:val="en-US"/>
        </w:rPr>
        <w:t xml:space="preserve">Acknowledgements: </w:t>
      </w:r>
      <w:r w:rsidRPr="00C316B4">
        <w:rPr>
          <w:rFonts w:ascii="Calibri" w:eastAsia="Cambria" w:hAnsi="Calibri" w:cs="Calibri"/>
          <w:lang w:val="en-US"/>
        </w:rPr>
        <w:t xml:space="preserve">The authors gratefully acknowledge research support from the UCLA </w:t>
      </w:r>
      <w:proofErr w:type="spellStart"/>
      <w:r w:rsidRPr="00C316B4">
        <w:rPr>
          <w:rFonts w:ascii="Calibri" w:eastAsia="Cambria" w:hAnsi="Calibri" w:cs="Calibri"/>
          <w:lang w:val="en-US"/>
        </w:rPr>
        <w:t>Rosalinde</w:t>
      </w:r>
      <w:proofErr w:type="spellEnd"/>
      <w:r w:rsidRPr="00C316B4">
        <w:rPr>
          <w:rFonts w:ascii="Calibri" w:eastAsia="Cambria" w:hAnsi="Calibri" w:cs="Calibri"/>
          <w:lang w:val="en-US"/>
        </w:rPr>
        <w:t xml:space="preserve"> and Arthur Gilbert Program in Real Estate, Finance and Urban Economics at the UCLA </w:t>
      </w:r>
      <w:proofErr w:type="spellStart"/>
      <w:r w:rsidRPr="00C316B4">
        <w:rPr>
          <w:rFonts w:ascii="Calibri" w:eastAsia="Cambria" w:hAnsi="Calibri" w:cs="Calibri"/>
          <w:lang w:val="en-US"/>
        </w:rPr>
        <w:t>Ziman</w:t>
      </w:r>
      <w:proofErr w:type="spellEnd"/>
      <w:r w:rsidRPr="00C316B4">
        <w:rPr>
          <w:rFonts w:ascii="Calibri" w:eastAsia="Cambria" w:hAnsi="Calibri" w:cs="Calibri"/>
          <w:lang w:val="en-US"/>
        </w:rPr>
        <w:t xml:space="preserve"> Center for Real Estate.  Cotter also acknowledges the support of Science Foundation Ireland under </w:t>
      </w:r>
      <w:r w:rsidR="003B2563" w:rsidRPr="003B2563">
        <w:rPr>
          <w:rFonts w:ascii="Calibri" w:eastAsia="Cambria" w:hAnsi="Calibri" w:cs="Calibri"/>
          <w:lang w:val="en-US"/>
        </w:rPr>
        <w:t>Grant Numbers 16/SPP/3347 and 17/SP/5447</w:t>
      </w:r>
      <w:r w:rsidRPr="00C316B4">
        <w:rPr>
          <w:rFonts w:ascii="Calibri" w:eastAsia="Cambria" w:hAnsi="Calibri" w:cs="Calibri"/>
          <w:lang w:val="en-US"/>
        </w:rPr>
        <w:t xml:space="preserve">.  The authors thank participants at the 2016 Luxembourg Asset Management Summit, </w:t>
      </w:r>
      <w:bookmarkStart w:id="0" w:name="_Hlk505018275"/>
      <w:r w:rsidRPr="00C316B4">
        <w:rPr>
          <w:rFonts w:ascii="Calibri" w:eastAsia="Cambria" w:hAnsi="Calibri" w:cs="Calibri"/>
          <w:lang w:val="en-US"/>
        </w:rPr>
        <w:t>2016 AREUEA International Meetings</w:t>
      </w:r>
      <w:bookmarkEnd w:id="0"/>
      <w:r w:rsidRPr="00C316B4">
        <w:rPr>
          <w:rFonts w:ascii="Calibri" w:eastAsia="Cambria" w:hAnsi="Calibri" w:cs="Calibri"/>
          <w:lang w:val="en-US"/>
        </w:rPr>
        <w:t xml:space="preserve">, 2018 AREUEA-ASSA Annual Meetings, </w:t>
      </w:r>
      <w:r w:rsidR="006F289E" w:rsidRPr="006F289E">
        <w:rPr>
          <w:rFonts w:ascii="Calibri" w:eastAsia="Cambria" w:hAnsi="Calibri" w:cs="Calibri"/>
          <w:lang w:val="en-US"/>
        </w:rPr>
        <w:t>University of Bath</w:t>
      </w:r>
      <w:r w:rsidR="006F289E">
        <w:rPr>
          <w:rFonts w:ascii="Calibri" w:eastAsia="Cambria" w:hAnsi="Calibri" w:cs="Calibri"/>
          <w:lang w:val="en-US"/>
        </w:rPr>
        <w:t xml:space="preserve">, </w:t>
      </w:r>
      <w:r w:rsidR="006F289E" w:rsidRPr="000400AF">
        <w:rPr>
          <w:rFonts w:ascii="Calibri" w:eastAsia="Cambria" w:hAnsi="Calibri" w:cs="Calibri"/>
          <w:lang w:val="en-US"/>
        </w:rPr>
        <w:t xml:space="preserve">University of Edinburgh, </w:t>
      </w:r>
      <w:r w:rsidR="00272632">
        <w:rPr>
          <w:rFonts w:ascii="Calibri" w:eastAsia="Cambria" w:hAnsi="Calibri" w:cs="Calibri"/>
          <w:lang w:val="en-US"/>
        </w:rPr>
        <w:t xml:space="preserve">Bank of Israel, </w:t>
      </w:r>
      <w:r w:rsidRPr="00C316B4">
        <w:rPr>
          <w:rFonts w:ascii="Calibri" w:eastAsia="Cambria" w:hAnsi="Calibri" w:cs="Calibri"/>
          <w:lang w:val="en-US"/>
        </w:rPr>
        <w:t xml:space="preserve">UCLA, University College Dublin, University of Georgia, </w:t>
      </w:r>
      <w:r w:rsidR="006F289E" w:rsidRPr="006F289E">
        <w:rPr>
          <w:rFonts w:ascii="Calibri" w:eastAsia="Cambria" w:hAnsi="Calibri" w:cs="Calibri"/>
          <w:lang w:val="en-US"/>
        </w:rPr>
        <w:t>University of Manchester</w:t>
      </w:r>
      <w:r w:rsidR="006F289E">
        <w:rPr>
          <w:rFonts w:ascii="Calibri" w:eastAsia="Cambria" w:hAnsi="Calibri" w:cs="Calibri"/>
          <w:lang w:val="en-US"/>
        </w:rPr>
        <w:t xml:space="preserve">, </w:t>
      </w:r>
      <w:r w:rsidRPr="00C316B4">
        <w:rPr>
          <w:rFonts w:ascii="Calibri" w:eastAsia="Cambria" w:hAnsi="Calibri" w:cs="Calibri"/>
          <w:lang w:val="en-US"/>
        </w:rPr>
        <w:t xml:space="preserve">Monash University, </w:t>
      </w:r>
      <w:r w:rsidR="007148AF">
        <w:rPr>
          <w:rFonts w:ascii="Calibri" w:eastAsia="Cambria" w:hAnsi="Calibri" w:cs="Calibri"/>
          <w:lang w:val="en-US"/>
        </w:rPr>
        <w:t xml:space="preserve">University of Edinburgh, </w:t>
      </w:r>
      <w:r w:rsidRPr="00C316B4">
        <w:rPr>
          <w:rFonts w:ascii="Calibri" w:eastAsia="Cambria" w:hAnsi="Calibri" w:cs="Calibri"/>
          <w:lang w:val="en-US"/>
        </w:rPr>
        <w:t>University of Reading, University of Sussex, Leibniz University, 2017 Western Finance Association Annual Conference, 2017 FMA European Conference, 2017 SFS Finance Cavalcade Asia-Pacific, 2017 Accounting and Finance Forum at the University of Queensland, European Securities and Markets Authority, the World Investment Forum 2017, the 2017 Financial Management Association Annual Conference</w:t>
      </w:r>
      <w:r w:rsidR="00405332">
        <w:rPr>
          <w:rFonts w:ascii="Calibri" w:eastAsia="Cambria" w:hAnsi="Calibri" w:cs="Calibri"/>
          <w:lang w:val="en-US"/>
        </w:rPr>
        <w:t xml:space="preserve">, </w:t>
      </w:r>
      <w:r w:rsidR="00272632">
        <w:rPr>
          <w:rFonts w:ascii="Calibri" w:eastAsia="Cambria" w:hAnsi="Calibri" w:cs="Calibri"/>
          <w:lang w:val="en-US"/>
        </w:rPr>
        <w:t xml:space="preserve">2018 Tel Aviv Finance Conference, </w:t>
      </w:r>
      <w:r w:rsidR="00405332">
        <w:rPr>
          <w:rFonts w:ascii="Calibri" w:eastAsia="Cambria" w:hAnsi="Calibri" w:cs="Calibri"/>
          <w:lang w:val="en-US"/>
        </w:rPr>
        <w:t>and the 2019 American Finance Association Annual Conference</w:t>
      </w:r>
      <w:r w:rsidRPr="00C316B4">
        <w:rPr>
          <w:rFonts w:ascii="Calibri" w:eastAsia="Cambria" w:hAnsi="Calibri" w:cs="Calibri"/>
          <w:lang w:val="en-US"/>
        </w:rPr>
        <w:t xml:space="preserve"> as well as Carol Alexander, Abhinav Anand, </w:t>
      </w:r>
      <w:r w:rsidR="007148AF">
        <w:rPr>
          <w:rFonts w:ascii="Calibri" w:eastAsia="Cambria" w:hAnsi="Calibri" w:cs="Calibri"/>
          <w:lang w:val="en-US"/>
        </w:rPr>
        <w:t xml:space="preserve">Seth Armitage, </w:t>
      </w:r>
      <w:r w:rsidRPr="00C316B4">
        <w:rPr>
          <w:rFonts w:ascii="Calibri" w:eastAsia="Cambria" w:hAnsi="Calibri" w:cs="Calibri"/>
          <w:lang w:val="en-US"/>
        </w:rPr>
        <w:t xml:space="preserve">Michael Brennan, Chris Brooks, Paul </w:t>
      </w:r>
      <w:proofErr w:type="spellStart"/>
      <w:r w:rsidRPr="00C316B4">
        <w:rPr>
          <w:rFonts w:ascii="Calibri" w:eastAsia="Cambria" w:hAnsi="Calibri" w:cs="Calibri"/>
          <w:lang w:val="en-US"/>
        </w:rPr>
        <w:t>Calem</w:t>
      </w:r>
      <w:proofErr w:type="spellEnd"/>
      <w:r w:rsidRPr="00C316B4">
        <w:rPr>
          <w:rFonts w:ascii="Calibri" w:eastAsia="Cambria" w:hAnsi="Calibri" w:cs="Calibri"/>
          <w:lang w:val="en-US"/>
        </w:rPr>
        <w:t xml:space="preserve">, </w:t>
      </w:r>
      <w:proofErr w:type="spellStart"/>
      <w:r w:rsidRPr="00C316B4">
        <w:rPr>
          <w:rFonts w:ascii="Calibri" w:eastAsia="Cambria" w:hAnsi="Calibri" w:cs="Calibri"/>
          <w:lang w:val="en-US"/>
        </w:rPr>
        <w:t>Bhagwan</w:t>
      </w:r>
      <w:proofErr w:type="spellEnd"/>
      <w:r w:rsidRPr="00C316B4">
        <w:rPr>
          <w:rFonts w:ascii="Calibri" w:eastAsia="Cambria" w:hAnsi="Calibri" w:cs="Calibri"/>
          <w:lang w:val="en-US"/>
        </w:rPr>
        <w:t xml:space="preserve"> </w:t>
      </w:r>
      <w:proofErr w:type="spellStart"/>
      <w:r w:rsidRPr="00C316B4">
        <w:rPr>
          <w:rFonts w:ascii="Calibri" w:eastAsia="Cambria" w:hAnsi="Calibri" w:cs="Calibri"/>
          <w:lang w:val="en-US"/>
        </w:rPr>
        <w:t>Chowdhry</w:t>
      </w:r>
      <w:proofErr w:type="spellEnd"/>
      <w:r w:rsidRPr="00C316B4">
        <w:rPr>
          <w:rFonts w:ascii="Calibri" w:eastAsia="Cambria" w:hAnsi="Calibri" w:cs="Calibri"/>
          <w:lang w:val="en-US"/>
        </w:rPr>
        <w:t xml:space="preserve">, Mike Clements, Thomas Conlon, Hans </w:t>
      </w:r>
      <w:proofErr w:type="spellStart"/>
      <w:r w:rsidRPr="00C316B4">
        <w:rPr>
          <w:rFonts w:ascii="Calibri" w:eastAsia="Cambria" w:hAnsi="Calibri" w:cs="Calibri"/>
          <w:lang w:val="en-US"/>
        </w:rPr>
        <w:t>Degryse</w:t>
      </w:r>
      <w:proofErr w:type="spellEnd"/>
      <w:r w:rsidRPr="00C316B4">
        <w:rPr>
          <w:rFonts w:ascii="Calibri" w:eastAsia="Cambria" w:hAnsi="Calibri" w:cs="Calibri"/>
          <w:lang w:val="en-US"/>
        </w:rPr>
        <w:t xml:space="preserve">, Richard Evans, Kingsley Fong, </w:t>
      </w:r>
      <w:r w:rsidR="003B2563">
        <w:rPr>
          <w:rFonts w:ascii="Calibri" w:eastAsia="Cambria" w:hAnsi="Calibri" w:cs="Calibri"/>
          <w:lang w:val="en-US"/>
        </w:rPr>
        <w:t xml:space="preserve">Will </w:t>
      </w:r>
      <w:proofErr w:type="spellStart"/>
      <w:r w:rsidR="003B2563">
        <w:rPr>
          <w:rFonts w:ascii="Calibri" w:eastAsia="Cambria" w:hAnsi="Calibri" w:cs="Calibri"/>
          <w:lang w:val="en-US"/>
        </w:rPr>
        <w:t>Goetzmann</w:t>
      </w:r>
      <w:proofErr w:type="spellEnd"/>
      <w:r w:rsidR="003B2563">
        <w:rPr>
          <w:rFonts w:ascii="Calibri" w:eastAsia="Cambria" w:hAnsi="Calibri" w:cs="Calibri"/>
          <w:lang w:val="en-US"/>
        </w:rPr>
        <w:t xml:space="preserve">, </w:t>
      </w:r>
      <w:r w:rsidRPr="00C316B4">
        <w:rPr>
          <w:rFonts w:ascii="Calibri" w:eastAsia="Cambria" w:hAnsi="Calibri" w:cs="Calibri"/>
          <w:lang w:val="en-US"/>
        </w:rPr>
        <w:t xml:space="preserve">Larry Harris, Andreas </w:t>
      </w:r>
      <w:proofErr w:type="spellStart"/>
      <w:r w:rsidRPr="00C316B4">
        <w:rPr>
          <w:rFonts w:ascii="Calibri" w:eastAsia="Cambria" w:hAnsi="Calibri" w:cs="Calibri"/>
          <w:lang w:val="en-US"/>
        </w:rPr>
        <w:t>Hoepner</w:t>
      </w:r>
      <w:proofErr w:type="spellEnd"/>
      <w:r w:rsidRPr="00C316B4">
        <w:rPr>
          <w:rFonts w:ascii="Calibri" w:eastAsia="Cambria" w:hAnsi="Calibri" w:cs="Calibri"/>
          <w:lang w:val="en-US"/>
        </w:rPr>
        <w:t xml:space="preserve">, Andreas </w:t>
      </w:r>
      <w:proofErr w:type="spellStart"/>
      <w:r w:rsidRPr="00C316B4">
        <w:rPr>
          <w:rFonts w:ascii="Calibri" w:eastAsia="Cambria" w:hAnsi="Calibri" w:cs="Calibri"/>
          <w:lang w:val="en-US"/>
        </w:rPr>
        <w:t>Kaeck</w:t>
      </w:r>
      <w:proofErr w:type="spellEnd"/>
      <w:r w:rsidRPr="00C316B4">
        <w:rPr>
          <w:rFonts w:ascii="Calibri" w:eastAsia="Cambria" w:hAnsi="Calibri" w:cs="Calibri"/>
          <w:lang w:val="en-US"/>
        </w:rPr>
        <w:t xml:space="preserve">, </w:t>
      </w:r>
      <w:proofErr w:type="spellStart"/>
      <w:r w:rsidRPr="00C316B4">
        <w:rPr>
          <w:rFonts w:ascii="Calibri" w:eastAsia="Cambria" w:hAnsi="Calibri" w:cs="Calibri"/>
          <w:lang w:val="en-US"/>
        </w:rPr>
        <w:t>Bige</w:t>
      </w:r>
      <w:proofErr w:type="spellEnd"/>
      <w:r w:rsidRPr="00C316B4">
        <w:rPr>
          <w:rFonts w:ascii="Calibri" w:eastAsia="Cambria" w:hAnsi="Calibri" w:cs="Calibri"/>
          <w:lang w:val="en-US"/>
        </w:rPr>
        <w:t xml:space="preserve"> </w:t>
      </w:r>
      <w:proofErr w:type="spellStart"/>
      <w:r w:rsidRPr="00C316B4">
        <w:rPr>
          <w:rFonts w:ascii="Calibri" w:eastAsia="Cambria" w:hAnsi="Calibri" w:cs="Calibri"/>
          <w:lang w:val="en-US"/>
        </w:rPr>
        <w:t>Kahraman</w:t>
      </w:r>
      <w:proofErr w:type="spellEnd"/>
      <w:r w:rsidRPr="00C316B4">
        <w:rPr>
          <w:rFonts w:ascii="Calibri" w:eastAsia="Cambria" w:hAnsi="Calibri" w:cs="Calibri"/>
          <w:lang w:val="en-US"/>
        </w:rPr>
        <w:t xml:space="preserve">, </w:t>
      </w:r>
      <w:proofErr w:type="spellStart"/>
      <w:r w:rsidRPr="00C316B4">
        <w:rPr>
          <w:rFonts w:ascii="Calibri" w:eastAsia="Cambria" w:hAnsi="Calibri" w:cs="Calibri"/>
          <w:lang w:val="en-US"/>
        </w:rPr>
        <w:t>Aneel</w:t>
      </w:r>
      <w:proofErr w:type="spellEnd"/>
      <w:r w:rsidRPr="00C316B4">
        <w:rPr>
          <w:rFonts w:ascii="Calibri" w:eastAsia="Cambria" w:hAnsi="Calibri" w:cs="Calibri"/>
          <w:lang w:val="en-US"/>
        </w:rPr>
        <w:t xml:space="preserve"> </w:t>
      </w:r>
      <w:proofErr w:type="spellStart"/>
      <w:r w:rsidRPr="00C316B4">
        <w:rPr>
          <w:rFonts w:ascii="Calibri" w:eastAsia="Cambria" w:hAnsi="Calibri" w:cs="Calibri"/>
          <w:lang w:val="en-US"/>
        </w:rPr>
        <w:t>Keswani</w:t>
      </w:r>
      <w:proofErr w:type="spellEnd"/>
      <w:r w:rsidRPr="00C316B4">
        <w:rPr>
          <w:rFonts w:ascii="Calibri" w:eastAsia="Cambria" w:hAnsi="Calibri" w:cs="Calibri"/>
          <w:lang w:val="en-US"/>
        </w:rPr>
        <w:t xml:space="preserve">, </w:t>
      </w:r>
      <w:r w:rsidR="003B2563" w:rsidRPr="003B2563">
        <w:rPr>
          <w:rFonts w:ascii="Calibri" w:eastAsia="Cambria" w:hAnsi="Calibri" w:cs="Calibri"/>
          <w:lang w:val="en-US"/>
        </w:rPr>
        <w:t>Alex</w:t>
      </w:r>
      <w:r w:rsidR="003B2563">
        <w:rPr>
          <w:rFonts w:ascii="Calibri" w:eastAsia="Cambria" w:hAnsi="Calibri" w:cs="Calibri"/>
          <w:lang w:val="en-US"/>
        </w:rPr>
        <w:t xml:space="preserve"> </w:t>
      </w:r>
      <w:proofErr w:type="spellStart"/>
      <w:r w:rsidR="003B2563" w:rsidRPr="003B2563">
        <w:rPr>
          <w:rFonts w:ascii="Calibri" w:eastAsia="Cambria" w:hAnsi="Calibri" w:cs="Calibri"/>
          <w:lang w:val="en-US"/>
        </w:rPr>
        <w:t>Kostakis</w:t>
      </w:r>
      <w:proofErr w:type="spellEnd"/>
      <w:r w:rsidR="003B2563">
        <w:rPr>
          <w:rFonts w:ascii="Calibri" w:eastAsia="Cambria" w:hAnsi="Calibri" w:cs="Calibri"/>
          <w:lang w:val="en-US"/>
        </w:rPr>
        <w:t xml:space="preserve">, </w:t>
      </w:r>
      <w:r w:rsidRPr="00C316B4">
        <w:rPr>
          <w:rFonts w:ascii="Calibri" w:eastAsia="Cambria" w:hAnsi="Calibri" w:cs="Calibri"/>
          <w:lang w:val="en-US"/>
        </w:rPr>
        <w:t xml:space="preserve">Hugues Langlois, Christian Lundblad, Niall </w:t>
      </w:r>
      <w:proofErr w:type="spellStart"/>
      <w:r w:rsidRPr="00C316B4">
        <w:rPr>
          <w:rFonts w:ascii="Calibri" w:eastAsia="Cambria" w:hAnsi="Calibri" w:cs="Calibri"/>
          <w:lang w:val="en-US"/>
        </w:rPr>
        <w:t>McGeever</w:t>
      </w:r>
      <w:proofErr w:type="spellEnd"/>
      <w:r w:rsidRPr="00C316B4">
        <w:rPr>
          <w:rFonts w:ascii="Calibri" w:eastAsia="Cambria" w:hAnsi="Calibri" w:cs="Calibri"/>
          <w:lang w:val="en-US"/>
        </w:rPr>
        <w:t xml:space="preserve">, Harold </w:t>
      </w:r>
      <w:proofErr w:type="spellStart"/>
      <w:r w:rsidRPr="00C316B4">
        <w:rPr>
          <w:rFonts w:ascii="Calibri" w:eastAsia="Cambria" w:hAnsi="Calibri" w:cs="Calibri"/>
          <w:lang w:val="en-US"/>
        </w:rPr>
        <w:t>Mulherin</w:t>
      </w:r>
      <w:proofErr w:type="spellEnd"/>
      <w:r w:rsidR="0041573D">
        <w:rPr>
          <w:rFonts w:ascii="Calibri" w:eastAsia="Cambria" w:hAnsi="Calibri" w:cs="Calibri"/>
          <w:lang w:val="en-US"/>
        </w:rPr>
        <w:t>,</w:t>
      </w:r>
      <w:r w:rsidRPr="00C316B4">
        <w:rPr>
          <w:rFonts w:ascii="Calibri" w:eastAsia="Cambria" w:hAnsi="Calibri" w:cs="Calibri"/>
          <w:lang w:val="en-US"/>
        </w:rPr>
        <w:t xml:space="preserve"> </w:t>
      </w:r>
      <w:r w:rsidR="007051A3">
        <w:rPr>
          <w:rFonts w:ascii="Calibri" w:eastAsia="Cambria" w:hAnsi="Calibri" w:cs="Calibri"/>
          <w:lang w:val="en-US"/>
        </w:rPr>
        <w:t xml:space="preserve">Stijn Van </w:t>
      </w:r>
      <w:proofErr w:type="spellStart"/>
      <w:r w:rsidR="007051A3">
        <w:rPr>
          <w:rFonts w:ascii="Calibri" w:eastAsia="Cambria" w:hAnsi="Calibri" w:cs="Calibri"/>
          <w:lang w:val="en-US"/>
        </w:rPr>
        <w:t>Nieuwerburgh</w:t>
      </w:r>
      <w:proofErr w:type="spellEnd"/>
      <w:r w:rsidR="007051A3">
        <w:rPr>
          <w:rFonts w:ascii="Calibri" w:eastAsia="Cambria" w:hAnsi="Calibri" w:cs="Calibri"/>
          <w:lang w:val="en-US"/>
        </w:rPr>
        <w:t xml:space="preserve">, </w:t>
      </w:r>
      <w:r w:rsidRPr="00C316B4">
        <w:rPr>
          <w:rFonts w:ascii="Calibri" w:eastAsia="Cambria" w:hAnsi="Calibri" w:cs="Calibri"/>
          <w:lang w:val="en-US"/>
        </w:rPr>
        <w:t xml:space="preserve">Gary Painter, Neil Pearson, Ronan Powell, Marcel </w:t>
      </w:r>
      <w:proofErr w:type="spellStart"/>
      <w:r w:rsidRPr="00C316B4">
        <w:rPr>
          <w:rFonts w:ascii="Calibri" w:eastAsia="Cambria" w:hAnsi="Calibri" w:cs="Calibri"/>
          <w:lang w:val="en-US"/>
        </w:rPr>
        <w:t>Prokopczuk</w:t>
      </w:r>
      <w:proofErr w:type="spellEnd"/>
      <w:r w:rsidRPr="00C316B4">
        <w:rPr>
          <w:rFonts w:ascii="Calibri" w:eastAsia="Cambria" w:hAnsi="Calibri" w:cs="Calibri"/>
          <w:lang w:val="en-US"/>
        </w:rPr>
        <w:t xml:space="preserve">, William Sharpe, Matt Spiegel, René </w:t>
      </w:r>
      <w:proofErr w:type="spellStart"/>
      <w:r w:rsidRPr="00C316B4">
        <w:rPr>
          <w:rFonts w:ascii="Calibri" w:eastAsia="Cambria" w:hAnsi="Calibri" w:cs="Calibri"/>
          <w:lang w:val="en-US"/>
        </w:rPr>
        <w:t>Stulz</w:t>
      </w:r>
      <w:proofErr w:type="spellEnd"/>
      <w:r w:rsidRPr="00C316B4">
        <w:rPr>
          <w:rFonts w:ascii="Calibri" w:eastAsia="Cambria" w:hAnsi="Calibri" w:cs="Calibri"/>
          <w:lang w:val="en-US"/>
        </w:rPr>
        <w:t xml:space="preserve">, </w:t>
      </w:r>
      <w:r w:rsidR="003B2563">
        <w:rPr>
          <w:rFonts w:ascii="Calibri" w:eastAsia="Cambria" w:hAnsi="Calibri" w:cs="Calibri"/>
          <w:lang w:val="en-US"/>
        </w:rPr>
        <w:t>Alex Taylor,</w:t>
      </w:r>
      <w:r w:rsidR="006F289E">
        <w:rPr>
          <w:rFonts w:ascii="Calibri" w:eastAsia="Cambria" w:hAnsi="Calibri" w:cs="Calibri"/>
          <w:lang w:val="en-US"/>
        </w:rPr>
        <w:t xml:space="preserve"> Ian Tonks,</w:t>
      </w:r>
      <w:r w:rsidR="003B2563">
        <w:rPr>
          <w:rFonts w:ascii="Calibri" w:eastAsia="Cambria" w:hAnsi="Calibri" w:cs="Calibri"/>
          <w:lang w:val="en-US"/>
        </w:rPr>
        <w:t xml:space="preserve"> </w:t>
      </w:r>
      <w:r w:rsidRPr="00C316B4">
        <w:rPr>
          <w:rFonts w:ascii="Calibri" w:eastAsia="Cambria" w:hAnsi="Calibri" w:cs="Calibri"/>
          <w:lang w:val="en-US"/>
        </w:rPr>
        <w:t xml:space="preserve">Chuck </w:t>
      </w:r>
      <w:proofErr w:type="spellStart"/>
      <w:r w:rsidRPr="00C316B4">
        <w:rPr>
          <w:rFonts w:ascii="Calibri" w:eastAsia="Cambria" w:hAnsi="Calibri" w:cs="Calibri"/>
          <w:lang w:val="en-US"/>
        </w:rPr>
        <w:t>Trzcinka</w:t>
      </w:r>
      <w:proofErr w:type="spellEnd"/>
      <w:r w:rsidRPr="00C316B4">
        <w:rPr>
          <w:rFonts w:ascii="Calibri" w:eastAsia="Cambria" w:hAnsi="Calibri" w:cs="Calibri"/>
          <w:lang w:val="en-US"/>
        </w:rPr>
        <w:t>, Gary Williams</w:t>
      </w:r>
      <w:r w:rsidR="00AF3454">
        <w:rPr>
          <w:rFonts w:ascii="Calibri" w:eastAsia="Cambria" w:hAnsi="Calibri" w:cs="Calibri"/>
          <w:lang w:val="en-US"/>
        </w:rPr>
        <w:t xml:space="preserve"> and Jeff </w:t>
      </w:r>
      <w:proofErr w:type="spellStart"/>
      <w:r w:rsidR="00AF3454">
        <w:rPr>
          <w:rFonts w:ascii="Calibri" w:eastAsia="Cambria" w:hAnsi="Calibri" w:cs="Calibri"/>
          <w:lang w:val="en-US"/>
        </w:rPr>
        <w:t>Wurgler</w:t>
      </w:r>
      <w:proofErr w:type="spellEnd"/>
      <w:r w:rsidRPr="00C316B4">
        <w:rPr>
          <w:rFonts w:ascii="Calibri" w:eastAsia="Cambria" w:hAnsi="Calibri" w:cs="Calibri"/>
          <w:lang w:val="en-US"/>
        </w:rPr>
        <w:t>.</w:t>
      </w:r>
    </w:p>
    <w:p w14:paraId="007CC3AD" w14:textId="77777777" w:rsidR="00C316B4" w:rsidRPr="00C316B4" w:rsidRDefault="00C316B4" w:rsidP="00C316B4">
      <w:pPr>
        <w:spacing w:after="0" w:line="240" w:lineRule="auto"/>
        <w:rPr>
          <w:rFonts w:ascii="Cambria" w:eastAsia="MS Mincho" w:hAnsi="Cambria" w:cs="Times New Roman"/>
          <w:sz w:val="24"/>
          <w:szCs w:val="24"/>
          <w:lang w:val="en-US"/>
        </w:rPr>
      </w:pPr>
    </w:p>
    <w:p w14:paraId="09B6678C" w14:textId="77777777" w:rsidR="002F0689" w:rsidRDefault="002F0689" w:rsidP="002F0689">
      <w:pPr>
        <w:spacing w:after="0"/>
        <w:rPr>
          <w:rFonts w:ascii="Cambria" w:eastAsia="Cambria" w:hAnsi="Cambria" w:cs="Arial"/>
        </w:rPr>
      </w:pPr>
    </w:p>
    <w:p w14:paraId="4F049393" w14:textId="77777777" w:rsidR="00947545" w:rsidRPr="00343882" w:rsidRDefault="00947545" w:rsidP="00667038">
      <w:pPr>
        <w:spacing w:after="0" w:line="240" w:lineRule="auto"/>
        <w:jc w:val="both"/>
        <w:rPr>
          <w:rFonts w:eastAsia="Times New Roman" w:cs="Cambria"/>
          <w:bCs/>
          <w:lang w:eastAsia="fr-FR"/>
        </w:rPr>
      </w:pPr>
    </w:p>
    <w:p w14:paraId="6A10C119" w14:textId="655A18C4" w:rsidR="00795849" w:rsidRPr="00C316B4" w:rsidRDefault="00795849" w:rsidP="00C316B4">
      <w:pPr>
        <w:pStyle w:val="ListParagraph"/>
        <w:numPr>
          <w:ilvl w:val="0"/>
          <w:numId w:val="8"/>
        </w:numPr>
        <w:rPr>
          <w:b/>
          <w:bCs/>
        </w:rPr>
      </w:pPr>
      <w:r w:rsidRPr="00C316B4">
        <w:rPr>
          <w:b/>
          <w:bCs/>
        </w:rPr>
        <w:t>Introduction</w:t>
      </w:r>
    </w:p>
    <w:p w14:paraId="1FCCD6D1" w14:textId="7D414023" w:rsidR="00795849" w:rsidRDefault="003D27B2" w:rsidP="00D60068">
      <w:pPr>
        <w:spacing w:after="0" w:line="480" w:lineRule="auto"/>
        <w:ind w:firstLine="360"/>
        <w:jc w:val="both"/>
      </w:pPr>
      <w:r>
        <w:t>D</w:t>
      </w:r>
      <w:r w:rsidR="00795849">
        <w:t xml:space="preserve">iversification </w:t>
      </w:r>
      <w:r>
        <w:t>i</w:t>
      </w:r>
      <w:r w:rsidR="00205E26">
        <w:t xml:space="preserve">s fundamental </w:t>
      </w:r>
      <w:r w:rsidR="00343882">
        <w:t>to</w:t>
      </w:r>
      <w:r w:rsidR="00205E26">
        <w:t xml:space="preserve"> </w:t>
      </w:r>
      <w:r>
        <w:t>r</w:t>
      </w:r>
      <w:r w:rsidR="00205E26">
        <w:t xml:space="preserve">isk mitigation.  </w:t>
      </w:r>
      <w:r w:rsidR="00795849">
        <w:t xml:space="preserve"> </w:t>
      </w:r>
      <w:r w:rsidR="00B97151">
        <w:t>An early</w:t>
      </w:r>
      <w:r w:rsidR="00446D63" w:rsidRPr="00446D63">
        <w:t xml:space="preserve"> adage to diversify is found in the Book of Ecclesiastes (935 B.C.), which advises</w:t>
      </w:r>
      <w:r>
        <w:t>,</w:t>
      </w:r>
      <w:r w:rsidR="00446D63" w:rsidRPr="00446D63">
        <w:t xml:space="preserve"> “But divide your investments among many places, for you do not know what risks might lie ahead.”  In 1710, S. Palmer (Moral Essays on Proverbs, 344) </w:t>
      </w:r>
      <w:r w:rsidR="00B9138F">
        <w:t xml:space="preserve">similarly </w:t>
      </w:r>
      <w:r w:rsidR="00446D63" w:rsidRPr="00446D63">
        <w:t>admonishe</w:t>
      </w:r>
      <w:r w:rsidR="00687ECB">
        <w:t>s</w:t>
      </w:r>
      <w:r w:rsidR="00446D63" w:rsidRPr="00446D63">
        <w:t xml:space="preserve"> </w:t>
      </w:r>
      <w:r w:rsidR="005E5672">
        <w:t>“</w:t>
      </w:r>
      <w:r w:rsidR="00446D63" w:rsidRPr="00446D63">
        <w:t xml:space="preserve">not to venture all your eggs in one basket”. </w:t>
      </w:r>
      <w:r w:rsidR="007B506C">
        <w:t xml:space="preserve"> </w:t>
      </w:r>
      <w:r w:rsidR="00C57D75">
        <w:t xml:space="preserve"> </w:t>
      </w:r>
      <w:r w:rsidR="00223461">
        <w:t xml:space="preserve">More recently, </w:t>
      </w:r>
      <w:r w:rsidR="00D906C2">
        <w:t>t</w:t>
      </w:r>
      <w:r w:rsidR="006E78CA">
        <w:t xml:space="preserve">he </w:t>
      </w:r>
      <w:r w:rsidR="00205E26">
        <w:t xml:space="preserve">California Public Employees Retirement System (CalPERS) </w:t>
      </w:r>
      <w:r w:rsidR="00D60068">
        <w:t>undertakes to</w:t>
      </w:r>
      <w:r>
        <w:t xml:space="preserve"> </w:t>
      </w:r>
      <w:r w:rsidR="00205E26">
        <w:t xml:space="preserve">diversify </w:t>
      </w:r>
      <w:r w:rsidR="00D60068">
        <w:t xml:space="preserve">pension </w:t>
      </w:r>
      <w:r w:rsidR="00205E26">
        <w:t xml:space="preserve">investments among stocks, bonds, </w:t>
      </w:r>
      <w:r w:rsidR="00511DB7">
        <w:t xml:space="preserve">and </w:t>
      </w:r>
      <w:r w:rsidR="00205E26">
        <w:t xml:space="preserve">real estate to maximize returns at a prudent level of risk.  </w:t>
      </w:r>
      <w:r w:rsidR="00795849">
        <w:t xml:space="preserve">Similar </w:t>
      </w:r>
      <w:r>
        <w:t xml:space="preserve">strategies are proclaimed </w:t>
      </w:r>
      <w:r w:rsidR="00343882">
        <w:t>by</w:t>
      </w:r>
      <w:r w:rsidR="00795849">
        <w:t xml:space="preserve"> </w:t>
      </w:r>
      <w:r w:rsidR="00D60068">
        <w:t>virtually all</w:t>
      </w:r>
      <w:r w:rsidR="00795849">
        <w:t xml:space="preserve"> major </w:t>
      </w:r>
      <w:r w:rsidR="00D60068">
        <w:t xml:space="preserve">pension and </w:t>
      </w:r>
      <w:r w:rsidR="00795849">
        <w:t>investment advisory firms.</w:t>
      </w:r>
      <w:r w:rsidR="00D906C2" w:rsidRPr="00D906C2">
        <w:rPr>
          <w:rStyle w:val="FootnoteReference"/>
        </w:rPr>
        <w:t xml:space="preserve"> </w:t>
      </w:r>
      <w:r w:rsidR="00D906C2">
        <w:rPr>
          <w:rStyle w:val="FootnoteReference"/>
        </w:rPr>
        <w:footnoteReference w:id="4"/>
      </w:r>
    </w:p>
    <w:p w14:paraId="1059D7A3" w14:textId="061BEBC3" w:rsidR="00795849" w:rsidRDefault="00B61FE0" w:rsidP="009B666D">
      <w:pPr>
        <w:spacing w:after="0" w:line="480" w:lineRule="auto"/>
        <w:ind w:firstLine="360"/>
        <w:jc w:val="both"/>
      </w:pPr>
      <w:r>
        <w:t>During</w:t>
      </w:r>
      <w:r w:rsidR="00795849">
        <w:t xml:space="preserve"> </w:t>
      </w:r>
      <w:r w:rsidR="00D578D4">
        <w:t xml:space="preserve">the </w:t>
      </w:r>
      <w:r w:rsidR="00795849" w:rsidRPr="007720DB">
        <w:t>late-2000s meltdown, anecdotal evidence suggest</w:t>
      </w:r>
      <w:r w:rsidR="00343882">
        <w:t>ed</w:t>
      </w:r>
      <w:r w:rsidR="00795849" w:rsidRPr="007720DB">
        <w:t xml:space="preserve"> that diversification</w:t>
      </w:r>
      <w:r w:rsidR="000A4F76">
        <w:t xml:space="preserve"> </w:t>
      </w:r>
      <w:r>
        <w:t>was not all that</w:t>
      </w:r>
      <w:r w:rsidR="00795849">
        <w:t xml:space="preserve"> e</w:t>
      </w:r>
      <w:r w:rsidR="00795849" w:rsidRPr="007720DB">
        <w:t xml:space="preserve">ffective.   </w:t>
      </w:r>
      <w:r>
        <w:t>I</w:t>
      </w:r>
      <w:r w:rsidR="001D413E" w:rsidRPr="001D413E">
        <w:t xml:space="preserve">ndividual and institutional investors incurred substantial losses because of unforeseen and unprecedented contemporaneous price declines </w:t>
      </w:r>
      <w:r w:rsidR="00A258D2">
        <w:t xml:space="preserve">within and </w:t>
      </w:r>
      <w:r w:rsidR="001D413E" w:rsidRPr="001D413E">
        <w:t xml:space="preserve">across asset classes and markets.  </w:t>
      </w:r>
      <w:r>
        <w:t>But e</w:t>
      </w:r>
      <w:r w:rsidR="001D413E" w:rsidRPr="001D413E">
        <w:t>ven prior to th</w:t>
      </w:r>
      <w:r>
        <w:t>at</w:t>
      </w:r>
      <w:r w:rsidR="001D413E" w:rsidRPr="001D413E">
        <w:t xml:space="preserve"> crisis, limitations to diversification were </w:t>
      </w:r>
      <w:r w:rsidR="00F0730D">
        <w:t xml:space="preserve">becoming </w:t>
      </w:r>
      <w:r w:rsidR="001D413E" w:rsidRPr="001D413E">
        <w:t xml:space="preserve">apparent.   </w:t>
      </w:r>
      <w:r w:rsidR="00795849">
        <w:t xml:space="preserve">In </w:t>
      </w:r>
      <w:r w:rsidR="00736A95">
        <w:t xml:space="preserve">the popular media, Thomas Friedman, in his bestseller titled </w:t>
      </w:r>
      <w:r w:rsidR="00795849">
        <w:t>“The World is Flat”</w:t>
      </w:r>
      <w:r w:rsidR="00834A08">
        <w:t xml:space="preserve"> (2007)</w:t>
      </w:r>
      <w:r w:rsidR="00795849">
        <w:t xml:space="preserve">, </w:t>
      </w:r>
      <w:r w:rsidR="00F0730D">
        <w:t>depicted</w:t>
      </w:r>
      <w:r w:rsidR="00795849">
        <w:t xml:space="preserve"> a </w:t>
      </w:r>
      <w:r w:rsidR="00795849" w:rsidRPr="007720DB">
        <w:t>global</w:t>
      </w:r>
      <w:r w:rsidR="00795849">
        <w:t>ized</w:t>
      </w:r>
      <w:r w:rsidR="00795849" w:rsidRPr="007720DB">
        <w:t xml:space="preserve"> market</w:t>
      </w:r>
      <w:r w:rsidR="00795849">
        <w:t>place</w:t>
      </w:r>
      <w:r w:rsidR="00795849" w:rsidRPr="007720DB">
        <w:t xml:space="preserve"> where</w:t>
      </w:r>
      <w:r w:rsidR="000A4F76">
        <w:t xml:space="preserve">, in the wake of </w:t>
      </w:r>
      <w:r w:rsidR="00C7615E">
        <w:t xml:space="preserve">innovations in </w:t>
      </w:r>
      <w:r w:rsidR="000A4F76">
        <w:t xml:space="preserve">technology, </w:t>
      </w:r>
      <w:r w:rsidR="00C7615E">
        <w:t xml:space="preserve">extension of </w:t>
      </w:r>
      <w:r w:rsidR="000A4F76">
        <w:t>global supply chains, and widespread accretions to household wealth,</w:t>
      </w:r>
      <w:r w:rsidR="00795849" w:rsidRPr="007720DB">
        <w:t xml:space="preserve"> geographical divisions </w:t>
      </w:r>
      <w:r w:rsidR="005E5672">
        <w:t>were becoming</w:t>
      </w:r>
      <w:r w:rsidR="00795849" w:rsidRPr="007720DB">
        <w:t xml:space="preserve"> </w:t>
      </w:r>
      <w:r w:rsidR="00C7615E">
        <w:t>less relevant</w:t>
      </w:r>
      <w:r w:rsidR="00795849" w:rsidRPr="007720DB">
        <w:t>.</w:t>
      </w:r>
      <w:r w:rsidR="00D60068">
        <w:t xml:space="preserve">  In a</w:t>
      </w:r>
      <w:r w:rsidR="009B666D">
        <w:t xml:space="preserve"> more connected</w:t>
      </w:r>
      <w:r w:rsidR="00D60068">
        <w:t xml:space="preserve"> global economy, investment diversification opportunities should be less </w:t>
      </w:r>
      <w:r w:rsidR="004707E3">
        <w:t>read</w:t>
      </w:r>
      <w:r w:rsidR="00F0730D">
        <w:t>ily available</w:t>
      </w:r>
      <w:r w:rsidR="00D60068">
        <w:t>.</w:t>
      </w:r>
      <w:r w:rsidR="009B666D">
        <w:t xml:space="preserve">  D</w:t>
      </w:r>
      <w:r w:rsidR="00BE029E" w:rsidRPr="00BE029E">
        <w:t xml:space="preserve">iversification </w:t>
      </w:r>
      <w:r w:rsidR="00A56DF7">
        <w:t>provides fewer benefits</w:t>
      </w:r>
      <w:r w:rsidR="00BE029E" w:rsidRPr="00BE029E">
        <w:t xml:space="preserve"> </w:t>
      </w:r>
      <w:r w:rsidR="001857FD">
        <w:t>w</w:t>
      </w:r>
      <w:r w:rsidR="00BE029E" w:rsidRPr="00BE029E">
        <w:t xml:space="preserve">hen returns across assets and geographies are highly integrated.  </w:t>
      </w:r>
      <w:r w:rsidR="00A56DF7">
        <w:t>L</w:t>
      </w:r>
      <w:r w:rsidR="00E633B0">
        <w:t xml:space="preserve">imitations </w:t>
      </w:r>
      <w:r w:rsidR="00A56DF7">
        <w:t>on</w:t>
      </w:r>
      <w:r w:rsidR="00E633B0">
        <w:t xml:space="preserve"> diversification </w:t>
      </w:r>
      <w:r w:rsidR="00795849" w:rsidRPr="00D35B39">
        <w:t>ha</w:t>
      </w:r>
      <w:r w:rsidR="00E633B0">
        <w:t>ve</w:t>
      </w:r>
      <w:r w:rsidR="00795849" w:rsidRPr="00D35B39">
        <w:t xml:space="preserve"> </w:t>
      </w:r>
      <w:r w:rsidR="00A56DF7">
        <w:t>major</w:t>
      </w:r>
      <w:r w:rsidR="00A56DF7" w:rsidRPr="00D35B39">
        <w:t xml:space="preserve"> </w:t>
      </w:r>
      <w:r w:rsidR="00795849" w:rsidRPr="00D35B39">
        <w:t xml:space="preserve">implications for investment strategies, fund composition, </w:t>
      </w:r>
      <w:r w:rsidR="001D413E">
        <w:t>and</w:t>
      </w:r>
      <w:r w:rsidR="00795849">
        <w:t xml:space="preserve"> macroeconomic </w:t>
      </w:r>
      <w:r w:rsidR="009A373A">
        <w:t xml:space="preserve">and asset </w:t>
      </w:r>
      <w:r w:rsidR="001D413E">
        <w:t>management</w:t>
      </w:r>
      <w:r w:rsidR="00795849">
        <w:t xml:space="preserve">.  </w:t>
      </w:r>
      <w:r w:rsidR="00795849" w:rsidRPr="007720DB">
        <w:t xml:space="preserve">  </w:t>
      </w:r>
    </w:p>
    <w:p w14:paraId="61B2352C" w14:textId="0C737F21" w:rsidR="00274788" w:rsidRDefault="00795849" w:rsidP="009B666D">
      <w:pPr>
        <w:spacing w:after="0" w:line="480" w:lineRule="auto"/>
        <w:ind w:firstLine="360"/>
        <w:jc w:val="both"/>
      </w:pPr>
      <w:r w:rsidRPr="0075068C">
        <w:t xml:space="preserve">Despite the </w:t>
      </w:r>
      <w:r>
        <w:t>overwhelming prevalence</w:t>
      </w:r>
      <w:r w:rsidRPr="0075068C">
        <w:t xml:space="preserve"> of </w:t>
      </w:r>
      <w:r>
        <w:t xml:space="preserve">asset </w:t>
      </w:r>
      <w:r w:rsidRPr="0075068C">
        <w:t>diversification</w:t>
      </w:r>
      <w:r w:rsidR="00A013FF">
        <w:t xml:space="preserve"> strategies</w:t>
      </w:r>
      <w:r>
        <w:t>,</w:t>
      </w:r>
      <w:r w:rsidRPr="0075068C">
        <w:t xml:space="preserve"> few studies have sought to investigate the implications of </w:t>
      </w:r>
      <w:r w:rsidR="009D76A0">
        <w:t xml:space="preserve">a more integrated world for diversification potential </w:t>
      </w:r>
      <w:r w:rsidRPr="0075068C">
        <w:t>and related risk mitigation</w:t>
      </w:r>
      <w:r w:rsidR="009B666D">
        <w:t>.</w:t>
      </w:r>
      <w:r>
        <w:t xml:space="preserve">  </w:t>
      </w:r>
      <w:r w:rsidR="001E5490">
        <w:t xml:space="preserve">Nor have </w:t>
      </w:r>
      <w:r w:rsidR="00AC1634">
        <w:t>prior studies</w:t>
      </w:r>
      <w:r w:rsidR="001E5490">
        <w:t xml:space="preserve"> </w:t>
      </w:r>
      <w:r w:rsidR="008D3257">
        <w:t>modelled</w:t>
      </w:r>
      <w:r w:rsidR="001E5490">
        <w:t xml:space="preserve"> how linkages across </w:t>
      </w:r>
      <w:r w:rsidR="001B3BBB">
        <w:t xml:space="preserve">equity, sovereign debt, and real estate </w:t>
      </w:r>
      <w:r w:rsidR="001E5490">
        <w:t xml:space="preserve">asset classes would </w:t>
      </w:r>
      <w:r w:rsidR="00AC1634">
        <w:t>affect diversification opportunity</w:t>
      </w:r>
      <w:r w:rsidR="001E5490">
        <w:t xml:space="preserve">. </w:t>
      </w:r>
      <w:r w:rsidR="00BA22A7" w:rsidRPr="00961E71">
        <w:t xml:space="preserve">Studies typically have focused on </w:t>
      </w:r>
      <w:r w:rsidR="00BA22A7" w:rsidRPr="00961E71">
        <w:lastRenderedPageBreak/>
        <w:t xml:space="preserve">explaining correlations in market trends in a single asset class such as </w:t>
      </w:r>
      <w:r w:rsidR="00BA22A7">
        <w:t xml:space="preserve">equities or </w:t>
      </w:r>
      <w:r w:rsidR="00BA22A7" w:rsidRPr="00961E71">
        <w:t xml:space="preserve">sovereign debt (see, for example, </w:t>
      </w:r>
      <w:r w:rsidR="00BA22A7">
        <w:t xml:space="preserve">Bekaert, </w:t>
      </w:r>
      <w:proofErr w:type="spellStart"/>
      <w:r w:rsidR="00BA22A7">
        <w:t>Hodrick</w:t>
      </w:r>
      <w:proofErr w:type="spellEnd"/>
      <w:r w:rsidR="00BA22A7">
        <w:t xml:space="preserve">, and Zhang (2009); </w:t>
      </w:r>
      <w:r w:rsidR="00BA22A7" w:rsidRPr="00961E71">
        <w:t>Bekaert et al (</w:t>
      </w:r>
      <w:r w:rsidR="00BA22A7">
        <w:t>2011); Bekaert and Harvey (2014)</w:t>
      </w:r>
      <w:r w:rsidR="00BA22A7" w:rsidRPr="00961E71">
        <w:t xml:space="preserve">; </w:t>
      </w:r>
      <w:proofErr w:type="spellStart"/>
      <w:r w:rsidR="00BA22A7" w:rsidRPr="00961E71">
        <w:t>Carrieri</w:t>
      </w:r>
      <w:proofErr w:type="spellEnd"/>
      <w:r w:rsidR="00BA22A7" w:rsidRPr="00961E71">
        <w:t xml:space="preserve"> et al. (2013); </w:t>
      </w:r>
      <w:proofErr w:type="spellStart"/>
      <w:r w:rsidR="00BA22A7" w:rsidRPr="00961E71">
        <w:t>Christofersen</w:t>
      </w:r>
      <w:proofErr w:type="spellEnd"/>
      <w:r w:rsidR="00BA22A7" w:rsidRPr="00961E71">
        <w:t xml:space="preserve"> et al (2012), and </w:t>
      </w:r>
      <w:proofErr w:type="spellStart"/>
      <w:r w:rsidR="00BA22A7" w:rsidRPr="00961E71">
        <w:t>Chaib</w:t>
      </w:r>
      <w:proofErr w:type="spellEnd"/>
      <w:r w:rsidR="00BA22A7" w:rsidRPr="00961E71">
        <w:t xml:space="preserve">, </w:t>
      </w:r>
      <w:proofErr w:type="spellStart"/>
      <w:r w:rsidR="00BA22A7" w:rsidRPr="00961E71">
        <w:t>Errunza</w:t>
      </w:r>
      <w:proofErr w:type="spellEnd"/>
      <w:r w:rsidR="00BA22A7" w:rsidRPr="00961E71">
        <w:t xml:space="preserve"> and Brandon (2014)).  </w:t>
      </w:r>
      <w:r w:rsidR="00274788" w:rsidRPr="00274788">
        <w:t xml:space="preserve">Correlations are commonly </w:t>
      </w:r>
      <w:r w:rsidR="00C1713D">
        <w:t>connected (inversely) with</w:t>
      </w:r>
      <w:r w:rsidR="00274788" w:rsidRPr="00274788">
        <w:t xml:space="preserve"> diversification. </w:t>
      </w:r>
      <w:r w:rsidR="009B666D">
        <w:t>Further, i</w:t>
      </w:r>
      <w:r w:rsidR="00274788" w:rsidRPr="00274788">
        <w:t xml:space="preserve">nternational evidence on </w:t>
      </w:r>
      <w:r w:rsidR="00536B43">
        <w:t xml:space="preserve">cross-country </w:t>
      </w:r>
      <w:r w:rsidR="00274788" w:rsidRPr="00274788">
        <w:t>correlation is mixed</w:t>
      </w:r>
      <w:r w:rsidR="00536B43">
        <w:t>; it is typically</w:t>
      </w:r>
      <w:r w:rsidR="00274788" w:rsidRPr="00274788">
        <w:t xml:space="preserve"> low</w:t>
      </w:r>
      <w:r w:rsidR="00536B43">
        <w:t>er</w:t>
      </w:r>
      <w:r w:rsidR="00274788" w:rsidRPr="00274788">
        <w:t xml:space="preserve"> for emerging equity markets (Berger, </w:t>
      </w:r>
      <w:proofErr w:type="spellStart"/>
      <w:r w:rsidR="00274788" w:rsidRPr="00274788">
        <w:t>Pukthuanthong</w:t>
      </w:r>
      <w:proofErr w:type="spellEnd"/>
      <w:r w:rsidR="00274788" w:rsidRPr="00274788">
        <w:t xml:space="preserve"> and Yang, 2011; </w:t>
      </w:r>
      <w:proofErr w:type="spellStart"/>
      <w:r w:rsidR="00A258D2" w:rsidRPr="00A258D2">
        <w:t>Eiling</w:t>
      </w:r>
      <w:proofErr w:type="spellEnd"/>
      <w:r w:rsidR="00A258D2" w:rsidRPr="00A258D2">
        <w:t xml:space="preserve"> and Gerard, 2014</w:t>
      </w:r>
      <w:r w:rsidR="00A258D2">
        <w:t xml:space="preserve">; </w:t>
      </w:r>
      <w:r w:rsidR="00274788" w:rsidRPr="00274788">
        <w:t xml:space="preserve">and </w:t>
      </w:r>
      <w:proofErr w:type="spellStart"/>
      <w:r w:rsidR="00274788" w:rsidRPr="00274788">
        <w:t>Goetzmann</w:t>
      </w:r>
      <w:proofErr w:type="spellEnd"/>
      <w:r w:rsidR="00274788" w:rsidRPr="00274788">
        <w:t xml:space="preserve">, Li and </w:t>
      </w:r>
      <w:proofErr w:type="spellStart"/>
      <w:r w:rsidR="00274788" w:rsidRPr="00274788">
        <w:t>Rouwenhorst</w:t>
      </w:r>
      <w:proofErr w:type="spellEnd"/>
      <w:r w:rsidR="00274788" w:rsidRPr="00274788">
        <w:t>, 2005).  In contrast</w:t>
      </w:r>
      <w:r w:rsidR="00767D60">
        <w:t xml:space="preserve">, </w:t>
      </w:r>
      <w:r w:rsidR="00274788" w:rsidRPr="00274788">
        <w:t xml:space="preserve">relatively large and rising correlations </w:t>
      </w:r>
      <w:r w:rsidR="00536B43">
        <w:t>have been found for</w:t>
      </w:r>
      <w:r w:rsidR="00274788" w:rsidRPr="00274788">
        <w:t xml:space="preserve"> tail return dependence (Christofferson, </w:t>
      </w:r>
      <w:proofErr w:type="spellStart"/>
      <w:r w:rsidR="00274788" w:rsidRPr="00274788">
        <w:t>Errunza</w:t>
      </w:r>
      <w:proofErr w:type="spellEnd"/>
      <w:r w:rsidR="00274788" w:rsidRPr="00274788">
        <w:t xml:space="preserve">, Jacobs and Langlois, 2012; and You and </w:t>
      </w:r>
      <w:proofErr w:type="spellStart"/>
      <w:r w:rsidR="00274788" w:rsidRPr="00274788">
        <w:t>Daigler</w:t>
      </w:r>
      <w:proofErr w:type="spellEnd"/>
      <w:r w:rsidR="00274788" w:rsidRPr="00274788">
        <w:t xml:space="preserve">, 2010).  </w:t>
      </w:r>
      <w:r w:rsidR="008E00B8">
        <w:t xml:space="preserve">More generally, Roll (2013) has questioned </w:t>
      </w:r>
      <w:r w:rsidR="00274788" w:rsidRPr="00274788">
        <w:t>the link between correlation and diversification</w:t>
      </w:r>
      <w:r w:rsidR="009B666D">
        <w:t xml:space="preserve"> potential</w:t>
      </w:r>
      <w:r w:rsidR="00274788" w:rsidRPr="00274788">
        <w:t>.</w:t>
      </w:r>
    </w:p>
    <w:p w14:paraId="24F81B5C" w14:textId="541A518F" w:rsidR="00873562" w:rsidRDefault="00F46BB5" w:rsidP="00961E71">
      <w:pPr>
        <w:spacing w:after="0" w:line="480" w:lineRule="auto"/>
        <w:ind w:firstLine="360"/>
        <w:jc w:val="both"/>
      </w:pPr>
      <w:r>
        <w:t>W</w:t>
      </w:r>
      <w:r w:rsidR="00AF36F8">
        <w:t xml:space="preserve">e </w:t>
      </w:r>
      <w:r w:rsidR="006F1E47">
        <w:t xml:space="preserve">present </w:t>
      </w:r>
      <w:r w:rsidR="00AF36F8">
        <w:t>new ind</w:t>
      </w:r>
      <w:r w:rsidR="00D04884">
        <w:t>exes</w:t>
      </w:r>
      <w:r w:rsidR="00AF36F8">
        <w:t xml:space="preserve"> of diversification potential</w:t>
      </w:r>
      <w:r w:rsidR="00B8008D">
        <w:t xml:space="preserve"> </w:t>
      </w:r>
      <w:r w:rsidR="003E2CBA">
        <w:t xml:space="preserve">within and across </w:t>
      </w:r>
      <w:r w:rsidR="00A258D2">
        <w:t xml:space="preserve">asset classes and </w:t>
      </w:r>
      <w:r w:rsidR="00B8008D">
        <w:t xml:space="preserve">countries </w:t>
      </w:r>
      <w:r w:rsidR="00961E71" w:rsidRPr="00961E71">
        <w:t xml:space="preserve">over the 2000s </w:t>
      </w:r>
      <w:r w:rsidR="00461888">
        <w:t>boom-bust cycle</w:t>
      </w:r>
      <w:r w:rsidR="00961E71" w:rsidRPr="00961E71">
        <w:t xml:space="preserve"> and beyond. </w:t>
      </w:r>
      <w:r w:rsidR="00F7562E">
        <w:t xml:space="preserve"> </w:t>
      </w:r>
      <w:r w:rsidR="004672FB">
        <w:t xml:space="preserve">Unlike much of the literature, </w:t>
      </w:r>
      <w:r w:rsidR="00A258D2">
        <w:t>we explicitly focus on diversification potential rather than correlati</w:t>
      </w:r>
      <w:r w:rsidR="00955634">
        <w:t>on, and do so for multiple assets rather than a single asset class. W</w:t>
      </w:r>
      <w:r w:rsidR="00E76004">
        <w:t xml:space="preserve">e estimate asset return integration </w:t>
      </w:r>
      <w:proofErr w:type="gramStart"/>
      <w:r w:rsidR="00E76004">
        <w:t>in order to</w:t>
      </w:r>
      <w:proofErr w:type="gramEnd"/>
      <w:r w:rsidR="00E76004">
        <w:t xml:space="preserve"> compute the new </w:t>
      </w:r>
      <w:r w:rsidR="00A258D2">
        <w:t xml:space="preserve">diversification </w:t>
      </w:r>
      <w:r w:rsidR="00E76004">
        <w:t xml:space="preserve">indexes. </w:t>
      </w:r>
      <w:r w:rsidR="004672FB">
        <w:t xml:space="preserve"> </w:t>
      </w:r>
      <w:r w:rsidR="00F7562E">
        <w:t>W</w:t>
      </w:r>
      <w:r w:rsidR="00D04884">
        <w:t xml:space="preserve">e </w:t>
      </w:r>
      <w:r w:rsidR="00F7562E">
        <w:t>relate our</w:t>
      </w:r>
      <w:r w:rsidR="00D04884">
        <w:t xml:space="preserve"> new indexes to </w:t>
      </w:r>
      <w:r>
        <w:t xml:space="preserve">the </w:t>
      </w:r>
      <w:r w:rsidR="00D04884">
        <w:t xml:space="preserve">risk </w:t>
      </w:r>
      <w:r>
        <w:t xml:space="preserve">of </w:t>
      </w:r>
      <w:r w:rsidR="006F1E47">
        <w:t xml:space="preserve">diversified global investment portfolios.  </w:t>
      </w:r>
      <w:r w:rsidR="00F7562E">
        <w:t>W</w:t>
      </w:r>
      <w:r w:rsidR="006F1E47">
        <w:t>e</w:t>
      </w:r>
      <w:r w:rsidR="00D04884">
        <w:t xml:space="preserve"> </w:t>
      </w:r>
      <w:r w:rsidR="00F7562E">
        <w:t>also uncover</w:t>
      </w:r>
      <w:r w:rsidR="00D04884">
        <w:t xml:space="preserve"> drivers </w:t>
      </w:r>
      <w:r w:rsidR="006F1E47">
        <w:t xml:space="preserve">of the diversification indexes and </w:t>
      </w:r>
      <w:r w:rsidR="00F7562E">
        <w:t>estimate</w:t>
      </w:r>
      <w:r w:rsidR="00D04884">
        <w:t xml:space="preserve"> the </w:t>
      </w:r>
      <w:r w:rsidR="00A45FCC">
        <w:t xml:space="preserve">varying </w:t>
      </w:r>
      <w:r w:rsidR="00D04884">
        <w:t>role</w:t>
      </w:r>
      <w:r w:rsidR="00F7562E">
        <w:t>s</w:t>
      </w:r>
      <w:r w:rsidR="00D04884">
        <w:t xml:space="preserve"> of </w:t>
      </w:r>
      <w:r w:rsidR="00F7562E">
        <w:t>m</w:t>
      </w:r>
      <w:r w:rsidR="00D04884">
        <w:t>acro-financial, economic development and country risk and technology diffusion factors</w:t>
      </w:r>
      <w:r w:rsidR="00A45FCC">
        <w:t xml:space="preserve"> across assets classes, markets, and over time</w:t>
      </w:r>
      <w:r w:rsidR="001564B8">
        <w:t xml:space="preserve">.  </w:t>
      </w:r>
      <w:r w:rsidR="00961E71" w:rsidRPr="00961E71">
        <w:t>Th</w:t>
      </w:r>
      <w:r w:rsidR="00353377">
        <w:t>e</w:t>
      </w:r>
      <w:r w:rsidR="00961E71" w:rsidRPr="00961E71">
        <w:t xml:space="preserve"> new </w:t>
      </w:r>
      <w:r w:rsidR="006F1E47">
        <w:t xml:space="preserve">diversification </w:t>
      </w:r>
      <w:r w:rsidR="00961E71" w:rsidRPr="00961E71">
        <w:t xml:space="preserve">indexes are relevant </w:t>
      </w:r>
      <w:r w:rsidR="00353377">
        <w:t>to</w:t>
      </w:r>
      <w:r w:rsidR="00795849" w:rsidRPr="00C87C4A">
        <w:t xml:space="preserve"> </w:t>
      </w:r>
      <w:r w:rsidR="00910B73">
        <w:t xml:space="preserve">a broad range of </w:t>
      </w:r>
      <w:r w:rsidR="00795849" w:rsidRPr="00C87C4A">
        <w:t>market participants, be they individual investors, pension fund</w:t>
      </w:r>
      <w:r w:rsidR="00AF36F8">
        <w:t xml:space="preserve"> managers</w:t>
      </w:r>
      <w:r w:rsidR="00795849" w:rsidRPr="00C87C4A">
        <w:t xml:space="preserve">, </w:t>
      </w:r>
      <w:r w:rsidR="004A041F">
        <w:t xml:space="preserve">or </w:t>
      </w:r>
      <w:r w:rsidR="00795849" w:rsidRPr="00C87C4A">
        <w:t>institutional private equity</w:t>
      </w:r>
      <w:r w:rsidR="004A041F">
        <w:t xml:space="preserve"> firms</w:t>
      </w:r>
      <w:r w:rsidR="00795849" w:rsidRPr="00C87C4A">
        <w:t>.  The</w:t>
      </w:r>
      <w:r w:rsidR="00536B43">
        <w:t>se</w:t>
      </w:r>
      <w:r w:rsidR="00E633B0">
        <w:t xml:space="preserve"> </w:t>
      </w:r>
      <w:r w:rsidR="0065388F">
        <w:t>indexes</w:t>
      </w:r>
      <w:r w:rsidR="00E633B0">
        <w:t xml:space="preserve"> </w:t>
      </w:r>
      <w:r w:rsidR="00536B43">
        <w:t xml:space="preserve">also </w:t>
      </w:r>
      <w:r w:rsidR="00795849" w:rsidRPr="00C87C4A">
        <w:t xml:space="preserve">provide </w:t>
      </w:r>
      <w:r w:rsidR="00DF041D">
        <w:t xml:space="preserve">useful information to </w:t>
      </w:r>
      <w:r w:rsidR="00795849" w:rsidRPr="00C87C4A">
        <w:t xml:space="preserve">policymakers about the asset class and geographic diffusion of macroeconomic shocks and policy.  </w:t>
      </w:r>
      <w:r w:rsidR="00A013FF">
        <w:t>Such m</w:t>
      </w:r>
      <w:r w:rsidR="00795849" w:rsidRPr="00C87C4A">
        <w:t xml:space="preserve">easures </w:t>
      </w:r>
      <w:r w:rsidR="009B666D">
        <w:t xml:space="preserve">also </w:t>
      </w:r>
      <w:r w:rsidR="00795849" w:rsidRPr="00C87C4A">
        <w:t xml:space="preserve">are vital </w:t>
      </w:r>
      <w:r w:rsidR="008E00B8">
        <w:t xml:space="preserve">to </w:t>
      </w:r>
      <w:r w:rsidR="009B666D">
        <w:t xml:space="preserve">macroprudential </w:t>
      </w:r>
      <w:r w:rsidR="00795849" w:rsidRPr="00C87C4A">
        <w:t xml:space="preserve">policymakers </w:t>
      </w:r>
      <w:r w:rsidR="008E00B8">
        <w:t xml:space="preserve">that </w:t>
      </w:r>
      <w:r w:rsidR="00795849" w:rsidRPr="00C87C4A">
        <w:t xml:space="preserve">seek to enact regulatory and economic </w:t>
      </w:r>
      <w:r w:rsidR="00536B43">
        <w:t>measures</w:t>
      </w:r>
      <w:r w:rsidR="00795849" w:rsidRPr="00C87C4A">
        <w:t xml:space="preserve"> to mitigate catastrophic risk associated with </w:t>
      </w:r>
      <w:r w:rsidR="00DF041D">
        <w:t>economic and financial</w:t>
      </w:r>
      <w:r w:rsidR="00795849" w:rsidRPr="00C87C4A">
        <w:t xml:space="preserve"> crises.</w:t>
      </w:r>
    </w:p>
    <w:p w14:paraId="5D3E6C6A" w14:textId="7773E237" w:rsidR="00795849" w:rsidRPr="00562289" w:rsidRDefault="00873562" w:rsidP="00B72462">
      <w:pPr>
        <w:spacing w:after="0" w:line="480" w:lineRule="auto"/>
        <w:ind w:firstLine="360"/>
        <w:jc w:val="both"/>
      </w:pPr>
      <w:r>
        <w:t>Our study commences with</w:t>
      </w:r>
      <w:r w:rsidR="00562289">
        <w:t xml:space="preserve"> </w:t>
      </w:r>
      <w:r w:rsidR="000F56D6">
        <w:t>estimation</w:t>
      </w:r>
      <w:r w:rsidR="00562289">
        <w:t xml:space="preserve"> of return integration </w:t>
      </w:r>
      <w:r w:rsidR="0081559E">
        <w:t xml:space="preserve">within and </w:t>
      </w:r>
      <w:r w:rsidR="00562289">
        <w:t>among asset classes and markets</w:t>
      </w:r>
      <w:r w:rsidR="000F56D6">
        <w:t xml:space="preserve"> and over time</w:t>
      </w:r>
      <w:r w:rsidR="00562289">
        <w:t xml:space="preserve">.  </w:t>
      </w:r>
      <w:r w:rsidR="00795849" w:rsidRPr="00562289">
        <w:t xml:space="preserve">Our measure of integration is based on the proportion of </w:t>
      </w:r>
      <w:r w:rsidR="00562289" w:rsidRPr="00562289">
        <w:t>asset</w:t>
      </w:r>
      <w:r w:rsidR="00795849" w:rsidRPr="00562289">
        <w:t xml:space="preserve"> returns that can be explained by an identical set of </w:t>
      </w:r>
      <w:r w:rsidR="00AF36F8">
        <w:t>common</w:t>
      </w:r>
      <w:r w:rsidR="00795849" w:rsidRPr="00562289">
        <w:t xml:space="preserve"> factors (see </w:t>
      </w:r>
      <w:proofErr w:type="spellStart"/>
      <w:r w:rsidR="00795849" w:rsidRPr="00562289">
        <w:t>Pukthuanthong</w:t>
      </w:r>
      <w:proofErr w:type="spellEnd"/>
      <w:r w:rsidR="00795849" w:rsidRPr="00562289">
        <w:t xml:space="preserve">-Le and Roll (2009)).  The level of integration is indicated by the magnitude of R-square, with higher values representing higher </w:t>
      </w:r>
      <w:r w:rsidR="00795849" w:rsidRPr="00562289">
        <w:lastRenderedPageBreak/>
        <w:t>levels of integration.  Two</w:t>
      </w:r>
      <w:r w:rsidR="00562289" w:rsidRPr="00562289">
        <w:t xml:space="preserve"> assets</w:t>
      </w:r>
      <w:r w:rsidR="00795849" w:rsidRPr="00562289">
        <w:t xml:space="preserve"> are viewed as perfectly integrated if the same </w:t>
      </w:r>
      <w:r w:rsidR="00562289" w:rsidRPr="00562289">
        <w:t xml:space="preserve">global </w:t>
      </w:r>
      <w:r w:rsidR="00795849" w:rsidRPr="00562289">
        <w:t xml:space="preserve">factors fully explain </w:t>
      </w:r>
      <w:r w:rsidR="00562289" w:rsidRPr="00562289">
        <w:t>asset</w:t>
      </w:r>
      <w:r w:rsidR="00795849" w:rsidRPr="00562289">
        <w:t xml:space="preserve"> returns in both</w:t>
      </w:r>
      <w:r w:rsidR="00562289" w:rsidRPr="00562289">
        <w:t xml:space="preserve"> markets</w:t>
      </w:r>
      <w:r w:rsidR="00795849" w:rsidRPr="00562289">
        <w:t>.   In that case, the R-square would be 1.0, implying no diversification potential between the</w:t>
      </w:r>
      <w:r w:rsidR="00562289" w:rsidRPr="00562289">
        <w:t xml:space="preserve"> assets</w:t>
      </w:r>
      <w:r w:rsidR="00795849" w:rsidRPr="00562289">
        <w:t xml:space="preserve">.  </w:t>
      </w:r>
      <w:r w:rsidR="00532D82">
        <w:t xml:space="preserve">We </w:t>
      </w:r>
      <w:r w:rsidR="00521CB8">
        <w:t>employ</w:t>
      </w:r>
      <w:r w:rsidR="0071592A">
        <w:t xml:space="preserve"> principal components to </w:t>
      </w:r>
      <w:r w:rsidR="00532D82">
        <w:t xml:space="preserve">estimate </w:t>
      </w:r>
      <w:r w:rsidR="00521CB8">
        <w:t xml:space="preserve">common factors in </w:t>
      </w:r>
      <w:r w:rsidR="00532D82">
        <w:t>models of return integration within and</w:t>
      </w:r>
      <w:r w:rsidR="00532D82" w:rsidRPr="00562289">
        <w:t xml:space="preserve"> among equity, fixed income, and real estate </w:t>
      </w:r>
      <w:r w:rsidR="00532D82">
        <w:t>asset classes and countries</w:t>
      </w:r>
      <w:r w:rsidR="00532D82" w:rsidRPr="004B485D">
        <w:rPr>
          <w:i/>
          <w:iCs/>
        </w:rPr>
        <w:t>.</w:t>
      </w:r>
      <w:r w:rsidR="0071592A">
        <w:rPr>
          <w:i/>
          <w:iCs/>
        </w:rPr>
        <w:t xml:space="preserve">  </w:t>
      </w:r>
      <w:r w:rsidR="0071592A">
        <w:rPr>
          <w:iCs/>
        </w:rPr>
        <w:t xml:space="preserve">As discussed below, results are robust to </w:t>
      </w:r>
      <w:r w:rsidR="00B737D6">
        <w:rPr>
          <w:iCs/>
        </w:rPr>
        <w:t xml:space="preserve">changes in the </w:t>
      </w:r>
      <w:r w:rsidR="0071592A">
        <w:rPr>
          <w:iCs/>
        </w:rPr>
        <w:t xml:space="preserve">number of principal components and to computation of principal components </w:t>
      </w:r>
      <w:r w:rsidR="00B737D6">
        <w:rPr>
          <w:iCs/>
        </w:rPr>
        <w:t>among or within</w:t>
      </w:r>
      <w:r w:rsidR="0071592A">
        <w:rPr>
          <w:iCs/>
        </w:rPr>
        <w:t xml:space="preserve"> asset class</w:t>
      </w:r>
      <w:r w:rsidR="00B737D6">
        <w:rPr>
          <w:iCs/>
        </w:rPr>
        <w:t>es</w:t>
      </w:r>
      <w:r w:rsidR="0071592A">
        <w:rPr>
          <w:iCs/>
        </w:rPr>
        <w:t>.</w:t>
      </w:r>
      <w:r w:rsidR="00532D82" w:rsidRPr="004B485D">
        <w:rPr>
          <w:i/>
          <w:iCs/>
        </w:rPr>
        <w:t xml:space="preserve">  </w:t>
      </w:r>
      <w:r w:rsidR="00532D82" w:rsidRPr="004B485D">
        <w:t xml:space="preserve"> </w:t>
      </w:r>
    </w:p>
    <w:p w14:paraId="3ED21019" w14:textId="738B4FFD" w:rsidR="00B72462" w:rsidRPr="005B5375" w:rsidRDefault="00153F73" w:rsidP="0041573D">
      <w:pPr>
        <w:spacing w:after="0" w:line="480" w:lineRule="auto"/>
        <w:ind w:firstLine="360"/>
        <w:jc w:val="both"/>
      </w:pPr>
      <w:r w:rsidRPr="00153F73">
        <w:t xml:space="preserve">We </w:t>
      </w:r>
      <w:r w:rsidR="00AF36F8">
        <w:t>then compute new ind</w:t>
      </w:r>
      <w:r w:rsidR="00F06B2B">
        <w:t>exes</w:t>
      </w:r>
      <w:r w:rsidR="00AF36F8">
        <w:t xml:space="preserve"> of </w:t>
      </w:r>
      <w:r w:rsidRPr="00153F73">
        <w:t xml:space="preserve">diversification </w:t>
      </w:r>
      <w:r w:rsidR="00AF36F8">
        <w:t>potential</w:t>
      </w:r>
      <w:r w:rsidRPr="00153F73">
        <w:t xml:space="preserve"> </w:t>
      </w:r>
      <w:r w:rsidR="004A041F">
        <w:t>[</w:t>
      </w:r>
      <w:r w:rsidR="00F06B2B">
        <w:t xml:space="preserve">defined as </w:t>
      </w:r>
      <w:r w:rsidRPr="00153F73">
        <w:t>100 –</w:t>
      </w:r>
      <w:r w:rsidR="004A041F">
        <w:t xml:space="preserve">the </w:t>
      </w:r>
      <w:r w:rsidRPr="00153F73">
        <w:t>level of integration (adjusted R-square)</w:t>
      </w:r>
      <w:r w:rsidR="004A041F">
        <w:t>]</w:t>
      </w:r>
      <w:r w:rsidRPr="00153F73">
        <w:t xml:space="preserve">.  </w:t>
      </w:r>
      <w:r w:rsidR="00F909FB">
        <w:t>T</w:t>
      </w:r>
      <w:r w:rsidRPr="00153F73">
        <w:t>h</w:t>
      </w:r>
      <w:r w:rsidR="00AF36F8">
        <w:t>ese ind</w:t>
      </w:r>
      <w:r w:rsidR="00F06B2B">
        <w:t>exes</w:t>
      </w:r>
      <w:r w:rsidRPr="00153F73">
        <w:t xml:space="preserve"> take on values between 0 and 100, where </w:t>
      </w:r>
      <w:r w:rsidR="00767D60">
        <w:t>0</w:t>
      </w:r>
      <w:r w:rsidRPr="00153F73">
        <w:t xml:space="preserve"> indicates no diversification potential </w:t>
      </w:r>
      <w:r w:rsidR="00767D60">
        <w:t>whereas 100</w:t>
      </w:r>
      <w:r w:rsidRPr="00153F73">
        <w:t xml:space="preserve"> implies </w:t>
      </w:r>
      <w:r w:rsidR="00536B43">
        <w:t>maximal</w:t>
      </w:r>
      <w:r w:rsidR="00536B43" w:rsidRPr="00153F73">
        <w:t xml:space="preserve"> </w:t>
      </w:r>
      <w:r w:rsidRPr="00153F73">
        <w:t>diversification</w:t>
      </w:r>
      <w:r w:rsidR="00536B43">
        <w:t xml:space="preserve"> benefits</w:t>
      </w:r>
      <w:r w:rsidRPr="00153F73">
        <w:t xml:space="preserve">.  </w:t>
      </w:r>
      <w:r w:rsidR="00532D82">
        <w:t xml:space="preserve">We </w:t>
      </w:r>
      <w:r w:rsidR="00F06B2B">
        <w:t>discuss index methodology</w:t>
      </w:r>
      <w:r w:rsidR="00532D82">
        <w:t xml:space="preserve"> and compute the ind</w:t>
      </w:r>
      <w:r w:rsidR="00F06B2B">
        <w:t>exes</w:t>
      </w:r>
      <w:r w:rsidR="00532D82">
        <w:t xml:space="preserve"> </w:t>
      </w:r>
      <w:r w:rsidR="00E915B3">
        <w:t xml:space="preserve">for the asset classes within each market </w:t>
      </w:r>
      <w:r w:rsidR="00D578D4">
        <w:t>over time</w:t>
      </w:r>
      <w:r w:rsidR="00E915B3">
        <w:t>. We also examine diversification potential</w:t>
      </w:r>
      <w:r w:rsidR="00D578D4">
        <w:t xml:space="preserve"> </w:t>
      </w:r>
      <w:r w:rsidR="00F909FB">
        <w:t>among</w:t>
      </w:r>
      <w:r w:rsidR="00F70B41">
        <w:t xml:space="preserve"> cohorts</w:t>
      </w:r>
      <w:r w:rsidR="007B06C0">
        <w:t xml:space="preserve"> </w:t>
      </w:r>
      <w:r w:rsidR="00F909FB">
        <w:t>of nations and</w:t>
      </w:r>
      <w:r w:rsidR="00F70B41">
        <w:t xml:space="preserve"> across developed and emerging nations</w:t>
      </w:r>
      <w:r w:rsidR="00F909FB">
        <w:t xml:space="preserve">.  </w:t>
      </w:r>
      <w:r w:rsidR="00F70B41">
        <w:t xml:space="preserve"> </w:t>
      </w:r>
      <w:r w:rsidR="0081559E" w:rsidRPr="00F70B41">
        <w:t xml:space="preserve">We assess implications of </w:t>
      </w:r>
      <w:r w:rsidR="0081559E">
        <w:t xml:space="preserve">a </w:t>
      </w:r>
      <w:r w:rsidR="0081559E" w:rsidRPr="00F70B41">
        <w:t xml:space="preserve">trending </w:t>
      </w:r>
      <w:r w:rsidR="00F06B2B">
        <w:t>down in diversification potential</w:t>
      </w:r>
      <w:r w:rsidR="0081559E">
        <w:t xml:space="preserve"> for portfolio</w:t>
      </w:r>
      <w:r w:rsidR="00F06B2B">
        <w:t xml:space="preserve"> investment risk</w:t>
      </w:r>
      <w:r w:rsidR="0081559E" w:rsidRPr="00F70B41">
        <w:t xml:space="preserve">. </w:t>
      </w:r>
      <w:r w:rsidR="007B06C0" w:rsidRPr="000A2890">
        <w:t xml:space="preserve">We </w:t>
      </w:r>
      <w:r w:rsidR="001F6C2C" w:rsidRPr="000A2890">
        <w:t xml:space="preserve">also </w:t>
      </w:r>
      <w:r w:rsidR="00DE40CE">
        <w:t>evaluate</w:t>
      </w:r>
      <w:r w:rsidR="007B06C0" w:rsidRPr="000A2890">
        <w:t xml:space="preserve"> robustness of findings across market cycle, volatility, and credit risk </w:t>
      </w:r>
      <w:r w:rsidR="0071613C" w:rsidRPr="000A2890">
        <w:t>regimes</w:t>
      </w:r>
      <w:r w:rsidR="007B06C0" w:rsidRPr="000A2890">
        <w:t>.</w:t>
      </w:r>
      <w:r w:rsidR="007B06C0" w:rsidRPr="00F25EF7">
        <w:t xml:space="preserve">  </w:t>
      </w:r>
      <w:r w:rsidR="001F6C2C" w:rsidRPr="00F25EF7">
        <w:t xml:space="preserve">We then </w:t>
      </w:r>
      <w:r w:rsidR="00F10F7B">
        <w:t xml:space="preserve">employ </w:t>
      </w:r>
      <w:r w:rsidR="00306E07">
        <w:t xml:space="preserve">time-series and country </w:t>
      </w:r>
      <w:r w:rsidR="00F10F7B">
        <w:t>panel data to identify factors associated with diversification potential</w:t>
      </w:r>
      <w:r w:rsidR="00F06B2B">
        <w:t xml:space="preserve">.  </w:t>
      </w:r>
      <w:r w:rsidR="00B72462" w:rsidRPr="00F25EF7">
        <w:t xml:space="preserve"> </w:t>
      </w:r>
    </w:p>
    <w:p w14:paraId="3AC3FC6D" w14:textId="239048EC" w:rsidR="00524DC1" w:rsidRDefault="00F70B41" w:rsidP="00F10F7B">
      <w:pPr>
        <w:spacing w:after="0" w:line="480" w:lineRule="auto"/>
        <w:ind w:firstLine="360"/>
        <w:jc w:val="both"/>
      </w:pPr>
      <w:r>
        <w:t xml:space="preserve">  </w:t>
      </w:r>
      <w:r w:rsidR="008A0C33">
        <w:t xml:space="preserve">Research findings </w:t>
      </w:r>
      <w:r w:rsidR="00F7562E">
        <w:t>reveal a</w:t>
      </w:r>
      <w:r w:rsidR="008A0C33">
        <w:t xml:space="preserve"> </w:t>
      </w:r>
      <w:r w:rsidR="00515475">
        <w:t xml:space="preserve">substantial </w:t>
      </w:r>
      <w:r w:rsidR="00515475" w:rsidRPr="00A25DDE">
        <w:t xml:space="preserve">decline in diversification </w:t>
      </w:r>
      <w:r w:rsidR="008A0C33">
        <w:t>potential</w:t>
      </w:r>
      <w:r w:rsidR="00515475" w:rsidRPr="00A25DDE">
        <w:t xml:space="preserve"> over the period of the financial crisis and beyond</w:t>
      </w:r>
      <w:r w:rsidR="008A0C33">
        <w:t xml:space="preserve"> </w:t>
      </w:r>
      <w:r w:rsidR="00213A4B">
        <w:t xml:space="preserve">within and </w:t>
      </w:r>
      <w:r w:rsidR="00562289" w:rsidRPr="00A25DDE">
        <w:t xml:space="preserve">among asset classes and </w:t>
      </w:r>
      <w:r w:rsidR="00D32D11">
        <w:t>countries</w:t>
      </w:r>
      <w:r w:rsidR="00E329EA" w:rsidRPr="00A25DDE">
        <w:t xml:space="preserve">.  </w:t>
      </w:r>
      <w:r w:rsidR="0087546E">
        <w:t>T</w:t>
      </w:r>
      <w:r w:rsidR="00E329EA" w:rsidRPr="00A25DDE">
        <w:t xml:space="preserve">he decline in diversification potential is </w:t>
      </w:r>
      <w:r w:rsidR="00212813">
        <w:t>widespread</w:t>
      </w:r>
      <w:r w:rsidR="00E329EA" w:rsidRPr="00A25DDE">
        <w:t xml:space="preserve"> among country cohorts and </w:t>
      </w:r>
      <w:r w:rsidR="00212813">
        <w:t xml:space="preserve">has been </w:t>
      </w:r>
      <w:r w:rsidR="00E329EA" w:rsidRPr="00A25DDE">
        <w:t xml:space="preserve">precipitous in the post-2000 period.  </w:t>
      </w:r>
      <w:r w:rsidR="00212813">
        <w:t>D</w:t>
      </w:r>
      <w:r w:rsidR="00595C57" w:rsidRPr="00A25DDE">
        <w:t xml:space="preserve">iversification </w:t>
      </w:r>
      <w:r w:rsidR="0065388F">
        <w:t>indexes</w:t>
      </w:r>
      <w:r w:rsidR="00595C57" w:rsidRPr="00A25DDE">
        <w:t xml:space="preserve"> for equity, sovereign debt, and REIT asset classes </w:t>
      </w:r>
      <w:r w:rsidR="00F10F7B">
        <w:t xml:space="preserve">decline </w:t>
      </w:r>
      <w:r w:rsidR="00595C57" w:rsidRPr="00A25DDE">
        <w:t xml:space="preserve">from a maximum level of 100 in the late-1990s to roughly </w:t>
      </w:r>
      <w:r w:rsidR="00595C57" w:rsidRPr="0071613C">
        <w:rPr>
          <w:i/>
          <w:iCs/>
        </w:rPr>
        <w:t>half</w:t>
      </w:r>
      <w:r w:rsidR="00595C57" w:rsidRPr="00A25DDE">
        <w:t xml:space="preserve"> that level by 2012!  </w:t>
      </w:r>
      <w:r w:rsidR="0087546E">
        <w:t>A similar result is observed for</w:t>
      </w:r>
      <w:r w:rsidR="00595C57" w:rsidRPr="00A25DDE">
        <w:t xml:space="preserve"> a global index comprised of all three asset classes.  </w:t>
      </w:r>
      <w:r w:rsidR="00521CB8">
        <w:t>As such, s</w:t>
      </w:r>
      <w:r w:rsidR="00FF02FD">
        <w:t xml:space="preserve">witching </w:t>
      </w:r>
      <w:r w:rsidR="006337D6">
        <w:t>among</w:t>
      </w:r>
      <w:r w:rsidR="00FF02FD">
        <w:t xml:space="preserve"> asset classes</w:t>
      </w:r>
      <w:r w:rsidR="006337D6">
        <w:t xml:space="preserve"> and re-constituting </w:t>
      </w:r>
      <w:r w:rsidR="00FF02FD">
        <w:t xml:space="preserve">the investment portfolio </w:t>
      </w:r>
      <w:r w:rsidR="006337D6">
        <w:t>does</w:t>
      </w:r>
      <w:r w:rsidR="00FF02FD">
        <w:t xml:space="preserve"> not </w:t>
      </w:r>
      <w:r w:rsidR="00521CB8">
        <w:t>yield</w:t>
      </w:r>
      <w:r w:rsidR="00FF02FD">
        <w:t xml:space="preserve"> </w:t>
      </w:r>
      <w:r w:rsidR="0026111E">
        <w:t xml:space="preserve">much </w:t>
      </w:r>
      <w:r w:rsidR="00521CB8">
        <w:t xml:space="preserve">gain in </w:t>
      </w:r>
      <w:r w:rsidR="00FF02FD">
        <w:t xml:space="preserve">diversification </w:t>
      </w:r>
      <w:r w:rsidR="00521CB8">
        <w:t>potential</w:t>
      </w:r>
      <w:r w:rsidR="00FF02FD">
        <w:t xml:space="preserve">. </w:t>
      </w:r>
      <w:r w:rsidR="00212813" w:rsidRPr="000A2890">
        <w:t>The trend is downward with little evidence of differences in</w:t>
      </w:r>
      <w:r w:rsidR="00662B71" w:rsidRPr="000A2890">
        <w:t xml:space="preserve"> bull and bear markets or </w:t>
      </w:r>
      <w:r w:rsidR="00212813" w:rsidRPr="000A2890">
        <w:t xml:space="preserve">during </w:t>
      </w:r>
      <w:r w:rsidR="00662B71" w:rsidRPr="000A2890">
        <w:t xml:space="preserve">periods of high and low </w:t>
      </w:r>
      <w:r w:rsidR="0071613C" w:rsidRPr="000A2890">
        <w:t xml:space="preserve">VIX (market </w:t>
      </w:r>
      <w:r w:rsidR="00662B71" w:rsidRPr="000A2890">
        <w:t>volatility</w:t>
      </w:r>
      <w:r w:rsidR="0071613C" w:rsidRPr="000A2890">
        <w:t>).</w:t>
      </w:r>
      <w:r w:rsidR="0071613C">
        <w:t xml:space="preserve"> </w:t>
      </w:r>
      <w:r w:rsidR="00662B71">
        <w:t xml:space="preserve"> </w:t>
      </w:r>
    </w:p>
    <w:p w14:paraId="16D73E6E" w14:textId="1F838DBE" w:rsidR="00EC15B7" w:rsidRDefault="00BC7161" w:rsidP="00EC15B7">
      <w:pPr>
        <w:spacing w:after="0" w:line="480" w:lineRule="auto"/>
        <w:ind w:firstLine="360"/>
        <w:jc w:val="both"/>
      </w:pPr>
      <w:r>
        <w:t>O</w:t>
      </w:r>
      <w:r w:rsidRPr="00A25DDE">
        <w:t xml:space="preserve">lder and more established markets </w:t>
      </w:r>
      <w:r>
        <w:t>display a</w:t>
      </w:r>
      <w:r w:rsidR="00524DC1">
        <w:t xml:space="preserve"> larger</w:t>
      </w:r>
      <w:r w:rsidR="00595C57" w:rsidRPr="00A25DDE">
        <w:t xml:space="preserve"> downtrend in the diversification </w:t>
      </w:r>
      <w:r w:rsidR="0065388F">
        <w:t>indexes</w:t>
      </w:r>
      <w:r w:rsidR="00595C57" w:rsidRPr="00A25DDE">
        <w:t xml:space="preserve">. </w:t>
      </w:r>
      <w:r w:rsidR="00A25DDE" w:rsidRPr="00A25DDE">
        <w:t xml:space="preserve"> </w:t>
      </w:r>
      <w:r w:rsidR="00F10F7B">
        <w:t>Further, t</w:t>
      </w:r>
      <w:r w:rsidR="00F25EF7">
        <w:t xml:space="preserve">he generalized downtrend in diversification </w:t>
      </w:r>
      <w:r w:rsidR="00524DC1">
        <w:t>potential</w:t>
      </w:r>
      <w:r w:rsidR="00F25EF7">
        <w:t xml:space="preserve"> is </w:t>
      </w:r>
      <w:r w:rsidR="00F10F7B">
        <w:t xml:space="preserve">shown to be </w:t>
      </w:r>
      <w:r w:rsidR="00F25EF7">
        <w:t xml:space="preserve">associated with higher </w:t>
      </w:r>
      <w:r w:rsidR="00F25EF7">
        <w:lastRenderedPageBreak/>
        <w:t xml:space="preserve">levels of investment risk.  </w:t>
      </w:r>
      <w:r w:rsidR="00A25DDE" w:rsidRPr="00A25DDE">
        <w:t>S</w:t>
      </w:r>
      <w:r w:rsidR="00E329EA" w:rsidRPr="00A25DDE">
        <w:t>ome countries</w:t>
      </w:r>
      <w:r w:rsidR="00A25DDE" w:rsidRPr="00A25DDE">
        <w:t>,</w:t>
      </w:r>
      <w:r w:rsidR="00A25DDE">
        <w:t xml:space="preserve"> however,</w:t>
      </w:r>
      <w:r w:rsidR="00A25DDE" w:rsidRPr="00A25DDE">
        <w:t xml:space="preserve"> notably including Middle East</w:t>
      </w:r>
      <w:r w:rsidR="00A25DDE">
        <w:t>ern</w:t>
      </w:r>
      <w:r w:rsidR="00A25DDE" w:rsidRPr="00A25DDE">
        <w:t xml:space="preserve"> and Africa</w:t>
      </w:r>
      <w:r w:rsidR="00A25DDE">
        <w:t>n nations</w:t>
      </w:r>
      <w:r w:rsidR="00A25DDE" w:rsidRPr="00A25DDE">
        <w:t xml:space="preserve">, </w:t>
      </w:r>
      <w:r w:rsidR="00A25DDE">
        <w:t xml:space="preserve">persistently </w:t>
      </w:r>
      <w:r w:rsidR="0087546E">
        <w:t>display only weak integration with the</w:t>
      </w:r>
      <w:r w:rsidR="00E329EA" w:rsidRPr="00A25DDE">
        <w:t xml:space="preserve"> global economy</w:t>
      </w:r>
      <w:r w:rsidR="00A25DDE" w:rsidRPr="00A25DDE">
        <w:t xml:space="preserve">.   While those areas </w:t>
      </w:r>
      <w:r w:rsidR="00C928DC">
        <w:t xml:space="preserve">may provide </w:t>
      </w:r>
      <w:r w:rsidR="00A25DDE" w:rsidRPr="00A25DDE">
        <w:t xml:space="preserve">increments to </w:t>
      </w:r>
      <w:r w:rsidR="00C928DC">
        <w:t xml:space="preserve">portfolio </w:t>
      </w:r>
      <w:r w:rsidR="00A25DDE" w:rsidRPr="00A25DDE">
        <w:t>diversification</w:t>
      </w:r>
      <w:r w:rsidR="00C928DC">
        <w:t>,</w:t>
      </w:r>
      <w:r w:rsidR="00A25DDE" w:rsidRPr="00A25DDE">
        <w:t xml:space="preserve"> they </w:t>
      </w:r>
      <w:r>
        <w:t xml:space="preserve">are </w:t>
      </w:r>
      <w:r w:rsidR="00C928DC">
        <w:t xml:space="preserve">often </w:t>
      </w:r>
      <w:r>
        <w:t>subject to</w:t>
      </w:r>
      <w:r w:rsidR="00C928DC">
        <w:t xml:space="preserve"> substantial </w:t>
      </w:r>
      <w:r w:rsidR="00E329EA" w:rsidRPr="00A25DDE">
        <w:t>security, political, and economic risk</w:t>
      </w:r>
      <w:r>
        <w:t>s along with higher transaction costs and lower liquidity</w:t>
      </w:r>
      <w:r w:rsidR="00686962">
        <w:t>.</w:t>
      </w:r>
    </w:p>
    <w:p w14:paraId="3AD5248A" w14:textId="23912DB8" w:rsidR="00E67C20" w:rsidRDefault="00F10F7B" w:rsidP="00467D57">
      <w:pPr>
        <w:spacing w:after="0" w:line="480" w:lineRule="auto"/>
        <w:ind w:firstLine="360"/>
        <w:jc w:val="both"/>
      </w:pPr>
      <w:r w:rsidRPr="00E35192">
        <w:t xml:space="preserve">We </w:t>
      </w:r>
      <w:r w:rsidR="00BC7161">
        <w:t>examine</w:t>
      </w:r>
      <w:r w:rsidR="00BC7161" w:rsidRPr="00E35192">
        <w:t xml:space="preserve"> </w:t>
      </w:r>
      <w:r w:rsidRPr="00E35192">
        <w:t xml:space="preserve">factors associated with </w:t>
      </w:r>
      <w:r w:rsidR="008D1B2F" w:rsidRPr="00E35192">
        <w:t xml:space="preserve">trends in diversification potential.  </w:t>
      </w:r>
      <w:r w:rsidR="00025C6A" w:rsidRPr="00E35192">
        <w:t xml:space="preserve">Using </w:t>
      </w:r>
      <w:r w:rsidR="008511E2">
        <w:t xml:space="preserve">time-series and country </w:t>
      </w:r>
      <w:r w:rsidR="008D1B2F" w:rsidRPr="00E35192">
        <w:t xml:space="preserve">panel </w:t>
      </w:r>
      <w:r w:rsidR="00025C6A" w:rsidRPr="00E35192">
        <w:t>regressions</w:t>
      </w:r>
      <w:r w:rsidR="008D1B2F" w:rsidRPr="00E35192">
        <w:t>, we assess the role of macro-finance</w:t>
      </w:r>
      <w:r w:rsidR="00606409">
        <w:t>,</w:t>
      </w:r>
      <w:r w:rsidR="008D1B2F" w:rsidRPr="00E35192">
        <w:t xml:space="preserve"> development</w:t>
      </w:r>
      <w:r w:rsidR="00D64ECE">
        <w:t>,</w:t>
      </w:r>
      <w:r w:rsidR="00606409">
        <w:t xml:space="preserve"> and technology</w:t>
      </w:r>
      <w:r w:rsidR="008D1B2F" w:rsidRPr="00E35192">
        <w:t xml:space="preserve"> factors.  </w:t>
      </w:r>
      <w:r w:rsidR="00606409">
        <w:t xml:space="preserve">Our model specification builds on established literature and </w:t>
      </w:r>
      <w:r w:rsidR="00F11885">
        <w:t>includes</w:t>
      </w:r>
      <w:r w:rsidR="00606409">
        <w:t xml:space="preserve"> factors shown to be  important in prior</w:t>
      </w:r>
      <w:r w:rsidR="00753FBE">
        <w:t xml:space="preserve"> </w:t>
      </w:r>
      <w:r w:rsidR="004663F3">
        <w:t>studies</w:t>
      </w:r>
      <w:r w:rsidR="00753FBE">
        <w:t xml:space="preserve"> of market integration, equity market segmentation</w:t>
      </w:r>
      <w:r w:rsidR="004663F3">
        <w:t xml:space="preserve">, and asset return </w:t>
      </w:r>
      <w:r w:rsidR="00753FBE">
        <w:t xml:space="preserve">correlation </w:t>
      </w:r>
      <w:r w:rsidR="008511E2">
        <w:t xml:space="preserve">(see, for example </w:t>
      </w:r>
      <w:proofErr w:type="spellStart"/>
      <w:r w:rsidR="008511E2">
        <w:t>C</w:t>
      </w:r>
      <w:r w:rsidR="00467D57" w:rsidRPr="00467D57">
        <w:t>arrieri</w:t>
      </w:r>
      <w:proofErr w:type="spellEnd"/>
      <w:r w:rsidR="00467D57" w:rsidRPr="00467D57">
        <w:t xml:space="preserve"> </w:t>
      </w:r>
      <w:r w:rsidR="00467D57">
        <w:t xml:space="preserve">et al </w:t>
      </w:r>
      <w:r w:rsidR="008511E2">
        <w:t>(</w:t>
      </w:r>
      <w:r w:rsidR="00467D57" w:rsidRPr="00467D57">
        <w:t>2007</w:t>
      </w:r>
      <w:r w:rsidR="008511E2">
        <w:t>);</w:t>
      </w:r>
      <w:r w:rsidR="00467D57">
        <w:t xml:space="preserve"> </w:t>
      </w:r>
      <w:proofErr w:type="spellStart"/>
      <w:r w:rsidR="008511E2">
        <w:t>Errunza</w:t>
      </w:r>
      <w:proofErr w:type="spellEnd"/>
      <w:r w:rsidR="008511E2">
        <w:t xml:space="preserve"> et al (2007); </w:t>
      </w:r>
      <w:proofErr w:type="spellStart"/>
      <w:r w:rsidR="00467D57" w:rsidRPr="00467D57">
        <w:t>Carrieri</w:t>
      </w:r>
      <w:proofErr w:type="spellEnd"/>
      <w:r w:rsidR="00467D57" w:rsidRPr="00467D57">
        <w:t xml:space="preserve"> </w:t>
      </w:r>
      <w:r w:rsidR="00467D57">
        <w:t>et al</w:t>
      </w:r>
      <w:r w:rsidR="00467D57" w:rsidRPr="00467D57">
        <w:t xml:space="preserve"> </w:t>
      </w:r>
      <w:r w:rsidR="008511E2">
        <w:t>(</w:t>
      </w:r>
      <w:r w:rsidR="00467D57" w:rsidRPr="00467D57">
        <w:t>2013</w:t>
      </w:r>
      <w:r w:rsidR="008511E2">
        <w:t>)</w:t>
      </w:r>
      <w:r w:rsidR="00467D57">
        <w:t xml:space="preserve">; </w:t>
      </w:r>
      <w:proofErr w:type="spellStart"/>
      <w:r w:rsidR="00467D57" w:rsidRPr="00467D57">
        <w:t>Christofersen</w:t>
      </w:r>
      <w:proofErr w:type="spellEnd"/>
      <w:r w:rsidR="00467D57" w:rsidRPr="00467D57">
        <w:t xml:space="preserve"> </w:t>
      </w:r>
      <w:r w:rsidR="008511E2">
        <w:t>(</w:t>
      </w:r>
      <w:r w:rsidR="00467D57">
        <w:t>2012</w:t>
      </w:r>
      <w:r w:rsidR="008511E2">
        <w:t>)</w:t>
      </w:r>
      <w:r w:rsidR="00467D57">
        <w:t xml:space="preserve">; Bekaert et al </w:t>
      </w:r>
      <w:r w:rsidR="008511E2">
        <w:t>(</w:t>
      </w:r>
      <w:r w:rsidR="00467D57">
        <w:t>2011</w:t>
      </w:r>
      <w:r w:rsidR="008511E2">
        <w:t>)</w:t>
      </w:r>
      <w:r w:rsidR="00467D57">
        <w:t xml:space="preserve">; </w:t>
      </w:r>
      <w:proofErr w:type="spellStart"/>
      <w:r w:rsidR="008511E2">
        <w:t>Chaib</w:t>
      </w:r>
      <w:proofErr w:type="spellEnd"/>
      <w:r w:rsidR="008511E2">
        <w:t xml:space="preserve"> et al (2014); and </w:t>
      </w:r>
      <w:proofErr w:type="spellStart"/>
      <w:r w:rsidR="00467D57">
        <w:t>Eiling</w:t>
      </w:r>
      <w:proofErr w:type="spellEnd"/>
      <w:r w:rsidR="00467D57">
        <w:t xml:space="preserve"> and B. Gerard </w:t>
      </w:r>
      <w:r w:rsidR="008511E2">
        <w:t>(</w:t>
      </w:r>
      <w:r w:rsidR="00467D57">
        <w:t>2014</w:t>
      </w:r>
      <w:r w:rsidR="008511E2">
        <w:t>)</w:t>
      </w:r>
      <w:r w:rsidR="00246A50">
        <w:t>)</w:t>
      </w:r>
      <w:r w:rsidR="008511E2">
        <w:t>.</w:t>
      </w:r>
      <w:r w:rsidR="00467D57">
        <w:t xml:space="preserve"> </w:t>
      </w:r>
      <w:r w:rsidR="008511E2">
        <w:t xml:space="preserve"> </w:t>
      </w:r>
      <w:r w:rsidR="000D3F08" w:rsidRPr="000D3F08">
        <w:t xml:space="preserve"> </w:t>
      </w:r>
      <w:r w:rsidR="009778ED">
        <w:t xml:space="preserve">We assess variation in factors associated with diversification potential across asset classes and over time.  </w:t>
      </w:r>
    </w:p>
    <w:p w14:paraId="5409DC72" w14:textId="42CBD214" w:rsidR="003D66D1" w:rsidRDefault="00E7244F" w:rsidP="00467D57">
      <w:pPr>
        <w:spacing w:after="0" w:line="480" w:lineRule="auto"/>
        <w:ind w:firstLine="360"/>
        <w:jc w:val="both"/>
      </w:pPr>
      <w:r>
        <w:rPr>
          <w:bCs/>
        </w:rPr>
        <w:t xml:space="preserve">In assessment of diversification opportunity, </w:t>
      </w:r>
      <w:r w:rsidR="006B2E17">
        <w:rPr>
          <w:bCs/>
        </w:rPr>
        <w:t xml:space="preserve">we </w:t>
      </w:r>
      <w:r>
        <w:rPr>
          <w:bCs/>
        </w:rPr>
        <w:t>evaluate</w:t>
      </w:r>
      <w:r w:rsidR="006B2E17">
        <w:rPr>
          <w:bCs/>
        </w:rPr>
        <w:t xml:space="preserve"> the role of </w:t>
      </w:r>
      <w:r w:rsidR="00246A50">
        <w:rPr>
          <w:bCs/>
        </w:rPr>
        <w:t xml:space="preserve">factors including </w:t>
      </w:r>
      <w:r>
        <w:rPr>
          <w:bCs/>
        </w:rPr>
        <w:t xml:space="preserve">risk-free yields, </w:t>
      </w:r>
      <w:r w:rsidR="006B2E17">
        <w:rPr>
          <w:bCs/>
        </w:rPr>
        <w:t>credit risk</w:t>
      </w:r>
      <w:r w:rsidR="00CC2031">
        <w:rPr>
          <w:bCs/>
        </w:rPr>
        <w:t>,</w:t>
      </w:r>
      <w:r w:rsidR="006B2E17">
        <w:rPr>
          <w:bCs/>
        </w:rPr>
        <w:t xml:space="preserve"> </w:t>
      </w:r>
      <w:r w:rsidR="00CC2031">
        <w:rPr>
          <w:bCs/>
        </w:rPr>
        <w:t xml:space="preserve">market </w:t>
      </w:r>
      <w:r w:rsidR="006B2E17">
        <w:rPr>
          <w:bCs/>
        </w:rPr>
        <w:t>volatility</w:t>
      </w:r>
      <w:r w:rsidR="00CC2031">
        <w:rPr>
          <w:bCs/>
        </w:rPr>
        <w:t>,</w:t>
      </w:r>
      <w:r w:rsidR="006B2E17">
        <w:rPr>
          <w:bCs/>
        </w:rPr>
        <w:t xml:space="preserve"> </w:t>
      </w:r>
      <w:r w:rsidR="00E67C20">
        <w:rPr>
          <w:bCs/>
        </w:rPr>
        <w:t xml:space="preserve">and investor </w:t>
      </w:r>
      <w:r w:rsidR="006B2E17">
        <w:rPr>
          <w:bCs/>
        </w:rPr>
        <w:t xml:space="preserve">sentiment as embodied by the </w:t>
      </w:r>
      <w:r w:rsidR="00CC2031">
        <w:rPr>
          <w:bCs/>
        </w:rPr>
        <w:t xml:space="preserve">Fed Funds Rate, </w:t>
      </w:r>
      <w:r w:rsidR="006B2E17">
        <w:rPr>
          <w:bCs/>
        </w:rPr>
        <w:t xml:space="preserve">TED spread, VIX, and the Baker and </w:t>
      </w:r>
      <w:proofErr w:type="spellStart"/>
      <w:r w:rsidR="006B2E17">
        <w:rPr>
          <w:bCs/>
        </w:rPr>
        <w:t>Wurgler</w:t>
      </w:r>
      <w:proofErr w:type="spellEnd"/>
      <w:r w:rsidR="006B2E17">
        <w:rPr>
          <w:bCs/>
        </w:rPr>
        <w:t xml:space="preserve"> (2006) investor sentiment index (SENT)</w:t>
      </w:r>
      <w:r w:rsidR="00E67C20">
        <w:rPr>
          <w:bCs/>
        </w:rPr>
        <w:t xml:space="preserve">, </w:t>
      </w:r>
      <w:r w:rsidR="006B2E17">
        <w:rPr>
          <w:bCs/>
        </w:rPr>
        <w:t xml:space="preserve">respectively.  </w:t>
      </w:r>
      <w:r w:rsidR="006B2E17" w:rsidRPr="000F45B6">
        <w:rPr>
          <w:bCs/>
        </w:rPr>
        <w:t>F</w:t>
      </w:r>
      <w:r w:rsidR="006B2E17">
        <w:rPr>
          <w:bCs/>
        </w:rPr>
        <w:t>urther</w:t>
      </w:r>
      <w:r w:rsidR="006B2E17" w:rsidRPr="000F45B6">
        <w:rPr>
          <w:bCs/>
        </w:rPr>
        <w:t xml:space="preserve">, consistent with the “world is flat” hypothesis, we </w:t>
      </w:r>
      <w:r w:rsidR="006B2E17">
        <w:rPr>
          <w:bCs/>
        </w:rPr>
        <w:t xml:space="preserve">include </w:t>
      </w:r>
      <w:r w:rsidR="00CC2031">
        <w:rPr>
          <w:bCs/>
        </w:rPr>
        <w:t>proxies</w:t>
      </w:r>
      <w:r w:rsidR="006B2E17">
        <w:rPr>
          <w:bCs/>
        </w:rPr>
        <w:t xml:space="preserve"> for </w:t>
      </w:r>
      <w:r>
        <w:rPr>
          <w:bCs/>
        </w:rPr>
        <w:t xml:space="preserve">stage of </w:t>
      </w:r>
      <w:r w:rsidR="006B2E17">
        <w:rPr>
          <w:bCs/>
        </w:rPr>
        <w:t xml:space="preserve">economic </w:t>
      </w:r>
      <w:r w:rsidR="006B2E17" w:rsidRPr="000F45B6">
        <w:rPr>
          <w:bCs/>
        </w:rPr>
        <w:t xml:space="preserve">development </w:t>
      </w:r>
      <w:r w:rsidR="006B2E17">
        <w:rPr>
          <w:bCs/>
        </w:rPr>
        <w:t xml:space="preserve">and </w:t>
      </w:r>
      <w:r>
        <w:rPr>
          <w:bCs/>
        </w:rPr>
        <w:t xml:space="preserve">internet </w:t>
      </w:r>
      <w:r w:rsidR="006B2E17">
        <w:rPr>
          <w:bCs/>
        </w:rPr>
        <w:t>diffusion, political</w:t>
      </w:r>
      <w:r>
        <w:rPr>
          <w:bCs/>
        </w:rPr>
        <w:t>,</w:t>
      </w:r>
      <w:r w:rsidR="006B2E17">
        <w:rPr>
          <w:bCs/>
        </w:rPr>
        <w:t xml:space="preserve"> economic</w:t>
      </w:r>
      <w:r>
        <w:rPr>
          <w:bCs/>
        </w:rPr>
        <w:t>, and financial</w:t>
      </w:r>
      <w:r w:rsidR="006B2E17">
        <w:rPr>
          <w:bCs/>
        </w:rPr>
        <w:t xml:space="preserve"> risk</w:t>
      </w:r>
      <w:r w:rsidR="00CC2031">
        <w:rPr>
          <w:bCs/>
        </w:rPr>
        <w:t xml:space="preserve">, </w:t>
      </w:r>
      <w:r w:rsidR="00E67C20">
        <w:rPr>
          <w:bCs/>
        </w:rPr>
        <w:t>market liquidity</w:t>
      </w:r>
      <w:r>
        <w:rPr>
          <w:bCs/>
        </w:rPr>
        <w:t>,</w:t>
      </w:r>
      <w:r w:rsidR="00E67C20">
        <w:rPr>
          <w:bCs/>
        </w:rPr>
        <w:t xml:space="preserve"> </w:t>
      </w:r>
      <w:r w:rsidR="00CC2031">
        <w:rPr>
          <w:bCs/>
        </w:rPr>
        <w:t>and</w:t>
      </w:r>
      <w:r w:rsidR="006B2E17">
        <w:rPr>
          <w:bCs/>
        </w:rPr>
        <w:t xml:space="preserve"> ERM and European sovereign debt crises.  </w:t>
      </w:r>
      <w:r w:rsidR="00E67C20">
        <w:rPr>
          <w:bCs/>
        </w:rPr>
        <w:t>The</w:t>
      </w:r>
      <w:r w:rsidR="00D9343B">
        <w:rPr>
          <w:bCs/>
        </w:rPr>
        <w:t xml:space="preserve"> country-specific development measures </w:t>
      </w:r>
      <w:r>
        <w:rPr>
          <w:bCs/>
        </w:rPr>
        <w:t>are obtained</w:t>
      </w:r>
      <w:r w:rsidR="00E67C20">
        <w:rPr>
          <w:bCs/>
        </w:rPr>
        <w:t xml:space="preserve"> </w:t>
      </w:r>
      <w:r w:rsidR="00D9343B">
        <w:rPr>
          <w:bCs/>
        </w:rPr>
        <w:t xml:space="preserve">from the World Bank </w:t>
      </w:r>
      <w:r w:rsidR="00E67C20">
        <w:rPr>
          <w:bCs/>
        </w:rPr>
        <w:t>and</w:t>
      </w:r>
      <w:r w:rsidR="00D9343B" w:rsidRPr="003878D5">
        <w:rPr>
          <w:bCs/>
        </w:rPr>
        <w:t xml:space="preserve"> </w:t>
      </w:r>
      <w:r>
        <w:rPr>
          <w:bCs/>
        </w:rPr>
        <w:t xml:space="preserve">include </w:t>
      </w:r>
      <w:r w:rsidR="00D9343B" w:rsidRPr="003878D5">
        <w:rPr>
          <w:bCs/>
        </w:rPr>
        <w:t xml:space="preserve">government expenditure share on education, literacy rate, prevalence of ATMs, life expectancy at birth, internet users, cellular phone subscriptions, secondary school enrolment, gender parity index, maternal mortality rate, research and development expenditures as a share of GDP, and the like.   </w:t>
      </w:r>
      <w:r w:rsidR="00D9343B">
        <w:rPr>
          <w:bCs/>
        </w:rPr>
        <w:t xml:space="preserve">However, given high levels of simple correlation among the World Bank development indices, we compute </w:t>
      </w:r>
      <w:r w:rsidR="002E6BB7">
        <w:rPr>
          <w:bCs/>
        </w:rPr>
        <w:t xml:space="preserve">and utilise </w:t>
      </w:r>
      <w:r w:rsidR="00D9343B">
        <w:rPr>
          <w:bCs/>
        </w:rPr>
        <w:t>their first principal component, DEVPC1</w:t>
      </w:r>
      <w:r w:rsidR="00291DFF">
        <w:rPr>
          <w:bCs/>
        </w:rPr>
        <w:t>,</w:t>
      </w:r>
      <w:r w:rsidR="002E6BB7">
        <w:rPr>
          <w:bCs/>
        </w:rPr>
        <w:t xml:space="preserve"> which </w:t>
      </w:r>
      <w:r w:rsidR="00D9343B" w:rsidRPr="00223F75">
        <w:rPr>
          <w:bCs/>
        </w:rPr>
        <w:t>explains a very high proportion of the</w:t>
      </w:r>
      <w:r w:rsidR="00D9343B">
        <w:rPr>
          <w:bCs/>
        </w:rPr>
        <w:t xml:space="preserve"> variation among </w:t>
      </w:r>
      <w:r w:rsidR="002E6BB7">
        <w:rPr>
          <w:bCs/>
        </w:rPr>
        <w:t xml:space="preserve">these </w:t>
      </w:r>
      <w:r w:rsidR="00D9343B">
        <w:rPr>
          <w:bCs/>
        </w:rPr>
        <w:t>terms</w:t>
      </w:r>
      <w:r w:rsidR="00D9343B" w:rsidRPr="00223F75">
        <w:rPr>
          <w:bCs/>
        </w:rPr>
        <w:t xml:space="preserve">.  </w:t>
      </w:r>
    </w:p>
    <w:p w14:paraId="41A25F18" w14:textId="5391784C" w:rsidR="00CD1D6C" w:rsidRDefault="005A0CCC" w:rsidP="00467D57">
      <w:pPr>
        <w:spacing w:after="0" w:line="480" w:lineRule="auto"/>
        <w:ind w:firstLine="360"/>
        <w:jc w:val="both"/>
      </w:pPr>
      <w:r>
        <w:t>C</w:t>
      </w:r>
      <w:r w:rsidRPr="000D3F08">
        <w:t xml:space="preserve">onsistent with the “world is flat” hypothesis, we find that </w:t>
      </w:r>
      <w:r w:rsidR="00272632">
        <w:t>the</w:t>
      </w:r>
      <w:r w:rsidRPr="000D3F08">
        <w:t xml:space="preserve"> </w:t>
      </w:r>
      <w:r>
        <w:t xml:space="preserve">diffusion of </w:t>
      </w:r>
      <w:r w:rsidRPr="000D3F08">
        <w:t xml:space="preserve">internet technology </w:t>
      </w:r>
      <w:r w:rsidR="00900359">
        <w:t>is</w:t>
      </w:r>
      <w:r w:rsidRPr="000D3F08">
        <w:t xml:space="preserve"> associated with declines in diversification </w:t>
      </w:r>
      <w:r w:rsidR="00E7244F">
        <w:t>opportunity</w:t>
      </w:r>
      <w:r w:rsidRPr="000D3F08">
        <w:t xml:space="preserve"> among all asset classes</w:t>
      </w:r>
      <w:r w:rsidR="002E6BB7">
        <w:t xml:space="preserve"> separ</w:t>
      </w:r>
      <w:r w:rsidR="00831DED">
        <w:t>a</w:t>
      </w:r>
      <w:r w:rsidR="002E6BB7">
        <w:t>tely and collectively</w:t>
      </w:r>
      <w:r w:rsidRPr="000D3F08">
        <w:t>.</w:t>
      </w:r>
      <w:r>
        <w:t xml:space="preserve"> </w:t>
      </w:r>
      <w:r w:rsidR="005233A6">
        <w:t xml:space="preserve"> As would be expected, the estimated internet effects are more pronounced for recent </w:t>
      </w:r>
      <w:r w:rsidR="005233A6">
        <w:lastRenderedPageBreak/>
        <w:t xml:space="preserve">years and in the wake of increased internet diffusion.  </w:t>
      </w:r>
      <w:r w:rsidR="00D052E1">
        <w:t xml:space="preserve">The </w:t>
      </w:r>
      <w:r w:rsidR="00272632">
        <w:t xml:space="preserve">first principal component of a large set of World Bank </w:t>
      </w:r>
      <w:r w:rsidR="00E7244F">
        <w:t>indices indicating stage of economic development</w:t>
      </w:r>
      <w:r w:rsidR="00272632">
        <w:t xml:space="preserve"> similarly </w:t>
      </w:r>
      <w:r w:rsidR="00E7244F">
        <w:t xml:space="preserve">is </w:t>
      </w:r>
      <w:r w:rsidR="00272632">
        <w:t xml:space="preserve">associated with substantial decline in diversification potential among all asset classes.  </w:t>
      </w:r>
      <w:r w:rsidR="000D3F08">
        <w:t>G</w:t>
      </w:r>
      <w:r w:rsidR="000D3F08" w:rsidRPr="000D3F08">
        <w:t>lobal events</w:t>
      </w:r>
      <w:r w:rsidR="00E26E4D">
        <w:t>,</w:t>
      </w:r>
      <w:r w:rsidR="000D3F08" w:rsidRPr="000D3F08">
        <w:t xml:space="preserve"> including the 1992 ERM and 2009-2010 Eurozone crises</w:t>
      </w:r>
      <w:r w:rsidR="00E26E4D">
        <w:t>,</w:t>
      </w:r>
      <w:r w:rsidR="000D3F08" w:rsidRPr="000D3F08">
        <w:t xml:space="preserve"> </w:t>
      </w:r>
      <w:r w:rsidR="007975D2">
        <w:t xml:space="preserve">also </w:t>
      </w:r>
      <w:r w:rsidR="000D3F08" w:rsidRPr="000D3F08">
        <w:t xml:space="preserve">are associated with diminished investment diversification </w:t>
      </w:r>
      <w:r w:rsidR="00E7244F">
        <w:t>potential</w:t>
      </w:r>
      <w:r w:rsidR="000D3F08" w:rsidRPr="000D3F08">
        <w:t>.</w:t>
      </w:r>
      <w:r w:rsidR="000D3F08">
        <w:t xml:space="preserve"> </w:t>
      </w:r>
      <w:r w:rsidR="00E7244F">
        <w:t xml:space="preserve"> Also, more liquid markets as measured in accordance with </w:t>
      </w:r>
      <w:proofErr w:type="spellStart"/>
      <w:r w:rsidR="00E7244F">
        <w:t>Lesmond</w:t>
      </w:r>
      <w:proofErr w:type="spellEnd"/>
      <w:r w:rsidR="00E7244F">
        <w:t xml:space="preserve">, Ogden and </w:t>
      </w:r>
      <w:proofErr w:type="spellStart"/>
      <w:r w:rsidR="00E7244F">
        <w:t>Trcinka</w:t>
      </w:r>
      <w:proofErr w:type="spellEnd"/>
      <w:r w:rsidR="00E7244F">
        <w:t xml:space="preserve"> (1999) are associated with damped diversification potential.  </w:t>
      </w:r>
      <w:r w:rsidR="000D3F08">
        <w:t>These findings are robust to the inclusion of</w:t>
      </w:r>
      <w:r w:rsidR="008D1B2F" w:rsidRPr="00E35192">
        <w:t xml:space="preserve"> </w:t>
      </w:r>
      <w:r w:rsidR="004663F3">
        <w:t xml:space="preserve">various factors including </w:t>
      </w:r>
      <w:r w:rsidR="008D1B2F" w:rsidRPr="00E35192">
        <w:t xml:space="preserve">credit risk as proxied </w:t>
      </w:r>
      <w:r w:rsidR="00E35192" w:rsidRPr="00E35192">
        <w:t>by</w:t>
      </w:r>
      <w:r w:rsidR="008D1B2F" w:rsidRPr="00E35192">
        <w:t xml:space="preserve"> the TED spread,</w:t>
      </w:r>
      <w:r w:rsidR="004663F3">
        <w:t xml:space="preserve"> investor sentiment, country-specific </w:t>
      </w:r>
      <w:r w:rsidR="006C2BFD">
        <w:t xml:space="preserve">equity market implied volatility (VIX), and </w:t>
      </w:r>
      <w:r w:rsidR="004663F3">
        <w:t>political</w:t>
      </w:r>
      <w:r w:rsidR="00E7244F">
        <w:t xml:space="preserve">, </w:t>
      </w:r>
      <w:r w:rsidR="006C2BFD">
        <w:t xml:space="preserve">economic, </w:t>
      </w:r>
      <w:r w:rsidR="00E7244F">
        <w:t>and financ</w:t>
      </w:r>
      <w:r w:rsidR="006C2BFD">
        <w:t>ial</w:t>
      </w:r>
      <w:r w:rsidR="004663F3">
        <w:t xml:space="preserve"> risk</w:t>
      </w:r>
      <w:r w:rsidR="004B45DF">
        <w:t xml:space="preserve"> as computed from the International Country Risk Guide</w:t>
      </w:r>
      <w:r w:rsidR="001F5085">
        <w:t>.</w:t>
      </w:r>
      <w:r w:rsidR="004A1F31">
        <w:t xml:space="preserve">  </w:t>
      </w:r>
      <w:r w:rsidR="006D7664">
        <w:t xml:space="preserve">As would be expected, the estimated factor loadings vary across developed, emerging, and frontier markets and over time.  For example, the 1992 ERM and 2009-2010 European sovereign debt crisis periods are associated with damped diversification opportunity in developed </w:t>
      </w:r>
      <w:r w:rsidR="006F3F65">
        <w:t xml:space="preserve">and emerging </w:t>
      </w:r>
      <w:r w:rsidR="006D7664">
        <w:t>markets but the opposite in frontier markets</w:t>
      </w:r>
      <w:r w:rsidR="004A1F31">
        <w:t xml:space="preserve">.  </w:t>
      </w:r>
      <w:r w:rsidR="004410C5" w:rsidRPr="00E35192">
        <w:t>Ta</w:t>
      </w:r>
      <w:r w:rsidR="004410C5" w:rsidRPr="00E329EA">
        <w:t xml:space="preserve">ken together, our findings offer a cautionary </w:t>
      </w:r>
      <w:r w:rsidR="00E329EA" w:rsidRPr="00E329EA">
        <w:t>note</w:t>
      </w:r>
      <w:r w:rsidR="004410C5" w:rsidRPr="00E329EA">
        <w:t xml:space="preserve"> about geographic and asset class diversification </w:t>
      </w:r>
      <w:r w:rsidR="00A7458A">
        <w:t>of</w:t>
      </w:r>
      <w:r w:rsidR="004410C5" w:rsidRPr="00E329EA">
        <w:t xml:space="preserve"> investment risk</w:t>
      </w:r>
      <w:r w:rsidR="00A7458A">
        <w:t xml:space="preserve"> in an increasingly flat world</w:t>
      </w:r>
      <w:r w:rsidR="00B476F8">
        <w:t>.</w:t>
      </w:r>
    </w:p>
    <w:p w14:paraId="0D26ED9E" w14:textId="4A14325C" w:rsidR="00795849" w:rsidRDefault="0065388F" w:rsidP="00EC15B7">
      <w:pPr>
        <w:pStyle w:val="ListParagraph"/>
        <w:numPr>
          <w:ilvl w:val="0"/>
          <w:numId w:val="3"/>
        </w:numPr>
        <w:spacing w:before="240" w:after="0" w:line="480" w:lineRule="auto"/>
        <w:jc w:val="both"/>
        <w:rPr>
          <w:b/>
          <w:bCs/>
        </w:rPr>
      </w:pPr>
      <w:r>
        <w:rPr>
          <w:b/>
          <w:bCs/>
        </w:rPr>
        <w:t>Indexes</w:t>
      </w:r>
      <w:r w:rsidR="00795849">
        <w:rPr>
          <w:b/>
          <w:bCs/>
        </w:rPr>
        <w:t xml:space="preserve"> of Global </w:t>
      </w:r>
      <w:r w:rsidR="00795849" w:rsidRPr="006A7EB8">
        <w:rPr>
          <w:b/>
          <w:bCs/>
        </w:rPr>
        <w:t>Diversification</w:t>
      </w:r>
    </w:p>
    <w:p w14:paraId="28A8B221" w14:textId="008E00B6" w:rsidR="00EC6972" w:rsidRDefault="009151D5" w:rsidP="00532C38">
      <w:pPr>
        <w:spacing w:after="0" w:line="480" w:lineRule="auto"/>
        <w:ind w:firstLine="360"/>
        <w:jc w:val="both"/>
        <w:rPr>
          <w:rFonts w:eastAsia="Cambria" w:cs="Cambria"/>
        </w:rPr>
      </w:pPr>
      <w:r>
        <w:rPr>
          <w:rFonts w:eastAsia="Cambria" w:cs="Cambria"/>
        </w:rPr>
        <w:t>Below</w:t>
      </w:r>
      <w:r w:rsidR="00EC6972">
        <w:rPr>
          <w:rFonts w:eastAsia="Cambria" w:cs="Cambria"/>
        </w:rPr>
        <w:t xml:space="preserve"> we discuss </w:t>
      </w:r>
      <w:r w:rsidR="004E29CA">
        <w:rPr>
          <w:rFonts w:eastAsia="Cambria" w:cs="Cambria"/>
        </w:rPr>
        <w:t xml:space="preserve">literature and </w:t>
      </w:r>
      <w:r>
        <w:rPr>
          <w:rFonts w:eastAsia="Cambria" w:cs="Cambria"/>
        </w:rPr>
        <w:t>methodological derivation of o</w:t>
      </w:r>
      <w:r w:rsidR="00EC6972">
        <w:rPr>
          <w:rFonts w:eastAsia="Cambria" w:cs="Cambria"/>
        </w:rPr>
        <w:t xml:space="preserve">ur </w:t>
      </w:r>
      <w:r>
        <w:rPr>
          <w:rFonts w:eastAsia="Cambria" w:cs="Cambria"/>
        </w:rPr>
        <w:t>diversification indexes</w:t>
      </w:r>
      <w:r w:rsidR="00EC6972">
        <w:rPr>
          <w:rFonts w:eastAsia="Cambria" w:cs="Cambria"/>
        </w:rPr>
        <w:t>.</w:t>
      </w:r>
      <w:r>
        <w:rPr>
          <w:rFonts w:eastAsia="Cambria" w:cs="Cambria"/>
        </w:rPr>
        <w:t xml:space="preserve">  From there, we proceed to index estimation and analysis.</w:t>
      </w:r>
      <w:r w:rsidR="00795849" w:rsidRPr="005B5375">
        <w:rPr>
          <w:rFonts w:eastAsia="Cambria" w:cs="Cambria"/>
        </w:rPr>
        <w:t xml:space="preserve">  </w:t>
      </w:r>
    </w:p>
    <w:p w14:paraId="4E254C47" w14:textId="77777777" w:rsidR="00EC6972" w:rsidRPr="00EC6972" w:rsidRDefault="00EC6972" w:rsidP="00532C38">
      <w:pPr>
        <w:spacing w:after="0" w:line="480" w:lineRule="auto"/>
        <w:ind w:firstLine="360"/>
        <w:jc w:val="both"/>
        <w:rPr>
          <w:rFonts w:eastAsia="Cambria" w:cs="Cambria"/>
          <w:b/>
        </w:rPr>
      </w:pPr>
      <w:r w:rsidRPr="00EC6972">
        <w:rPr>
          <w:rFonts w:eastAsia="Cambria" w:cs="Cambria"/>
          <w:b/>
        </w:rPr>
        <w:t>a. Literature and Methodological Approach</w:t>
      </w:r>
    </w:p>
    <w:p w14:paraId="7C1ECA65" w14:textId="0EC0D527" w:rsidR="003A43A9" w:rsidRDefault="00795849" w:rsidP="00532C38">
      <w:pPr>
        <w:spacing w:after="0" w:line="480" w:lineRule="auto"/>
        <w:ind w:firstLine="360"/>
        <w:jc w:val="both"/>
        <w:rPr>
          <w:rFonts w:eastAsia="Cambria" w:cs="Cambria"/>
        </w:rPr>
      </w:pPr>
      <w:r w:rsidRPr="005B5375">
        <w:rPr>
          <w:rFonts w:eastAsia="Cambria" w:cs="Cambria"/>
        </w:rPr>
        <w:t>The starting point is estimation of integration of asset</w:t>
      </w:r>
      <w:r w:rsidR="0026111E">
        <w:rPr>
          <w:rFonts w:eastAsia="Cambria" w:cs="Cambria"/>
        </w:rPr>
        <w:t xml:space="preserve"> return</w:t>
      </w:r>
      <w:r w:rsidR="008A658E">
        <w:rPr>
          <w:rFonts w:eastAsia="Cambria" w:cs="Cambria"/>
        </w:rPr>
        <w:t>s</w:t>
      </w:r>
      <w:r w:rsidRPr="005B5375">
        <w:rPr>
          <w:rFonts w:eastAsia="Cambria" w:cs="Cambria"/>
        </w:rPr>
        <w:t xml:space="preserve"> </w:t>
      </w:r>
      <w:r w:rsidR="00532C38">
        <w:rPr>
          <w:rFonts w:eastAsia="Cambria" w:cs="Cambria"/>
        </w:rPr>
        <w:t xml:space="preserve">within and </w:t>
      </w:r>
      <w:r w:rsidRPr="005B5375">
        <w:rPr>
          <w:rFonts w:eastAsia="Cambria" w:cs="Cambria"/>
        </w:rPr>
        <w:t>among nation</w:t>
      </w:r>
      <w:r w:rsidR="00636713">
        <w:rPr>
          <w:rFonts w:eastAsia="Cambria" w:cs="Cambria"/>
        </w:rPr>
        <w:t>s and</w:t>
      </w:r>
      <w:r w:rsidRPr="005B5375">
        <w:rPr>
          <w:rFonts w:eastAsia="Cambria" w:cs="Cambria"/>
        </w:rPr>
        <w:t xml:space="preserve"> asset classes over time.  A review of existing literature suggests substantial variation in method</w:t>
      </w:r>
      <w:r w:rsidR="008A658E">
        <w:rPr>
          <w:rFonts w:eastAsia="Cambria" w:cs="Cambria"/>
        </w:rPr>
        <w:t>s</w:t>
      </w:r>
      <w:r w:rsidRPr="005B5375">
        <w:rPr>
          <w:rFonts w:eastAsia="Cambria" w:cs="Cambria"/>
        </w:rPr>
        <w:t xml:space="preserve"> </w:t>
      </w:r>
      <w:r w:rsidR="004673DF">
        <w:rPr>
          <w:rFonts w:eastAsia="Cambria" w:cs="Cambria"/>
        </w:rPr>
        <w:t xml:space="preserve">and geographic focus </w:t>
      </w:r>
      <w:r w:rsidRPr="005B5375">
        <w:rPr>
          <w:rFonts w:eastAsia="Cambria" w:cs="Cambria"/>
        </w:rPr>
        <w:t xml:space="preserve">of related integration research (for a comprehensive review of this topic and related research see Gagnon and Karolyi (2006)).   </w:t>
      </w:r>
      <w:r w:rsidR="0026111E">
        <w:rPr>
          <w:rFonts w:eastAsia="Cambria" w:cs="Cambria"/>
        </w:rPr>
        <w:t>Much of the literature has focused on integration of returns among equity markets, rather than across a</w:t>
      </w:r>
      <w:r w:rsidR="00B8008D">
        <w:rPr>
          <w:rFonts w:eastAsia="Cambria" w:cs="Cambria"/>
        </w:rPr>
        <w:t xml:space="preserve">sset classes. </w:t>
      </w:r>
      <w:r w:rsidR="0026111E">
        <w:rPr>
          <w:rFonts w:eastAsia="Cambria" w:cs="Cambria"/>
        </w:rPr>
        <w:t xml:space="preserve"> In that regard, t</w:t>
      </w:r>
      <w:r w:rsidRPr="005B5375">
        <w:rPr>
          <w:rFonts w:eastAsia="Cambria" w:cs="Cambria"/>
        </w:rPr>
        <w:t xml:space="preserve">he dynamics of equity market integration have been investigated by Harvey (1991), Chan, Karolyi, and </w:t>
      </w:r>
      <w:proofErr w:type="spellStart"/>
      <w:r w:rsidRPr="005B5375">
        <w:rPr>
          <w:rFonts w:eastAsia="Cambria" w:cs="Cambria"/>
        </w:rPr>
        <w:t>Stulz</w:t>
      </w:r>
      <w:proofErr w:type="spellEnd"/>
      <w:r w:rsidRPr="005B5375">
        <w:rPr>
          <w:rFonts w:eastAsia="Cambria" w:cs="Cambria"/>
        </w:rPr>
        <w:t xml:space="preserve"> (1992), Engle and </w:t>
      </w:r>
      <w:proofErr w:type="spellStart"/>
      <w:r w:rsidRPr="005B5375">
        <w:rPr>
          <w:rFonts w:eastAsia="Cambria" w:cs="Cambria"/>
        </w:rPr>
        <w:t>Susmel</w:t>
      </w:r>
      <w:proofErr w:type="spellEnd"/>
      <w:r w:rsidRPr="005B5375">
        <w:rPr>
          <w:rFonts w:eastAsia="Cambria" w:cs="Cambria"/>
        </w:rPr>
        <w:t xml:space="preserve"> (1993), Bekaert and Harvey (1995), </w:t>
      </w:r>
      <w:proofErr w:type="spellStart"/>
      <w:r w:rsidRPr="005B5375">
        <w:rPr>
          <w:rFonts w:eastAsia="Cambria" w:cs="Cambria"/>
        </w:rPr>
        <w:t>Longin</w:t>
      </w:r>
      <w:proofErr w:type="spellEnd"/>
      <w:r w:rsidRPr="005B5375">
        <w:rPr>
          <w:rFonts w:eastAsia="Cambria" w:cs="Cambria"/>
        </w:rPr>
        <w:t xml:space="preserve"> and </w:t>
      </w:r>
      <w:proofErr w:type="spellStart"/>
      <w:r w:rsidRPr="005B5375">
        <w:rPr>
          <w:rFonts w:eastAsia="Cambria" w:cs="Cambria"/>
        </w:rPr>
        <w:t>Solnik</w:t>
      </w:r>
      <w:proofErr w:type="spellEnd"/>
      <w:r w:rsidRPr="005B5375">
        <w:rPr>
          <w:rFonts w:eastAsia="Cambria" w:cs="Cambria"/>
        </w:rPr>
        <w:t xml:space="preserve"> (1995),  </w:t>
      </w:r>
      <w:proofErr w:type="spellStart"/>
      <w:r w:rsidRPr="005B5375">
        <w:rPr>
          <w:rFonts w:eastAsia="Cambria" w:cs="Cambria"/>
        </w:rPr>
        <w:t>Errunza</w:t>
      </w:r>
      <w:proofErr w:type="spellEnd"/>
      <w:r w:rsidRPr="005B5375">
        <w:rPr>
          <w:rFonts w:eastAsia="Cambria" w:cs="Cambria"/>
        </w:rPr>
        <w:t>, Hogan, and Hung (2007)</w:t>
      </w:r>
      <w:r w:rsidR="00491F9C">
        <w:rPr>
          <w:rFonts w:eastAsia="Cambria" w:cs="Cambria"/>
        </w:rPr>
        <w:t xml:space="preserve">, </w:t>
      </w:r>
      <w:proofErr w:type="spellStart"/>
      <w:r w:rsidR="00DE413D">
        <w:rPr>
          <w:rFonts w:eastAsia="Cambria" w:cs="Cambria"/>
        </w:rPr>
        <w:t>Eun</w:t>
      </w:r>
      <w:proofErr w:type="spellEnd"/>
      <w:r w:rsidR="00DE413D">
        <w:rPr>
          <w:rFonts w:eastAsia="Cambria" w:cs="Cambria"/>
        </w:rPr>
        <w:t xml:space="preserve">, Huang and </w:t>
      </w:r>
      <w:r w:rsidR="002454A3">
        <w:rPr>
          <w:rFonts w:eastAsia="Cambria" w:cs="Cambria"/>
        </w:rPr>
        <w:t xml:space="preserve">Lai (2008), and </w:t>
      </w:r>
      <w:proofErr w:type="spellStart"/>
      <w:r w:rsidR="00491F9C">
        <w:rPr>
          <w:rFonts w:eastAsia="Cambria" w:cs="Cambria"/>
        </w:rPr>
        <w:t>Eiling</w:t>
      </w:r>
      <w:proofErr w:type="spellEnd"/>
      <w:r w:rsidR="00491F9C">
        <w:rPr>
          <w:rFonts w:eastAsia="Cambria" w:cs="Cambria"/>
        </w:rPr>
        <w:t xml:space="preserve"> and Gerard (2014)</w:t>
      </w:r>
      <w:r w:rsidRPr="005B5375">
        <w:rPr>
          <w:rFonts w:eastAsia="Cambria" w:cs="Cambria"/>
        </w:rPr>
        <w:t xml:space="preserve">.  </w:t>
      </w:r>
      <w:proofErr w:type="spellStart"/>
      <w:r w:rsidR="00546DFC" w:rsidRPr="00546DFC">
        <w:rPr>
          <w:rFonts w:eastAsia="Cambria" w:cs="Cambria"/>
        </w:rPr>
        <w:t>Baele</w:t>
      </w:r>
      <w:proofErr w:type="spellEnd"/>
      <w:r w:rsidR="00546DFC" w:rsidRPr="00546DFC">
        <w:rPr>
          <w:rFonts w:eastAsia="Cambria" w:cs="Cambria"/>
        </w:rPr>
        <w:t xml:space="preserve"> </w:t>
      </w:r>
      <w:r w:rsidR="00546DFC">
        <w:rPr>
          <w:rFonts w:eastAsia="Cambria" w:cs="Cambria"/>
        </w:rPr>
        <w:t>et al (</w:t>
      </w:r>
      <w:r w:rsidR="00546DFC" w:rsidRPr="00546DFC">
        <w:rPr>
          <w:rFonts w:eastAsia="Cambria" w:cs="Cambria"/>
        </w:rPr>
        <w:t>2009</w:t>
      </w:r>
      <w:r w:rsidR="00546DFC">
        <w:rPr>
          <w:rFonts w:eastAsia="Cambria" w:cs="Cambria"/>
        </w:rPr>
        <w:t xml:space="preserve">) </w:t>
      </w:r>
      <w:r w:rsidR="004F6D9E">
        <w:rPr>
          <w:rFonts w:eastAsia="Cambria" w:cs="Cambria"/>
        </w:rPr>
        <w:t xml:space="preserve">and Baker and </w:t>
      </w:r>
      <w:proofErr w:type="spellStart"/>
      <w:r w:rsidR="004F6D9E">
        <w:rPr>
          <w:rFonts w:eastAsia="Cambria" w:cs="Cambria"/>
        </w:rPr>
        <w:t>Wurgler</w:t>
      </w:r>
      <w:proofErr w:type="spellEnd"/>
      <w:r w:rsidR="004F6D9E">
        <w:rPr>
          <w:rFonts w:eastAsia="Cambria" w:cs="Cambria"/>
        </w:rPr>
        <w:t xml:space="preserve"> (2012) </w:t>
      </w:r>
      <w:r w:rsidR="00546DFC">
        <w:rPr>
          <w:rFonts w:eastAsia="Cambria" w:cs="Cambria"/>
        </w:rPr>
        <w:lastRenderedPageBreak/>
        <w:t xml:space="preserve">examine </w:t>
      </w:r>
      <w:r w:rsidR="00A759C2">
        <w:rPr>
          <w:rFonts w:eastAsia="Cambria" w:cs="Cambria"/>
        </w:rPr>
        <w:t>correlations between</w:t>
      </w:r>
      <w:r w:rsidR="00546DFC">
        <w:rPr>
          <w:rFonts w:eastAsia="Cambria" w:cs="Cambria"/>
        </w:rPr>
        <w:t xml:space="preserve"> bond and equity markets.  </w:t>
      </w:r>
      <w:r w:rsidR="004673DF">
        <w:rPr>
          <w:rFonts w:eastAsia="Cambria" w:cs="Cambria"/>
        </w:rPr>
        <w:t>Cotter, Gabriel, and Roll (</w:t>
      </w:r>
      <w:r w:rsidR="00523805">
        <w:rPr>
          <w:rFonts w:eastAsia="Cambria" w:cs="Cambria"/>
        </w:rPr>
        <w:t>2015</w:t>
      </w:r>
      <w:r w:rsidR="004673DF">
        <w:rPr>
          <w:rFonts w:eastAsia="Cambria" w:cs="Cambria"/>
        </w:rPr>
        <w:t xml:space="preserve">) investigate </w:t>
      </w:r>
      <w:r w:rsidR="0071613C">
        <w:rPr>
          <w:rFonts w:eastAsia="Cambria" w:cs="Cambria"/>
        </w:rPr>
        <w:t xml:space="preserve">integration of </w:t>
      </w:r>
      <w:r w:rsidR="004673DF">
        <w:rPr>
          <w:rFonts w:eastAsia="Cambria" w:cs="Cambria"/>
        </w:rPr>
        <w:t xml:space="preserve">US housing market </w:t>
      </w:r>
      <w:r w:rsidR="0071613C">
        <w:rPr>
          <w:rFonts w:eastAsia="Cambria" w:cs="Cambria"/>
        </w:rPr>
        <w:t>returns</w:t>
      </w:r>
      <w:r w:rsidR="004673DF">
        <w:rPr>
          <w:rFonts w:eastAsia="Cambria" w:cs="Cambria"/>
        </w:rPr>
        <w:t xml:space="preserve">.  </w:t>
      </w:r>
    </w:p>
    <w:p w14:paraId="29768E55" w14:textId="690A7DD3" w:rsidR="00795849" w:rsidRPr="005B5375" w:rsidRDefault="00795849" w:rsidP="00047CB9">
      <w:pPr>
        <w:spacing w:after="0" w:line="480" w:lineRule="auto"/>
        <w:ind w:firstLine="360"/>
        <w:jc w:val="both"/>
        <w:rPr>
          <w:rFonts w:eastAsia="Cambria" w:cs="Cambria"/>
        </w:rPr>
      </w:pPr>
      <w:r w:rsidRPr="005B5375">
        <w:rPr>
          <w:rFonts w:eastAsia="Cambria" w:cs="Cambria"/>
        </w:rPr>
        <w:t xml:space="preserve">Papers have </w:t>
      </w:r>
      <w:r w:rsidR="003A43A9">
        <w:rPr>
          <w:rFonts w:eastAsia="Cambria" w:cs="Cambria"/>
        </w:rPr>
        <w:t>varied</w:t>
      </w:r>
      <w:r w:rsidRPr="005B5375">
        <w:rPr>
          <w:rFonts w:eastAsia="Cambria" w:cs="Cambria"/>
        </w:rPr>
        <w:t xml:space="preserve"> in geographic focus, as some address integration in the European community (see, for example, </w:t>
      </w:r>
      <w:proofErr w:type="spellStart"/>
      <w:r w:rsidRPr="005B5375">
        <w:rPr>
          <w:rFonts w:eastAsia="Cambria" w:cs="Cambria"/>
        </w:rPr>
        <w:t>Hardouvelis</w:t>
      </w:r>
      <w:proofErr w:type="spellEnd"/>
      <w:r w:rsidRPr="005B5375">
        <w:rPr>
          <w:rFonts w:eastAsia="Cambria" w:cs="Cambria"/>
        </w:rPr>
        <w:t xml:space="preserve">, </w:t>
      </w:r>
      <w:proofErr w:type="spellStart"/>
      <w:r w:rsidRPr="005B5375">
        <w:rPr>
          <w:rFonts w:eastAsia="Cambria" w:cs="Cambria"/>
        </w:rPr>
        <w:t>Malliaropoulos</w:t>
      </w:r>
      <w:proofErr w:type="spellEnd"/>
      <w:r w:rsidRPr="005B5375">
        <w:rPr>
          <w:rFonts w:eastAsia="Cambria" w:cs="Cambria"/>
        </w:rPr>
        <w:t xml:space="preserve">, and Priestley (2006), and </w:t>
      </w:r>
      <w:proofErr w:type="spellStart"/>
      <w:r w:rsidRPr="005B5375">
        <w:rPr>
          <w:rFonts w:eastAsia="Cambria" w:cs="Cambria"/>
        </w:rPr>
        <w:t>Schotman</w:t>
      </w:r>
      <w:proofErr w:type="spellEnd"/>
      <w:r w:rsidRPr="005B5375">
        <w:rPr>
          <w:rFonts w:eastAsia="Cambria" w:cs="Cambria"/>
        </w:rPr>
        <w:t xml:space="preserve"> and </w:t>
      </w:r>
      <w:proofErr w:type="spellStart"/>
      <w:r w:rsidRPr="005B5375">
        <w:rPr>
          <w:rFonts w:eastAsia="Cambria" w:cs="Cambria"/>
        </w:rPr>
        <w:t>Zalewska</w:t>
      </w:r>
      <w:proofErr w:type="spellEnd"/>
      <w:r w:rsidRPr="005B5375">
        <w:rPr>
          <w:rFonts w:eastAsia="Cambria" w:cs="Cambria"/>
        </w:rPr>
        <w:t xml:space="preserve"> (2006)), </w:t>
      </w:r>
      <w:r w:rsidR="00047CB9">
        <w:rPr>
          <w:rFonts w:eastAsia="Cambria" w:cs="Cambria"/>
        </w:rPr>
        <w:t>in developed markets over long a period (</w:t>
      </w:r>
      <w:proofErr w:type="spellStart"/>
      <w:r w:rsidR="00047CB9" w:rsidRPr="00047CB9">
        <w:rPr>
          <w:rFonts w:eastAsia="Cambria" w:cs="Cambria"/>
        </w:rPr>
        <w:t>Rangvid</w:t>
      </w:r>
      <w:proofErr w:type="spellEnd"/>
      <w:r w:rsidR="00047CB9">
        <w:rPr>
          <w:rFonts w:eastAsia="Cambria" w:cs="Cambria"/>
        </w:rPr>
        <w:t xml:space="preserve">, </w:t>
      </w:r>
      <w:r w:rsidR="00047CB9" w:rsidRPr="00047CB9">
        <w:rPr>
          <w:rFonts w:eastAsia="Cambria" w:cs="Cambria"/>
        </w:rPr>
        <w:t xml:space="preserve">Santa-Clara, and </w:t>
      </w:r>
      <w:r w:rsidR="00047CB9">
        <w:rPr>
          <w:rFonts w:eastAsia="Cambria" w:cs="Cambria"/>
        </w:rPr>
        <w:t>Schmeling (</w:t>
      </w:r>
      <w:r w:rsidR="00047CB9" w:rsidRPr="00047CB9">
        <w:rPr>
          <w:rFonts w:eastAsia="Cambria" w:cs="Cambria"/>
        </w:rPr>
        <w:t>2016</w:t>
      </w:r>
      <w:r w:rsidR="00047CB9">
        <w:rPr>
          <w:rFonts w:eastAsia="Cambria" w:cs="Cambria"/>
        </w:rPr>
        <w:t>)</w:t>
      </w:r>
      <w:r w:rsidR="00634B16">
        <w:rPr>
          <w:rFonts w:eastAsia="Cambria" w:cs="Cambria"/>
        </w:rPr>
        <w:t>)</w:t>
      </w:r>
      <w:r w:rsidR="00047CB9">
        <w:rPr>
          <w:rFonts w:eastAsia="Cambria" w:cs="Cambria"/>
        </w:rPr>
        <w:t>,</w:t>
      </w:r>
      <w:r w:rsidR="00047CB9" w:rsidRPr="00047CB9">
        <w:rPr>
          <w:rFonts w:eastAsia="Cambria" w:cs="Cambria"/>
        </w:rPr>
        <w:t xml:space="preserve"> </w:t>
      </w:r>
      <w:r w:rsidRPr="005B5375">
        <w:rPr>
          <w:rFonts w:eastAsia="Cambria" w:cs="Cambria"/>
        </w:rPr>
        <w:t xml:space="preserve">whereas others investigate emerging markets (see, for example, Bekaert and Harvey (1995), </w:t>
      </w:r>
      <w:proofErr w:type="spellStart"/>
      <w:r w:rsidRPr="005B5375">
        <w:rPr>
          <w:rFonts w:eastAsia="Cambria" w:cs="Cambria"/>
        </w:rPr>
        <w:t>Chambet</w:t>
      </w:r>
      <w:proofErr w:type="spellEnd"/>
      <w:r w:rsidRPr="005B5375">
        <w:rPr>
          <w:rFonts w:eastAsia="Cambria" w:cs="Cambria"/>
        </w:rPr>
        <w:t xml:space="preserve"> and Gibson (2008), Bekaert, Harvey, Lundblad and Siegel (2011)).  Some employ the US as a benchmark market (</w:t>
      </w:r>
      <w:proofErr w:type="spellStart"/>
      <w:r w:rsidRPr="005B5375">
        <w:rPr>
          <w:rFonts w:eastAsia="Cambria" w:cs="Cambria"/>
        </w:rPr>
        <w:t>Ammer</w:t>
      </w:r>
      <w:proofErr w:type="spellEnd"/>
      <w:r w:rsidRPr="005B5375">
        <w:rPr>
          <w:rFonts w:eastAsia="Cambria" w:cs="Cambria"/>
        </w:rPr>
        <w:t xml:space="preserve"> and Mei (1995) and Karolyi and </w:t>
      </w:r>
      <w:proofErr w:type="spellStart"/>
      <w:r w:rsidRPr="005B5375">
        <w:rPr>
          <w:rFonts w:eastAsia="Cambria" w:cs="Cambria"/>
        </w:rPr>
        <w:t>Stulz</w:t>
      </w:r>
      <w:proofErr w:type="spellEnd"/>
      <w:r w:rsidRPr="005B5375">
        <w:rPr>
          <w:rFonts w:eastAsia="Cambria" w:cs="Cambria"/>
        </w:rPr>
        <w:t xml:space="preserve"> (1996)). </w:t>
      </w:r>
      <w:r w:rsidR="00AA292F">
        <w:rPr>
          <w:rFonts w:eastAsia="Cambria" w:cs="Cambria"/>
        </w:rPr>
        <w:t xml:space="preserve">  </w:t>
      </w:r>
    </w:p>
    <w:p w14:paraId="443F14BE" w14:textId="67209E9B" w:rsidR="00795849" w:rsidRPr="005B5375" w:rsidRDefault="00795849" w:rsidP="001B42B2">
      <w:pPr>
        <w:spacing w:after="0" w:line="480" w:lineRule="auto"/>
        <w:ind w:firstLine="360"/>
        <w:jc w:val="both"/>
        <w:rPr>
          <w:rFonts w:eastAsia="Cambria" w:cs="Cambria"/>
        </w:rPr>
      </w:pPr>
      <w:r w:rsidRPr="005B5375">
        <w:rPr>
          <w:rFonts w:eastAsia="Cambria" w:cs="Cambria"/>
        </w:rPr>
        <w:t xml:space="preserve">There is also considerable variation in methods.  For instance, </w:t>
      </w:r>
      <w:proofErr w:type="spellStart"/>
      <w:r w:rsidRPr="005B5375">
        <w:rPr>
          <w:rFonts w:eastAsia="Cambria" w:cs="Cambria"/>
        </w:rPr>
        <w:t>Carrieri</w:t>
      </w:r>
      <w:proofErr w:type="spellEnd"/>
      <w:r w:rsidRPr="005B5375">
        <w:rPr>
          <w:rFonts w:eastAsia="Cambria" w:cs="Cambria"/>
        </w:rPr>
        <w:t xml:space="preserve">, </w:t>
      </w:r>
      <w:proofErr w:type="spellStart"/>
      <w:r w:rsidRPr="005B5375">
        <w:rPr>
          <w:rFonts w:eastAsia="Cambria" w:cs="Cambria"/>
        </w:rPr>
        <w:t>Errunza</w:t>
      </w:r>
      <w:proofErr w:type="spellEnd"/>
      <w:r w:rsidRPr="005B5375">
        <w:rPr>
          <w:rFonts w:eastAsia="Cambria" w:cs="Cambria"/>
        </w:rPr>
        <w:t xml:space="preserve"> and Hogan (2007) use GARCH-in-mean to assess correlation in returns and volatility among markets, </w:t>
      </w:r>
      <w:proofErr w:type="spellStart"/>
      <w:r w:rsidR="000D0597" w:rsidRPr="000D0597">
        <w:rPr>
          <w:rFonts w:eastAsia="Cambria" w:cs="Cambria"/>
        </w:rPr>
        <w:t>Cappiello</w:t>
      </w:r>
      <w:proofErr w:type="spellEnd"/>
      <w:r w:rsidR="000D0597" w:rsidRPr="000D0597">
        <w:rPr>
          <w:rFonts w:eastAsia="Cambria" w:cs="Cambria"/>
        </w:rPr>
        <w:t>, Engle and Sheppard</w:t>
      </w:r>
      <w:r w:rsidR="000D0597">
        <w:rPr>
          <w:rFonts w:eastAsia="Cambria" w:cs="Cambria"/>
        </w:rPr>
        <w:t xml:space="preserve"> </w:t>
      </w:r>
      <w:r w:rsidR="001361F6">
        <w:rPr>
          <w:rFonts w:eastAsia="Cambria" w:cs="Cambria"/>
        </w:rPr>
        <w:t xml:space="preserve">(2006) </w:t>
      </w:r>
      <w:r w:rsidR="000D0597">
        <w:rPr>
          <w:rFonts w:eastAsia="Cambria" w:cs="Cambria"/>
        </w:rPr>
        <w:t xml:space="preserve">also use GARCH models to report high correlation between international bond markets, </w:t>
      </w:r>
      <w:r w:rsidR="0024695E">
        <w:rPr>
          <w:rFonts w:eastAsia="Cambria" w:cs="Cambria"/>
        </w:rPr>
        <w:t xml:space="preserve">as do </w:t>
      </w:r>
      <w:proofErr w:type="spellStart"/>
      <w:r w:rsidR="0024695E" w:rsidRPr="0024695E">
        <w:rPr>
          <w:rFonts w:eastAsia="Cambria" w:cs="Cambria"/>
        </w:rPr>
        <w:t>Christoffersen</w:t>
      </w:r>
      <w:proofErr w:type="spellEnd"/>
      <w:r w:rsidR="0024695E" w:rsidRPr="0024695E">
        <w:rPr>
          <w:rFonts w:eastAsia="Cambria" w:cs="Cambria"/>
        </w:rPr>
        <w:t xml:space="preserve">, </w:t>
      </w:r>
      <w:proofErr w:type="spellStart"/>
      <w:r w:rsidR="0024695E" w:rsidRPr="0024695E">
        <w:rPr>
          <w:rFonts w:eastAsia="Cambria" w:cs="Cambria"/>
        </w:rPr>
        <w:t>Errunza</w:t>
      </w:r>
      <w:proofErr w:type="spellEnd"/>
      <w:r w:rsidR="0024695E" w:rsidRPr="0024695E">
        <w:rPr>
          <w:rFonts w:eastAsia="Cambria" w:cs="Cambria"/>
        </w:rPr>
        <w:t xml:space="preserve">, Jacobs, </w:t>
      </w:r>
      <w:r w:rsidR="0024695E">
        <w:rPr>
          <w:rFonts w:eastAsia="Cambria" w:cs="Cambria"/>
        </w:rPr>
        <w:t xml:space="preserve">and </w:t>
      </w:r>
      <w:proofErr w:type="spellStart"/>
      <w:r w:rsidR="0024695E" w:rsidRPr="0024695E">
        <w:rPr>
          <w:rFonts w:eastAsia="Cambria" w:cs="Cambria"/>
        </w:rPr>
        <w:t>Xisong</w:t>
      </w:r>
      <w:proofErr w:type="spellEnd"/>
      <w:r w:rsidR="0024695E">
        <w:rPr>
          <w:rFonts w:eastAsia="Cambria" w:cs="Cambria"/>
        </w:rPr>
        <w:t xml:space="preserve"> (2014)</w:t>
      </w:r>
      <w:r w:rsidR="00634B16">
        <w:rPr>
          <w:rFonts w:eastAsia="Cambria" w:cs="Cambria"/>
        </w:rPr>
        <w:t xml:space="preserve"> for equity markets</w:t>
      </w:r>
      <w:r w:rsidR="004A7CA0">
        <w:rPr>
          <w:rFonts w:eastAsia="Cambria" w:cs="Cambria"/>
        </w:rPr>
        <w:t xml:space="preserve">. </w:t>
      </w:r>
      <w:r w:rsidR="004A7CA0" w:rsidRPr="004A7CA0">
        <w:rPr>
          <w:rFonts w:eastAsia="Cambria" w:cs="Cambria"/>
        </w:rPr>
        <w:t xml:space="preserve">In examining correlation of international equity markets Conlon, Cotter and </w:t>
      </w:r>
      <w:proofErr w:type="spellStart"/>
      <w:r w:rsidR="004A7CA0" w:rsidRPr="004A7CA0">
        <w:rPr>
          <w:rFonts w:eastAsia="Cambria" w:cs="Cambria"/>
        </w:rPr>
        <w:t>Gencay</w:t>
      </w:r>
      <w:proofErr w:type="spellEnd"/>
      <w:r w:rsidR="004A7CA0" w:rsidRPr="004A7CA0">
        <w:rPr>
          <w:rFonts w:eastAsia="Cambria" w:cs="Cambria"/>
        </w:rPr>
        <w:t xml:space="preserve"> (2015) use wavelet methods, while </w:t>
      </w:r>
      <w:proofErr w:type="spellStart"/>
      <w:r w:rsidR="004A7CA0" w:rsidRPr="004A7CA0">
        <w:rPr>
          <w:rFonts w:eastAsia="Cambria" w:cs="Cambria"/>
        </w:rPr>
        <w:t>Longin</w:t>
      </w:r>
      <w:proofErr w:type="spellEnd"/>
      <w:r w:rsidR="004A7CA0" w:rsidRPr="004A7CA0">
        <w:rPr>
          <w:rFonts w:eastAsia="Cambria" w:cs="Cambria"/>
        </w:rPr>
        <w:t xml:space="preserve"> and </w:t>
      </w:r>
      <w:proofErr w:type="spellStart"/>
      <w:r w:rsidR="004A7CA0" w:rsidRPr="004A7CA0">
        <w:rPr>
          <w:rFonts w:eastAsia="Cambria" w:cs="Cambria"/>
        </w:rPr>
        <w:t>Solnik</w:t>
      </w:r>
      <w:proofErr w:type="spellEnd"/>
      <w:r w:rsidR="004A7CA0" w:rsidRPr="004A7CA0">
        <w:rPr>
          <w:rFonts w:eastAsia="Cambria" w:cs="Cambria"/>
        </w:rPr>
        <w:t xml:space="preserve"> (1995) use cointegration. </w:t>
      </w:r>
      <w:r w:rsidRPr="005B5375">
        <w:rPr>
          <w:rFonts w:eastAsia="Cambria" w:cs="Cambria"/>
        </w:rPr>
        <w:t xml:space="preserve">Bekaert, Harvey and Ng (2005) use multiple economic fundamental factors.  </w:t>
      </w:r>
      <w:r w:rsidR="001B42B2">
        <w:rPr>
          <w:rFonts w:eastAsia="Cambria" w:cs="Cambria"/>
        </w:rPr>
        <w:t>The link between correlation and risk is long standing (</w:t>
      </w:r>
      <w:proofErr w:type="spellStart"/>
      <w:r w:rsidR="00BC41CD" w:rsidRPr="00BC41CD">
        <w:rPr>
          <w:rFonts w:eastAsia="Cambria" w:cs="Cambria"/>
        </w:rPr>
        <w:t>Solnik</w:t>
      </w:r>
      <w:proofErr w:type="spellEnd"/>
      <w:r w:rsidR="00BC41CD" w:rsidRPr="00BC41CD">
        <w:rPr>
          <w:rFonts w:eastAsia="Cambria" w:cs="Cambria"/>
        </w:rPr>
        <w:t xml:space="preserve">, </w:t>
      </w:r>
      <w:proofErr w:type="spellStart"/>
      <w:r w:rsidR="00BC41CD" w:rsidRPr="00BC41CD">
        <w:rPr>
          <w:rFonts w:eastAsia="Cambria" w:cs="Cambria"/>
        </w:rPr>
        <w:t>Boucrelle</w:t>
      </w:r>
      <w:proofErr w:type="spellEnd"/>
      <w:r w:rsidR="00BC41CD" w:rsidRPr="00BC41CD">
        <w:rPr>
          <w:rFonts w:eastAsia="Cambria" w:cs="Cambria"/>
        </w:rPr>
        <w:t xml:space="preserve">, </w:t>
      </w:r>
      <w:r w:rsidR="00BC41CD">
        <w:rPr>
          <w:rFonts w:eastAsia="Cambria" w:cs="Cambria"/>
        </w:rPr>
        <w:t xml:space="preserve">and </w:t>
      </w:r>
      <w:r w:rsidR="00BC41CD" w:rsidRPr="00BC41CD">
        <w:rPr>
          <w:rFonts w:eastAsia="Cambria" w:cs="Cambria"/>
        </w:rPr>
        <w:t>Le Fur</w:t>
      </w:r>
      <w:r w:rsidR="001B42B2">
        <w:rPr>
          <w:rFonts w:eastAsia="Cambria" w:cs="Cambria"/>
        </w:rPr>
        <w:t xml:space="preserve">, 1996).  </w:t>
      </w:r>
      <w:r w:rsidRPr="005B5375">
        <w:rPr>
          <w:rFonts w:eastAsia="Cambria" w:cs="Cambria"/>
        </w:rPr>
        <w:t xml:space="preserve">Integration is often described in terms of cross-country correlations in stock returns (for an early study see King and Wadhwani (1990)); however, correlation may be a misleading measure.  </w:t>
      </w:r>
    </w:p>
    <w:p w14:paraId="7450B905" w14:textId="16BDEEF8" w:rsidR="00F13684" w:rsidRPr="00F13684" w:rsidRDefault="00795849" w:rsidP="00F13684">
      <w:pPr>
        <w:spacing w:after="0" w:line="480" w:lineRule="auto"/>
        <w:ind w:firstLine="360"/>
        <w:jc w:val="both"/>
        <w:rPr>
          <w:rFonts w:eastAsia="Cambria" w:cs="Cambria"/>
        </w:rPr>
      </w:pPr>
      <w:r w:rsidRPr="005B5375">
        <w:rPr>
          <w:rFonts w:eastAsia="Cambria" w:cs="Cambria"/>
        </w:rPr>
        <w:t xml:space="preserve">Below we adopt the return integration </w:t>
      </w:r>
      <w:r w:rsidR="008A658E">
        <w:rPr>
          <w:rFonts w:eastAsia="Cambria" w:cs="Cambria"/>
        </w:rPr>
        <w:t>measure propose</w:t>
      </w:r>
      <w:r w:rsidR="00686962">
        <w:rPr>
          <w:rFonts w:eastAsia="Cambria" w:cs="Cambria"/>
        </w:rPr>
        <w:t>d</w:t>
      </w:r>
      <w:r w:rsidRPr="005B5375">
        <w:rPr>
          <w:rFonts w:eastAsia="Cambria" w:cs="Cambria"/>
        </w:rPr>
        <w:t xml:space="preserve"> in </w:t>
      </w:r>
      <w:proofErr w:type="spellStart"/>
      <w:r w:rsidRPr="005B5375">
        <w:rPr>
          <w:rFonts w:eastAsia="Cambria" w:cs="Cambria"/>
        </w:rPr>
        <w:t>Pukthuanthong</w:t>
      </w:r>
      <w:proofErr w:type="spellEnd"/>
      <w:r w:rsidRPr="005B5375">
        <w:rPr>
          <w:rFonts w:eastAsia="Cambria" w:cs="Cambria"/>
        </w:rPr>
        <w:t>-Le and Roll (2009).  In that paper, the authors provide a simple intuitive measure of equity market integration based on the proportion of a country’s returns that can be explained by an identical set of global factors.  This measure of integration implicitly regards country-specific residual variance in a factor model as an indicator of imperfect integration.</w:t>
      </w:r>
      <w:r w:rsidRPr="005B5375">
        <w:rPr>
          <w:rFonts w:eastAsia="Cambria" w:cs="Cambria"/>
          <w:vertAlign w:val="superscript"/>
        </w:rPr>
        <w:footnoteReference w:id="5"/>
      </w:r>
      <w:r w:rsidRPr="005B5375">
        <w:rPr>
          <w:rFonts w:eastAsia="Cambria" w:cs="Cambria"/>
        </w:rPr>
        <w:t xml:space="preserve">  Clearly, to the extent global factors explain only a small proportion </w:t>
      </w:r>
      <w:r w:rsidRPr="005B5375">
        <w:rPr>
          <w:rFonts w:eastAsia="Cambria" w:cs="Cambria"/>
        </w:rPr>
        <w:lastRenderedPageBreak/>
        <w:t xml:space="preserve">of variance in a country’s returns, the country would be viewed as less integrated (see, for example, </w:t>
      </w:r>
      <w:proofErr w:type="spellStart"/>
      <w:r w:rsidRPr="005B5375">
        <w:rPr>
          <w:rFonts w:eastAsia="Cambria" w:cs="Cambria"/>
        </w:rPr>
        <w:t>Stulz</w:t>
      </w:r>
      <w:proofErr w:type="spellEnd"/>
      <w:r w:rsidRPr="005B5375">
        <w:rPr>
          <w:rFonts w:eastAsia="Cambria" w:cs="Cambria"/>
        </w:rPr>
        <w:t xml:space="preserve"> (1981) and </w:t>
      </w:r>
      <w:proofErr w:type="spellStart"/>
      <w:r w:rsidRPr="005B5375">
        <w:rPr>
          <w:rFonts w:eastAsia="Cambria" w:cs="Cambria"/>
        </w:rPr>
        <w:t>Errunza</w:t>
      </w:r>
      <w:proofErr w:type="spellEnd"/>
      <w:r w:rsidRPr="005B5375">
        <w:rPr>
          <w:rFonts w:eastAsia="Cambria" w:cs="Cambria"/>
        </w:rPr>
        <w:t xml:space="preserve"> and </w:t>
      </w:r>
      <w:proofErr w:type="spellStart"/>
      <w:r w:rsidRPr="005B5375">
        <w:rPr>
          <w:rFonts w:eastAsia="Cambria" w:cs="Cambria"/>
        </w:rPr>
        <w:t>Losq</w:t>
      </w:r>
      <w:proofErr w:type="spellEnd"/>
      <w:r w:rsidRPr="005B5375">
        <w:rPr>
          <w:rFonts w:eastAsia="Cambria" w:cs="Cambria"/>
        </w:rPr>
        <w:t xml:space="preserve"> (1985)).</w:t>
      </w:r>
      <w:r w:rsidRPr="005B5375">
        <w:rPr>
          <w:rFonts w:eastAsia="Cambria" w:cs="Cambria"/>
          <w:vertAlign w:val="superscript"/>
        </w:rPr>
        <w:footnoteReference w:id="6"/>
      </w:r>
      <w:r w:rsidRPr="005B5375">
        <w:rPr>
          <w:rFonts w:eastAsia="Cambria" w:cs="Cambria"/>
        </w:rPr>
        <w:t xml:space="preserve">  In contrast, markets would be viewed as highly integrated to the extent </w:t>
      </w:r>
      <w:r w:rsidR="00636713">
        <w:rPr>
          <w:rFonts w:eastAsia="Cambria" w:cs="Cambria"/>
        </w:rPr>
        <w:t xml:space="preserve">that </w:t>
      </w:r>
      <w:r w:rsidRPr="005B5375">
        <w:rPr>
          <w:rFonts w:eastAsia="Cambria" w:cs="Cambria"/>
        </w:rPr>
        <w:t xml:space="preserve">their returns, as </w:t>
      </w:r>
      <w:r w:rsidR="003B061D">
        <w:rPr>
          <w:rFonts w:eastAsia="Cambria" w:cs="Cambria"/>
        </w:rPr>
        <w:t>indicated by</w:t>
      </w:r>
      <w:r w:rsidRPr="005B5375">
        <w:rPr>
          <w:rFonts w:eastAsia="Cambria" w:cs="Cambria"/>
        </w:rPr>
        <w:t xml:space="preserve"> a high R-square, are well explained.  We define our diversification </w:t>
      </w:r>
      <w:r w:rsidR="00097166">
        <w:rPr>
          <w:rFonts w:eastAsia="Cambria" w:cs="Cambria"/>
        </w:rPr>
        <w:t>index</w:t>
      </w:r>
      <w:r w:rsidRPr="005B5375">
        <w:rPr>
          <w:rFonts w:eastAsia="Cambria" w:cs="Cambria"/>
        </w:rPr>
        <w:t xml:space="preserve"> as 100 – level of integration (adjusted R-square</w:t>
      </w:r>
      <w:r w:rsidR="003A43A9">
        <w:rPr>
          <w:rFonts w:eastAsia="Cambria" w:cs="Cambria"/>
        </w:rPr>
        <w:t xml:space="preserve"> in percent</w:t>
      </w:r>
      <w:r w:rsidRPr="005B5375">
        <w:rPr>
          <w:rFonts w:eastAsia="Cambria" w:cs="Cambria"/>
        </w:rPr>
        <w:t xml:space="preserve">).  Hence the index takes on values between 0 and 100, where the former indicates no diversification </w:t>
      </w:r>
      <w:proofErr w:type="gramStart"/>
      <w:r w:rsidRPr="005B5375">
        <w:rPr>
          <w:rFonts w:eastAsia="Cambria" w:cs="Cambria"/>
        </w:rPr>
        <w:t>potential</w:t>
      </w:r>
      <w:proofErr w:type="gramEnd"/>
      <w:r w:rsidRPr="005B5375">
        <w:rPr>
          <w:rFonts w:eastAsia="Cambria" w:cs="Cambria"/>
        </w:rPr>
        <w:t xml:space="preserve"> and the latter implies full </w:t>
      </w:r>
      <w:r w:rsidR="008A658E">
        <w:rPr>
          <w:rFonts w:eastAsia="Cambria" w:cs="Cambria"/>
        </w:rPr>
        <w:t>potential</w:t>
      </w:r>
      <w:r w:rsidRPr="005B5375">
        <w:rPr>
          <w:rFonts w:eastAsia="Cambria" w:cs="Cambria"/>
        </w:rPr>
        <w:t xml:space="preserve">.  Diversification potential should be high to the extent asset returns are not well integrated.  </w:t>
      </w:r>
      <w:r w:rsidR="00F13684" w:rsidRPr="00F13684">
        <w:rPr>
          <w:rFonts w:eastAsia="Cambria" w:cs="Cambria"/>
        </w:rPr>
        <w:t xml:space="preserve">As suggested above, we </w:t>
      </w:r>
      <w:r w:rsidR="00F13684">
        <w:rPr>
          <w:rFonts w:eastAsia="Cambria" w:cs="Cambria"/>
        </w:rPr>
        <w:t xml:space="preserve">estimate diversification potential </w:t>
      </w:r>
      <w:r w:rsidR="0049465A">
        <w:rPr>
          <w:rFonts w:eastAsia="Cambria" w:cs="Cambria"/>
        </w:rPr>
        <w:t xml:space="preserve">over the long run both </w:t>
      </w:r>
      <w:r w:rsidR="00F13684">
        <w:rPr>
          <w:rFonts w:eastAsia="Cambria" w:cs="Cambria"/>
        </w:rPr>
        <w:t>within and</w:t>
      </w:r>
      <w:r w:rsidR="00F13684" w:rsidRPr="00F13684">
        <w:rPr>
          <w:rFonts w:eastAsia="Cambria" w:cs="Cambria"/>
        </w:rPr>
        <w:t xml:space="preserve"> among </w:t>
      </w:r>
      <w:r w:rsidR="00444893">
        <w:rPr>
          <w:rFonts w:eastAsia="Cambria" w:cs="Cambria"/>
        </w:rPr>
        <w:t xml:space="preserve">alternative </w:t>
      </w:r>
      <w:r w:rsidR="00F13684" w:rsidRPr="00F13684">
        <w:rPr>
          <w:rFonts w:eastAsia="Cambria" w:cs="Cambria"/>
        </w:rPr>
        <w:t>asset classes and across a broad set of domestic and international geograp</w:t>
      </w:r>
      <w:r w:rsidR="00AA570D">
        <w:rPr>
          <w:rFonts w:eastAsia="Cambria" w:cs="Cambria"/>
        </w:rPr>
        <w:t>h</w:t>
      </w:r>
      <w:r w:rsidR="00F13684" w:rsidRPr="00F13684">
        <w:rPr>
          <w:rFonts w:eastAsia="Cambria" w:cs="Cambria"/>
        </w:rPr>
        <w:t>ies.</w:t>
      </w:r>
    </w:p>
    <w:p w14:paraId="3262DB6F" w14:textId="4143D7DD" w:rsidR="00EC6972" w:rsidRPr="00EC6972" w:rsidRDefault="00EC6972" w:rsidP="00EC6972">
      <w:pPr>
        <w:autoSpaceDE w:val="0"/>
        <w:autoSpaceDN w:val="0"/>
        <w:adjustRightInd w:val="0"/>
        <w:spacing w:after="0" w:line="480" w:lineRule="auto"/>
        <w:ind w:firstLine="360"/>
        <w:jc w:val="both"/>
        <w:rPr>
          <w:b/>
        </w:rPr>
      </w:pPr>
      <w:r w:rsidRPr="00EC6972">
        <w:rPr>
          <w:b/>
        </w:rPr>
        <w:t xml:space="preserve">b. </w:t>
      </w:r>
      <w:r w:rsidR="005E22D9" w:rsidRPr="00EC6972">
        <w:rPr>
          <w:b/>
        </w:rPr>
        <w:t>Rationale for our Diversification Measure</w:t>
      </w:r>
      <w:r w:rsidR="00931D38" w:rsidRPr="00EC6972">
        <w:rPr>
          <w:b/>
        </w:rPr>
        <w:t xml:space="preserve"> </w:t>
      </w:r>
    </w:p>
    <w:p w14:paraId="1A1C812F" w14:textId="0F85639C" w:rsidR="00931D38" w:rsidRDefault="00C936E6" w:rsidP="00EC6972">
      <w:pPr>
        <w:autoSpaceDE w:val="0"/>
        <w:autoSpaceDN w:val="0"/>
        <w:adjustRightInd w:val="0"/>
        <w:spacing w:after="0" w:line="480" w:lineRule="auto"/>
        <w:ind w:firstLine="360"/>
        <w:jc w:val="both"/>
      </w:pPr>
      <w:r>
        <w:t>T</w:t>
      </w:r>
      <w:r w:rsidR="004E0C20">
        <w:t>his section</w:t>
      </w:r>
      <w:r>
        <w:t xml:space="preserve"> provides a justification for</w:t>
      </w:r>
      <w:r w:rsidR="004E0C20">
        <w:t xml:space="preserve"> our </w:t>
      </w:r>
      <w:proofErr w:type="gramStart"/>
      <w:r>
        <w:t xml:space="preserve">particular </w:t>
      </w:r>
      <w:r w:rsidR="004E0C20">
        <w:t>diversification</w:t>
      </w:r>
      <w:proofErr w:type="gramEnd"/>
      <w:r w:rsidR="004E0C20">
        <w:t xml:space="preserve"> measure.  A</w:t>
      </w:r>
      <w:r w:rsidR="005E22D9">
        <w:t xml:space="preserve"> </w:t>
      </w:r>
      <w:r w:rsidR="00944F99">
        <w:t>time-honoured</w:t>
      </w:r>
      <w:r w:rsidR="005E22D9">
        <w:t xml:space="preserve"> (inverse) measure of diversification potential is the correlation between two assets.  All standard investment textbooks illustrate the Markowitz principle that the volatility of a portfolio formed by combining two assets is a monotonically negative function of the assets’ correlation; </w:t>
      </w:r>
      <w:r w:rsidR="004E29CA">
        <w:t xml:space="preserve">e.g., </w:t>
      </w:r>
      <w:r w:rsidR="005E22D9">
        <w:t>if the correlation is +1, there is no diversification benefit while there exists a portfolio with zero volatility if the correlation is -1.</w:t>
      </w:r>
      <w:r w:rsidR="00931D38">
        <w:t xml:space="preserve">  </w:t>
      </w:r>
    </w:p>
    <w:p w14:paraId="64C6FC8B" w14:textId="60757DF6" w:rsidR="005E22D9" w:rsidRDefault="005E22D9" w:rsidP="00931D38">
      <w:pPr>
        <w:autoSpaceDE w:val="0"/>
        <w:autoSpaceDN w:val="0"/>
        <w:adjustRightInd w:val="0"/>
        <w:spacing w:after="0" w:line="480" w:lineRule="auto"/>
        <w:ind w:firstLine="360"/>
        <w:jc w:val="both"/>
      </w:pPr>
      <w:r>
        <w:t xml:space="preserve">The Markowitz principle </w:t>
      </w:r>
      <w:r w:rsidR="004E29CA">
        <w:t xml:space="preserve">is correct </w:t>
      </w:r>
      <w:r>
        <w:t xml:space="preserve">when dealing with individual assets.  However, correlation </w:t>
      </w:r>
      <w:r w:rsidR="004E29CA">
        <w:t>can be</w:t>
      </w:r>
      <w:r>
        <w:t xml:space="preserve"> a misleading indicator of diversification when considering a combination of two portfolios, such as large indexes, each of which already contains many individual assets, provided that there are two or more underlying common factors that drive all returns.  The correlation between the two portfolios can conceivably vary over the entire range of possibilities, -1 to +1, without implying anything about the true benefits of diversification.</w:t>
      </w:r>
    </w:p>
    <w:p w14:paraId="40D3413B" w14:textId="4307F493" w:rsidR="005E22D9" w:rsidRDefault="005E22D9" w:rsidP="00931D38">
      <w:pPr>
        <w:autoSpaceDE w:val="0"/>
        <w:autoSpaceDN w:val="0"/>
        <w:adjustRightInd w:val="0"/>
        <w:spacing w:after="0" w:line="480" w:lineRule="auto"/>
        <w:ind w:firstLine="360"/>
        <w:jc w:val="both"/>
      </w:pPr>
      <w:r>
        <w:lastRenderedPageBreak/>
        <w:t xml:space="preserve">The basic reason for this seemingly perverse result is implied by the possibility that large portfolios can be re-weighted to mimic one another.  </w:t>
      </w:r>
      <w:r w:rsidRPr="00FC4A60">
        <w:rPr>
          <w:highlight w:val="yellow"/>
        </w:rPr>
        <w:t>If the mimicking is good enough, then one portfolio contains a re-weighted image of the other, so combining the two original portfolios has little benefit relative to simply combining one of them with its re-weighted self.</w:t>
      </w:r>
      <w:r>
        <w:t xml:space="preserve">   </w:t>
      </w:r>
    </w:p>
    <w:p w14:paraId="037A3B05" w14:textId="77777777" w:rsidR="005E22D9" w:rsidRDefault="005E22D9" w:rsidP="00931D38">
      <w:pPr>
        <w:autoSpaceDE w:val="0"/>
        <w:autoSpaceDN w:val="0"/>
        <w:adjustRightInd w:val="0"/>
        <w:spacing w:after="0" w:line="480" w:lineRule="auto"/>
        <w:ind w:firstLine="360"/>
        <w:jc w:val="both"/>
      </w:pPr>
      <w:r w:rsidRPr="00DE3183">
        <w:t xml:space="preserve">To </w:t>
      </w:r>
      <w:r>
        <w:t>illustrate, consider a multi-factor</w:t>
      </w:r>
      <w:r w:rsidRPr="00DE3183">
        <w:t xml:space="preserve"> world where</w:t>
      </w:r>
      <w:r>
        <w:t>in</w:t>
      </w:r>
      <w:r w:rsidRPr="00DE3183">
        <w:t xml:space="preserve"> </w:t>
      </w:r>
      <w:r>
        <w:t xml:space="preserve">all </w:t>
      </w:r>
      <w:r w:rsidRPr="00DE3183">
        <w:t xml:space="preserve">asset returns are driven by </w:t>
      </w:r>
      <w:r>
        <w:t xml:space="preserve">K common </w:t>
      </w:r>
      <w:proofErr w:type="gramStart"/>
      <w:r>
        <w:t>factors;</w:t>
      </w:r>
      <w:proofErr w:type="gramEnd"/>
      <w:r>
        <w:t xml:space="preserve"> i.e., every asset’s return at time t conforms to the return generating model:</w:t>
      </w:r>
    </w:p>
    <w:p w14:paraId="0336E658" w14:textId="77777777" w:rsidR="005E22D9" w:rsidRDefault="005E22D9" w:rsidP="00931D38">
      <w:pPr>
        <w:autoSpaceDE w:val="0"/>
        <w:autoSpaceDN w:val="0"/>
        <w:adjustRightInd w:val="0"/>
        <w:spacing w:line="480" w:lineRule="auto"/>
        <w:jc w:val="center"/>
      </w:pPr>
      <w:r w:rsidRPr="007A33AC">
        <w:rPr>
          <w:position w:val="-14"/>
        </w:rPr>
        <w:object w:dxaOrig="4080" w:dyaOrig="380" w14:anchorId="597B3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5pt;height:19.2pt" o:ole="">
            <v:imagedata r:id="rId8" o:title=""/>
          </v:shape>
          <o:OLEObject Type="Embed" ProgID="Equation.DSMT4" ShapeID="_x0000_i1025" DrawAspect="Content" ObjectID="_1666022423" r:id="rId9"/>
        </w:object>
      </w:r>
    </w:p>
    <w:p w14:paraId="6C2F61EF" w14:textId="74E3F3A8" w:rsidR="005E22D9" w:rsidRPr="0004711C" w:rsidRDefault="005E22D9" w:rsidP="00931D38">
      <w:pPr>
        <w:autoSpaceDE w:val="0"/>
        <w:autoSpaceDN w:val="0"/>
        <w:adjustRightInd w:val="0"/>
        <w:spacing w:after="0" w:line="480" w:lineRule="auto"/>
        <w:jc w:val="both"/>
      </w:pPr>
      <w:r>
        <w:t>where the f’s denote common factors that influence the return R on asset</w:t>
      </w:r>
      <w:r w:rsidRPr="004D6340">
        <w:t xml:space="preserve"> </w:t>
      </w:r>
      <w:proofErr w:type="spellStart"/>
      <w:r w:rsidRPr="004D6340">
        <w:t>i</w:t>
      </w:r>
      <w:proofErr w:type="spellEnd"/>
      <w:r w:rsidRPr="004D6340">
        <w:t xml:space="preserve"> </w:t>
      </w:r>
      <w:r>
        <w:t>through its “</w:t>
      </w:r>
      <w:r w:rsidRPr="004D6340">
        <w:t>sensitivit</w:t>
      </w:r>
      <w:r>
        <w:t>y coefficients</w:t>
      </w:r>
      <w:r w:rsidRPr="004D6340">
        <w:t>,</w:t>
      </w:r>
      <w:r>
        <w:t>” the</w:t>
      </w:r>
      <w:r w:rsidRPr="004D6340">
        <w:t xml:space="preserve"> </w:t>
      </w:r>
      <w:r w:rsidRPr="004D6340">
        <w:rPr>
          <w:lang w:val="el-GR"/>
        </w:rPr>
        <w:t>β</w:t>
      </w:r>
      <w:r>
        <w:t xml:space="preserve">s.  By assumption and without loss of generality, the factors have zero means, as does the </w:t>
      </w:r>
      <w:r w:rsidRPr="004D6340">
        <w:t>idiosyncratic risk</w:t>
      </w:r>
      <w:r>
        <w:t>,</w:t>
      </w:r>
      <w:r w:rsidRPr="004D6340">
        <w:t xml:space="preserve"> </w:t>
      </w:r>
      <w:r w:rsidRPr="004D6340">
        <w:rPr>
          <w:lang w:val="el-GR"/>
        </w:rPr>
        <w:sym w:font="Symbol" w:char="F065"/>
      </w:r>
      <w:r>
        <w:t xml:space="preserve">, while the expected return on asset </w:t>
      </w:r>
      <w:proofErr w:type="spellStart"/>
      <w:r>
        <w:t>i</w:t>
      </w:r>
      <w:proofErr w:type="spellEnd"/>
      <w:r>
        <w:t xml:space="preserve"> is </w:t>
      </w:r>
      <w:proofErr w:type="spellStart"/>
      <w:r>
        <w:t>E</w:t>
      </w:r>
      <w:r>
        <w:rPr>
          <w:vertAlign w:val="subscript"/>
        </w:rPr>
        <w:t>i</w:t>
      </w:r>
      <w:proofErr w:type="spellEnd"/>
      <w:r>
        <w:rPr>
          <w:vertAlign w:val="subscript"/>
        </w:rPr>
        <w:softHyphen/>
      </w:r>
      <w:r>
        <w:t xml:space="preserve">.  Note that everything is specific to asset </w:t>
      </w:r>
      <w:proofErr w:type="spellStart"/>
      <w:r>
        <w:t>i</w:t>
      </w:r>
      <w:proofErr w:type="spellEnd"/>
      <w:r>
        <w:t xml:space="preserve"> (and thus carries an </w:t>
      </w:r>
      <w:proofErr w:type="spellStart"/>
      <w:r>
        <w:t>i</w:t>
      </w:r>
      <w:proofErr w:type="spellEnd"/>
      <w:r>
        <w:t xml:space="preserve"> subscript), except the common factors.  Also, in this elementary multi-factor model, the asset’s expected return and its sensitivities (</w:t>
      </w:r>
      <w:r w:rsidRPr="0004711C">
        <w:rPr>
          <w:lang w:val="el-GR"/>
        </w:rPr>
        <w:t>β</w:t>
      </w:r>
      <w:r>
        <w:t>’s) are assumed to be time invariant constants.</w:t>
      </w:r>
    </w:p>
    <w:p w14:paraId="70CCEEDB" w14:textId="763EF55A" w:rsidR="005E22D9" w:rsidRDefault="005E22D9" w:rsidP="00931D38">
      <w:pPr>
        <w:autoSpaceDE w:val="0"/>
        <w:autoSpaceDN w:val="0"/>
        <w:adjustRightInd w:val="0"/>
        <w:spacing w:after="0" w:line="480" w:lineRule="auto"/>
        <w:ind w:firstLine="720"/>
        <w:jc w:val="both"/>
      </w:pPr>
      <w:r>
        <w:t>Within this world, now consider the relations among</w:t>
      </w:r>
      <w:r w:rsidRPr="00DE3183">
        <w:t xml:space="preserve"> well-diversified portfolios</w:t>
      </w:r>
      <w:r>
        <w:t>.  For example, s</w:t>
      </w:r>
      <w:r w:rsidRPr="00DE3183">
        <w:t xml:space="preserve">uppose that two asset classes, A and B, have broad, </w:t>
      </w:r>
      <w:proofErr w:type="gramStart"/>
      <w:r>
        <w:t>widely-followed</w:t>
      </w:r>
      <w:proofErr w:type="gramEnd"/>
      <w:r>
        <w:t xml:space="preserve">, </w:t>
      </w:r>
      <w:r w:rsidRPr="00DE3183">
        <w:t>well-diversified market indexes</w:t>
      </w:r>
      <w:r w:rsidR="00523805">
        <w:t>, as in our country level indexes</w:t>
      </w:r>
      <w:r>
        <w:t xml:space="preserve">.  Let’s suppose initially that the indexes are </w:t>
      </w:r>
      <w:r w:rsidRPr="00DE3183">
        <w:t xml:space="preserve">so well-diversified that both have negligible remaining idiosyncratic </w:t>
      </w:r>
      <w:proofErr w:type="gramStart"/>
      <w:r w:rsidRPr="00DE3183">
        <w:t>volatility;</w:t>
      </w:r>
      <w:proofErr w:type="gramEnd"/>
      <w:r w:rsidRPr="00DE3183">
        <w:t xml:space="preserve"> i.e.,</w:t>
      </w:r>
      <w:r>
        <w:t xml:space="preserve"> for A and B respectively,</w:t>
      </w:r>
    </w:p>
    <w:p w14:paraId="00F44106" w14:textId="77777777" w:rsidR="005E22D9" w:rsidRPr="00DE3183" w:rsidRDefault="005E22D9" w:rsidP="00931D38">
      <w:pPr>
        <w:autoSpaceDE w:val="0"/>
        <w:autoSpaceDN w:val="0"/>
        <w:adjustRightInd w:val="0"/>
        <w:spacing w:line="480" w:lineRule="auto"/>
        <w:jc w:val="center"/>
      </w:pPr>
      <w:r w:rsidRPr="007A33AC">
        <w:rPr>
          <w:position w:val="-14"/>
        </w:rPr>
        <w:object w:dxaOrig="4020" w:dyaOrig="380" w14:anchorId="66CB6FE1">
          <v:shape id="_x0000_i1026" type="#_x0000_t75" style="width:200.15pt;height:19.2pt" o:ole="">
            <v:imagedata r:id="rId10" o:title=""/>
          </v:shape>
          <o:OLEObject Type="Embed" ProgID="Equation.DSMT4" ShapeID="_x0000_i1026" DrawAspect="Content" ObjectID="_1666022424" r:id="rId11"/>
        </w:object>
      </w:r>
    </w:p>
    <w:p w14:paraId="356F213A" w14:textId="77777777" w:rsidR="005E22D9" w:rsidRDefault="005E22D9" w:rsidP="00931D38">
      <w:pPr>
        <w:autoSpaceDE w:val="0"/>
        <w:autoSpaceDN w:val="0"/>
        <w:adjustRightInd w:val="0"/>
        <w:spacing w:line="480" w:lineRule="auto"/>
        <w:jc w:val="center"/>
      </w:pPr>
      <w:r w:rsidRPr="007A33AC">
        <w:rPr>
          <w:position w:val="-14"/>
        </w:rPr>
        <w:object w:dxaOrig="3940" w:dyaOrig="380" w14:anchorId="2590015A">
          <v:shape id="_x0000_i1027" type="#_x0000_t75" style="width:196.8pt;height:19.2pt" o:ole="">
            <v:imagedata r:id="rId12" o:title=""/>
          </v:shape>
          <o:OLEObject Type="Embed" ProgID="Equation.DSMT4" ShapeID="_x0000_i1027" DrawAspect="Content" ObjectID="_1666022425" r:id="rId13"/>
        </w:object>
      </w:r>
    </w:p>
    <w:p w14:paraId="035A81B2" w14:textId="0B4AFE0A" w:rsidR="005E22D9" w:rsidRDefault="005E22D9" w:rsidP="007F05B8">
      <w:pPr>
        <w:autoSpaceDE w:val="0"/>
        <w:autoSpaceDN w:val="0"/>
        <w:adjustRightInd w:val="0"/>
        <w:spacing w:after="0" w:line="480" w:lineRule="auto"/>
        <w:jc w:val="both"/>
      </w:pPr>
      <w:r>
        <w:t xml:space="preserve">The returns of both indexes are </w:t>
      </w:r>
      <w:r w:rsidR="00523805">
        <w:t xml:space="preserve">perfectly integrated as they are </w:t>
      </w:r>
      <w:r>
        <w:t xml:space="preserve">explained entirely by the </w:t>
      </w:r>
      <w:r w:rsidRPr="00FF7620">
        <w:rPr>
          <w:u w:val="single"/>
        </w:rPr>
        <w:t>same</w:t>
      </w:r>
      <w:r>
        <w:t xml:space="preserve"> underlying systematic factors.  Does this mean they are perfectly correlated?  In general, that answer is no.  Their </w:t>
      </w:r>
      <w:r w:rsidRPr="00DE3183">
        <w:t xml:space="preserve">correlation will be perfect </w:t>
      </w:r>
      <w:r w:rsidRPr="00911EA1">
        <w:rPr>
          <w:u w:val="single"/>
        </w:rPr>
        <w:t>if and only if</w:t>
      </w:r>
      <w:r w:rsidRPr="00DE3183">
        <w:t xml:space="preserve"> for some</w:t>
      </w:r>
      <w:r>
        <w:t xml:space="preserve"> constant of proportionality,</w:t>
      </w:r>
      <w:r w:rsidRPr="00DE3183">
        <w:t xml:space="preserve"> k≠0</w:t>
      </w:r>
      <w:r>
        <w:t xml:space="preserve">, </w:t>
      </w:r>
      <w:r w:rsidRPr="00911EA1">
        <w:rPr>
          <w:position w:val="-14"/>
        </w:rPr>
        <w:object w:dxaOrig="1120" w:dyaOrig="380" w14:anchorId="2090A1C7">
          <v:shape id="_x0000_i1028" type="#_x0000_t75" style="width:56.15pt;height:19.2pt" o:ole="">
            <v:imagedata r:id="rId14" o:title=""/>
          </v:shape>
          <o:OLEObject Type="Embed" ProgID="Equation.DSMT4" ShapeID="_x0000_i1028" DrawAspect="Content" ObjectID="_1666022426" r:id="rId15"/>
        </w:object>
      </w:r>
      <w:r>
        <w:t xml:space="preserve"> for each and every j=1,…K..  For any other set of sensitivity coefficients (</w:t>
      </w:r>
      <w:r w:rsidRPr="00911EA1">
        <w:rPr>
          <w:position w:val="-10"/>
        </w:rPr>
        <w:object w:dxaOrig="380" w:dyaOrig="320" w14:anchorId="679B1F17">
          <v:shape id="_x0000_i1029" type="#_x0000_t75" style="width:19.2pt;height:15.85pt" o:ole="">
            <v:imagedata r:id="rId16" o:title=""/>
          </v:shape>
          <o:OLEObject Type="Embed" ProgID="Equation.DSMT4" ShapeID="_x0000_i1029" DrawAspect="Content" ObjectID="_1666022427" r:id="rId17"/>
        </w:object>
      </w:r>
      <w:r>
        <w:t xml:space="preserve">), the </w:t>
      </w:r>
      <w:r>
        <w:lastRenderedPageBreak/>
        <w:t>correlation will be imperfect.</w:t>
      </w:r>
      <w:r w:rsidRPr="00C25F4C">
        <w:rPr>
          <w:vertAlign w:val="superscript"/>
        </w:rPr>
        <w:footnoteReference w:id="7"/>
      </w:r>
      <w:r>
        <w:t xml:space="preserve">  </w:t>
      </w:r>
      <w:r w:rsidR="00523805">
        <w:t>Although correlation and integration can have similar patterns and implications, c</w:t>
      </w:r>
      <w:r>
        <w:t xml:space="preserve">onceivably, the correlation can be quite low even though both indexes A and B are driven by the same common influences. </w:t>
      </w:r>
    </w:p>
    <w:p w14:paraId="2A4B7AF1" w14:textId="2DE6B8DF" w:rsidR="006D14AE" w:rsidRDefault="005E22D9" w:rsidP="007F05B8">
      <w:pPr>
        <w:autoSpaceDE w:val="0"/>
        <w:autoSpaceDN w:val="0"/>
        <w:adjustRightInd w:val="0"/>
        <w:spacing w:after="0" w:line="480" w:lineRule="auto"/>
        <w:ind w:firstLine="720"/>
        <w:jc w:val="both"/>
      </w:pPr>
      <w:r w:rsidRPr="00DE3183">
        <w:t>Within an asset class</w:t>
      </w:r>
      <w:r>
        <w:t xml:space="preserve"> such as, e.g., U.S. equities</w:t>
      </w:r>
      <w:r w:rsidRPr="00DE3183">
        <w:t xml:space="preserve">, portfolios </w:t>
      </w:r>
      <w:r>
        <w:t>have</w:t>
      </w:r>
      <w:r w:rsidRPr="00DE3183">
        <w:t xml:space="preserve"> similar sensitivities</w:t>
      </w:r>
      <w:r>
        <w:t xml:space="preserve"> to the underlying factors, so correlations are relatively high.  But across asset classes, this is not </w:t>
      </w:r>
      <w:r w:rsidR="004E0C20">
        <w:t xml:space="preserve">necessarily </w:t>
      </w:r>
      <w:r>
        <w:t xml:space="preserve">the case.  </w:t>
      </w:r>
      <w:r w:rsidR="00443284">
        <w:t>Consider</w:t>
      </w:r>
      <w:r>
        <w:t xml:space="preserve"> the example of equities and bonds.  </w:t>
      </w:r>
      <w:r w:rsidRPr="00DE3183">
        <w:t xml:space="preserve">Suppose </w:t>
      </w:r>
      <w:r>
        <w:t xml:space="preserve">one </w:t>
      </w:r>
      <w:r w:rsidRPr="00DE3183">
        <w:t xml:space="preserve">factor is related to shocks in real output and </w:t>
      </w:r>
      <w:r>
        <w:t xml:space="preserve">another </w:t>
      </w:r>
      <w:r w:rsidRPr="00DE3183">
        <w:t>factor</w:t>
      </w:r>
      <w:r>
        <w:t xml:space="preserve"> </w:t>
      </w:r>
      <w:r w:rsidRPr="00DE3183">
        <w:t>is related to shocks in expected inflation</w:t>
      </w:r>
      <w:r>
        <w:t>.  Then a</w:t>
      </w:r>
      <w:r w:rsidRPr="00DE3183">
        <w:t xml:space="preserve"> positive shock in </w:t>
      </w:r>
      <w:r>
        <w:t xml:space="preserve">the first </w:t>
      </w:r>
      <w:r w:rsidRPr="00DE3183">
        <w:t xml:space="preserve">factor would increase </w:t>
      </w:r>
      <w:r>
        <w:t xml:space="preserve">equity </w:t>
      </w:r>
      <w:r w:rsidRPr="00DE3183">
        <w:t xml:space="preserve">returns </w:t>
      </w:r>
      <w:r>
        <w:t xml:space="preserve">but </w:t>
      </w:r>
      <w:r w:rsidRPr="00DE3183">
        <w:t xml:space="preserve">not affect </w:t>
      </w:r>
      <w:r>
        <w:t xml:space="preserve">bonds all that </w:t>
      </w:r>
      <w:r w:rsidRPr="00DE3183">
        <w:t>much</w:t>
      </w:r>
      <w:r>
        <w:t xml:space="preserve">.  Conversely, a reduction (a positive shock) in expected inflation would drive up nominal bond prices but have a more attenuated impact on equities.  The result over many periods, when there are shocks in both real output and expected inflation, </w:t>
      </w:r>
      <w:r w:rsidR="007272ED">
        <w:t xml:space="preserve">there </w:t>
      </w:r>
      <w:r>
        <w:t xml:space="preserve">is a relatively low correlation between stocks and bonds.  </w:t>
      </w:r>
      <w:r w:rsidR="00521CB8">
        <w:t>This is</w:t>
      </w:r>
      <w:r>
        <w:t xml:space="preserve"> an illustrative example and not meant to imply that equities and bonds are so divergent</w:t>
      </w:r>
      <w:r w:rsidR="00443284">
        <w:t xml:space="preserve"> in</w:t>
      </w:r>
      <w:r>
        <w:t xml:space="preserve"> sensitiv</w:t>
      </w:r>
      <w:r w:rsidR="00443284">
        <w:t>ity</w:t>
      </w:r>
      <w:r>
        <w:t xml:space="preserve"> </w:t>
      </w:r>
      <w:r w:rsidR="00443284">
        <w:t>to</w:t>
      </w:r>
      <w:r>
        <w:t xml:space="preserve"> the true underlying factors.  There could be other systematic factors, such as investor confidence, that drive them in the same direction.</w:t>
      </w:r>
      <w:r w:rsidR="0017603B">
        <w:rPr>
          <w:rStyle w:val="FootnoteReference"/>
        </w:rPr>
        <w:footnoteReference w:id="8"/>
      </w:r>
      <w:r w:rsidR="006D14AE">
        <w:t xml:space="preserve">  </w:t>
      </w:r>
      <w:r>
        <w:t>In other words, l</w:t>
      </w:r>
      <w:r w:rsidRPr="00DE3183">
        <w:t xml:space="preserve">ow correlation </w:t>
      </w:r>
      <w:r w:rsidRPr="00D87285">
        <w:t>between bundles of assets</w:t>
      </w:r>
      <w:r w:rsidRPr="00DE3183">
        <w:t xml:space="preserve"> fails to properly measure the potential benefits of diversification</w:t>
      </w:r>
      <w:r>
        <w:t>.</w:t>
      </w:r>
      <w:r w:rsidR="006D14AE">
        <w:rPr>
          <w:rStyle w:val="FootnoteReference"/>
        </w:rPr>
        <w:footnoteReference w:id="9"/>
      </w:r>
      <w:r>
        <w:t xml:space="preserve"> </w:t>
      </w:r>
    </w:p>
    <w:p w14:paraId="5AD5D16B" w14:textId="355D4AB4" w:rsidR="005E22D9" w:rsidRPr="00DE3183" w:rsidRDefault="00514C58" w:rsidP="005222AA">
      <w:pPr>
        <w:autoSpaceDE w:val="0"/>
        <w:autoSpaceDN w:val="0"/>
        <w:adjustRightInd w:val="0"/>
        <w:spacing w:after="0" w:line="480" w:lineRule="auto"/>
        <w:ind w:firstLine="720"/>
        <w:jc w:val="both"/>
      </w:pPr>
      <w:r>
        <w:lastRenderedPageBreak/>
        <w:t>Generally, the literature focuses on modelling correlation rather than explicitly assessing diversification.  Papers</w:t>
      </w:r>
      <w:r w:rsidRPr="00514C58">
        <w:t xml:space="preserve"> </w:t>
      </w:r>
      <w:r w:rsidR="00C23AC6">
        <w:t>that</w:t>
      </w:r>
      <w:r w:rsidRPr="00514C58">
        <w:t xml:space="preserve"> have directly examined diversification </w:t>
      </w:r>
      <w:r>
        <w:t xml:space="preserve">and </w:t>
      </w:r>
      <w:r w:rsidR="00C23AC6">
        <w:t>are</w:t>
      </w:r>
      <w:r>
        <w:t xml:space="preserve"> complementary to our </w:t>
      </w:r>
      <w:r w:rsidR="004179D1">
        <w:t>analysis</w:t>
      </w:r>
      <w:r>
        <w:t xml:space="preserve"> </w:t>
      </w:r>
      <w:r w:rsidRPr="00514C58">
        <w:t xml:space="preserve">include </w:t>
      </w:r>
      <w:proofErr w:type="spellStart"/>
      <w:r w:rsidRPr="00514C58">
        <w:t>Christoferson</w:t>
      </w:r>
      <w:proofErr w:type="spellEnd"/>
      <w:r w:rsidRPr="00514C58">
        <w:t xml:space="preserve"> et al (2012; 2017). The</w:t>
      </w:r>
      <w:r w:rsidR="004179D1">
        <w:t>re the authors</w:t>
      </w:r>
      <w:r w:rsidRPr="00514C58">
        <w:t xml:space="preserve"> present a dynamic </w:t>
      </w:r>
      <w:r w:rsidR="004179D1">
        <w:t xml:space="preserve">diversification </w:t>
      </w:r>
      <w:r w:rsidRPr="00514C58">
        <w:t xml:space="preserve">measure based on </w:t>
      </w:r>
      <w:r w:rsidR="00C23AC6">
        <w:t>e</w:t>
      </w:r>
      <w:r w:rsidRPr="00514C58">
        <w:t xml:space="preserve">xpected </w:t>
      </w:r>
      <w:r w:rsidR="00C23AC6">
        <w:t>s</w:t>
      </w:r>
      <w:r w:rsidRPr="00514C58">
        <w:t>hortfall and tail values.  Unlike their measure</w:t>
      </w:r>
      <w:r w:rsidR="004179D1">
        <w:t>, our diversification indexes</w:t>
      </w:r>
      <w:r w:rsidRPr="00514C58">
        <w:t xml:space="preserve"> do not require a specific portfolio allocation </w:t>
      </w:r>
      <w:r w:rsidR="00C23AC6">
        <w:t>as well as</w:t>
      </w:r>
      <w:r w:rsidRPr="00514C58">
        <w:t xml:space="preserve"> estimation of the full covariance matrix.</w:t>
      </w:r>
      <w:r>
        <w:t xml:space="preserve">  </w:t>
      </w:r>
      <w:r w:rsidR="00443284">
        <w:t xml:space="preserve">Given the above </w:t>
      </w:r>
      <w:r w:rsidR="00E85A86">
        <w:t>methodology</w:t>
      </w:r>
      <w:r w:rsidR="00443284">
        <w:t xml:space="preserve">, we </w:t>
      </w:r>
      <w:r w:rsidR="00E85A86">
        <w:t>t</w:t>
      </w:r>
      <w:r w:rsidR="00443284">
        <w:t xml:space="preserve">urn </w:t>
      </w:r>
      <w:r w:rsidR="00E85A86">
        <w:t xml:space="preserve">now </w:t>
      </w:r>
      <w:r w:rsidR="00443284">
        <w:t>to computation of the new diversification indices.</w:t>
      </w:r>
    </w:p>
    <w:p w14:paraId="2CB62455" w14:textId="448C08FC" w:rsidR="00795849" w:rsidRPr="00FC3033" w:rsidRDefault="00795849" w:rsidP="00FC3033">
      <w:pPr>
        <w:pStyle w:val="ListParagraph"/>
        <w:numPr>
          <w:ilvl w:val="0"/>
          <w:numId w:val="3"/>
        </w:numPr>
        <w:spacing w:before="240" w:after="0" w:line="480" w:lineRule="auto"/>
        <w:jc w:val="both"/>
        <w:rPr>
          <w:rFonts w:eastAsia="Cambria" w:cs="Cambria"/>
          <w:b/>
        </w:rPr>
      </w:pPr>
      <w:r w:rsidRPr="00FC3033">
        <w:rPr>
          <w:rFonts w:eastAsia="Cambria" w:cs="Cambria"/>
          <w:b/>
        </w:rPr>
        <w:t xml:space="preserve">Data and </w:t>
      </w:r>
      <w:r w:rsidR="00EC6972">
        <w:rPr>
          <w:rFonts w:eastAsia="Cambria" w:cs="Cambria"/>
          <w:b/>
        </w:rPr>
        <w:t xml:space="preserve">Model </w:t>
      </w:r>
      <w:r w:rsidRPr="00FC3033">
        <w:rPr>
          <w:rFonts w:eastAsia="Cambria" w:cs="Cambria"/>
          <w:b/>
        </w:rPr>
        <w:t xml:space="preserve">Specification </w:t>
      </w:r>
    </w:p>
    <w:p w14:paraId="2BC82B0A" w14:textId="103E7DFC" w:rsidR="002C3CC6" w:rsidRDefault="003B061D" w:rsidP="00BB44A4">
      <w:pPr>
        <w:spacing w:after="0" w:line="480" w:lineRule="auto"/>
        <w:rPr>
          <w:rFonts w:eastAsia="Times New Roman" w:cs="Cambria"/>
          <w:b/>
          <w:bCs/>
          <w:color w:val="000000"/>
          <w:lang w:eastAsia="en-IE"/>
        </w:rPr>
      </w:pPr>
      <w:r>
        <w:rPr>
          <w:rFonts w:eastAsia="Times New Roman" w:cs="Cambria"/>
          <w:color w:val="000000"/>
          <w:lang w:eastAsia="en-IE"/>
        </w:rPr>
        <w:t>For each available country, our</w:t>
      </w:r>
      <w:r w:rsidR="00795849" w:rsidRPr="005B5375">
        <w:rPr>
          <w:rFonts w:eastAsia="Times New Roman" w:cs="Cambria"/>
          <w:color w:val="000000"/>
          <w:lang w:eastAsia="en-IE"/>
        </w:rPr>
        <w:t xml:space="preserve"> diversification index is </w:t>
      </w:r>
      <w:r w:rsidR="00AF4CAC">
        <w:rPr>
          <w:rFonts w:eastAsia="Times New Roman" w:cs="Cambria"/>
          <w:color w:val="000000"/>
          <w:lang w:eastAsia="en-IE"/>
        </w:rPr>
        <w:t xml:space="preserve">computed </w:t>
      </w:r>
      <w:r>
        <w:rPr>
          <w:rFonts w:eastAsia="Times New Roman" w:cs="Cambria"/>
          <w:color w:val="000000"/>
          <w:lang w:eastAsia="en-IE"/>
        </w:rPr>
        <w:t>from</w:t>
      </w:r>
      <w:r w:rsidR="00795849" w:rsidRPr="005B5375">
        <w:rPr>
          <w:rFonts w:eastAsia="Times New Roman" w:cs="Cambria"/>
          <w:color w:val="000000"/>
          <w:lang w:eastAsia="en-IE"/>
        </w:rPr>
        <w:t xml:space="preserve"> the average R-square </w:t>
      </w:r>
      <w:r>
        <w:rPr>
          <w:rFonts w:eastAsia="Times New Roman" w:cs="Cambria"/>
          <w:color w:val="000000"/>
          <w:lang w:eastAsia="en-IE"/>
        </w:rPr>
        <w:t>in a</w:t>
      </w:r>
      <w:r w:rsidR="00795849" w:rsidRPr="005B5375">
        <w:rPr>
          <w:rFonts w:eastAsia="Times New Roman" w:cs="Cambria"/>
          <w:color w:val="000000"/>
          <w:lang w:eastAsia="en-IE"/>
        </w:rPr>
        <w:t xml:space="preserve"> multi-factor asset return</w:t>
      </w:r>
      <w:r w:rsidR="005B5375" w:rsidRPr="005B5375">
        <w:rPr>
          <w:rFonts w:eastAsia="Times New Roman" w:cs="Cambria"/>
          <w:color w:val="000000"/>
          <w:lang w:eastAsia="en-IE"/>
        </w:rPr>
        <w:t xml:space="preserve"> </w:t>
      </w:r>
      <w:r w:rsidR="00795849" w:rsidRPr="005B5375">
        <w:rPr>
          <w:rFonts w:eastAsia="Times New Roman" w:cs="Cambria"/>
          <w:color w:val="000000"/>
          <w:lang w:eastAsia="en-IE"/>
        </w:rPr>
        <w:t xml:space="preserve">model fitted using daily data </w:t>
      </w:r>
      <w:r>
        <w:rPr>
          <w:rFonts w:eastAsia="Times New Roman" w:cs="Cambria"/>
          <w:color w:val="000000"/>
          <w:lang w:eastAsia="en-IE"/>
        </w:rPr>
        <w:t>within</w:t>
      </w:r>
      <w:r w:rsidR="00795849" w:rsidRPr="005B5375">
        <w:rPr>
          <w:rFonts w:eastAsia="Times New Roman" w:cs="Cambria"/>
          <w:color w:val="000000"/>
          <w:lang w:eastAsia="en-IE"/>
        </w:rPr>
        <w:t xml:space="preserve"> each year between 1986 and 2012 </w:t>
      </w:r>
      <w:r>
        <w:rPr>
          <w:rFonts w:eastAsia="Times New Roman" w:cs="Cambria"/>
          <w:color w:val="000000"/>
          <w:lang w:eastAsia="en-IE"/>
        </w:rPr>
        <w:t>inclusive</w:t>
      </w:r>
      <w:r w:rsidR="00795849" w:rsidRPr="005B5375">
        <w:rPr>
          <w:rFonts w:eastAsia="Times New Roman" w:cs="Cambria"/>
          <w:color w:val="000000"/>
          <w:lang w:eastAsia="en-IE"/>
        </w:rPr>
        <w:t xml:space="preserve">.   The global factors are 16 principal components obtained from </w:t>
      </w:r>
      <w:r w:rsidR="004724B0">
        <w:rPr>
          <w:rFonts w:eastAsia="Times New Roman" w:cs="Cambria"/>
          <w:color w:val="000000"/>
          <w:lang w:eastAsia="en-IE"/>
        </w:rPr>
        <w:t>existing</w:t>
      </w:r>
      <w:r w:rsidR="00795849" w:rsidRPr="005B5375">
        <w:rPr>
          <w:rFonts w:eastAsia="Times New Roman" w:cs="Cambria"/>
          <w:color w:val="000000"/>
          <w:lang w:eastAsia="en-IE"/>
        </w:rPr>
        <w:t xml:space="preserve"> markets</w:t>
      </w:r>
      <w:r w:rsidR="004724B0">
        <w:rPr>
          <w:rFonts w:eastAsia="Times New Roman" w:cs="Cambria"/>
          <w:color w:val="000000"/>
          <w:lang w:eastAsia="en-IE"/>
        </w:rPr>
        <w:t xml:space="preserve"> </w:t>
      </w:r>
      <w:r w:rsidR="009B7658">
        <w:rPr>
          <w:rFonts w:eastAsia="Times New Roman" w:cs="Cambria"/>
          <w:color w:val="000000"/>
          <w:lang w:eastAsia="en-IE"/>
        </w:rPr>
        <w:t xml:space="preserve">pre-1986 </w:t>
      </w:r>
      <w:r w:rsidR="004724B0">
        <w:rPr>
          <w:rFonts w:eastAsia="Times New Roman" w:cs="Cambria"/>
          <w:color w:val="000000"/>
          <w:lang w:eastAsia="en-IE"/>
        </w:rPr>
        <w:t>but updated each calendar year</w:t>
      </w:r>
      <w:r w:rsidR="00795849" w:rsidRPr="005B5375">
        <w:rPr>
          <w:rFonts w:eastAsia="Times New Roman" w:cs="Cambria"/>
          <w:color w:val="000000"/>
          <w:lang w:eastAsia="en-IE"/>
        </w:rPr>
        <w:t xml:space="preserve">. </w:t>
      </w:r>
      <w:r w:rsidR="005B5375" w:rsidRPr="005B5375">
        <w:rPr>
          <w:rFonts w:eastAsia="Times New Roman" w:cs="Cambria"/>
          <w:color w:val="000000"/>
          <w:lang w:eastAsia="en-IE"/>
        </w:rPr>
        <w:t xml:space="preserve"> </w:t>
      </w:r>
    </w:p>
    <w:p w14:paraId="2CD8A2D7" w14:textId="2BD8808B" w:rsidR="006C200C" w:rsidRDefault="006C200C" w:rsidP="00BB44A4">
      <w:pPr>
        <w:pStyle w:val="ListParagraph"/>
        <w:numPr>
          <w:ilvl w:val="1"/>
          <w:numId w:val="5"/>
        </w:numPr>
        <w:spacing w:after="0" w:line="480" w:lineRule="auto"/>
        <w:jc w:val="both"/>
        <w:rPr>
          <w:rFonts w:eastAsia="Times New Roman" w:cs="Cambria"/>
          <w:b/>
          <w:bCs/>
          <w:color w:val="000000"/>
          <w:lang w:eastAsia="en-IE"/>
        </w:rPr>
      </w:pPr>
      <w:r w:rsidRPr="006C200C">
        <w:rPr>
          <w:rFonts w:eastAsia="Times New Roman" w:cs="Cambria"/>
          <w:b/>
          <w:bCs/>
          <w:color w:val="000000"/>
          <w:lang w:eastAsia="en-IE"/>
        </w:rPr>
        <w:t>Data</w:t>
      </w:r>
      <w:r w:rsidRPr="006C200C">
        <w:rPr>
          <w:rFonts w:eastAsia="Times New Roman" w:cs="Cambria"/>
          <w:b/>
          <w:bCs/>
          <w:color w:val="000000"/>
          <w:lang w:eastAsia="en-IE"/>
        </w:rPr>
        <w:tab/>
      </w:r>
    </w:p>
    <w:p w14:paraId="0DEBD94A" w14:textId="1C6D8640" w:rsidR="006C200C" w:rsidRDefault="00473BBF" w:rsidP="00DE413D">
      <w:pPr>
        <w:spacing w:after="0" w:line="480" w:lineRule="auto"/>
        <w:ind w:firstLine="720"/>
        <w:jc w:val="both"/>
      </w:pPr>
      <w:r>
        <w:t xml:space="preserve">The </w:t>
      </w:r>
      <w:r w:rsidR="00116357">
        <w:t>a</w:t>
      </w:r>
      <w:r>
        <w:t xml:space="preserve">nalysis </w:t>
      </w:r>
      <w:r w:rsidR="00116357">
        <w:t>below employs</w:t>
      </w:r>
      <w:r>
        <w:t xml:space="preserve"> </w:t>
      </w:r>
      <w:r w:rsidR="00116357">
        <w:t xml:space="preserve">index </w:t>
      </w:r>
      <w:r w:rsidR="000F665B">
        <w:t xml:space="preserve">return </w:t>
      </w:r>
      <w:r>
        <w:t xml:space="preserve">data </w:t>
      </w:r>
      <w:r w:rsidR="00116357">
        <w:t>for</w:t>
      </w:r>
      <w:r>
        <w:t xml:space="preserve"> equity, bond, and real estate </w:t>
      </w:r>
      <w:r w:rsidR="007A1743">
        <w:t>markets</w:t>
      </w:r>
      <w:r w:rsidR="00116357">
        <w:t xml:space="preserve"> </w:t>
      </w:r>
      <w:r w:rsidR="006C200C">
        <w:t xml:space="preserve">from </w:t>
      </w:r>
      <w:r>
        <w:t xml:space="preserve">Thompson Reuters </w:t>
      </w:r>
      <w:r w:rsidR="006C200C">
        <w:t>DataStream</w:t>
      </w:r>
      <w:r w:rsidR="002A44F1">
        <w:sym w:font="Symbol" w:char="F0D3"/>
      </w:r>
      <w:r w:rsidR="006C200C">
        <w:t xml:space="preserve">. </w:t>
      </w:r>
      <w:r w:rsidR="00524C58">
        <w:t xml:space="preserve"> </w:t>
      </w:r>
      <w:r w:rsidR="006C200C">
        <w:t xml:space="preserve"> </w:t>
      </w:r>
      <w:r w:rsidR="00116357">
        <w:t>Data</w:t>
      </w:r>
      <w:r w:rsidR="002A44F1">
        <w:t>S</w:t>
      </w:r>
      <w:r w:rsidR="00116357">
        <w:t>tream</w:t>
      </w:r>
      <w:r w:rsidR="006C200C">
        <w:t xml:space="preserve"> provides the most comprehensive set of </w:t>
      </w:r>
      <w:r w:rsidR="007E1E3A">
        <w:t xml:space="preserve">country-specific </w:t>
      </w:r>
      <w:r w:rsidR="0065388F">
        <w:t>indexes</w:t>
      </w:r>
      <w:r w:rsidR="006C200C">
        <w:t xml:space="preserve"> </w:t>
      </w:r>
      <w:r w:rsidR="007E1E3A">
        <w:t xml:space="preserve">available for </w:t>
      </w:r>
      <w:r w:rsidR="006C200C">
        <w:t xml:space="preserve">the three asset classes. </w:t>
      </w:r>
      <w:r w:rsidR="00DE413D">
        <w:rPr>
          <w:rStyle w:val="FootnoteReference"/>
        </w:rPr>
        <w:footnoteReference w:id="10"/>
      </w:r>
      <w:r w:rsidR="006C200C">
        <w:t xml:space="preserve"> </w:t>
      </w:r>
      <w:r w:rsidR="004673DF">
        <w:t>The d</w:t>
      </w:r>
      <w:r w:rsidR="006C200C">
        <w:t xml:space="preserve">aily data </w:t>
      </w:r>
      <w:r w:rsidR="003B061D">
        <w:t xml:space="preserve">are </w:t>
      </w:r>
      <w:r w:rsidR="00116357">
        <w:t xml:space="preserve">US dollar denominated and </w:t>
      </w:r>
      <w:r w:rsidR="006C200C">
        <w:lastRenderedPageBreak/>
        <w:t>collected for equity</w:t>
      </w:r>
      <w:r w:rsidR="00116357">
        <w:t>,</w:t>
      </w:r>
      <w:r w:rsidR="006C200C">
        <w:t xml:space="preserve"> fi</w:t>
      </w:r>
      <w:r w:rsidR="006C200C" w:rsidRPr="005B0C52">
        <w:t>ve-year sovereign bond</w:t>
      </w:r>
      <w:r w:rsidR="008A658E">
        <w:t>s</w:t>
      </w:r>
      <w:r w:rsidR="00116357">
        <w:t>,</w:t>
      </w:r>
      <w:r w:rsidR="006C200C" w:rsidRPr="005B0C52">
        <w:t xml:space="preserve"> </w:t>
      </w:r>
      <w:r w:rsidR="006C200C">
        <w:t>and REIT</w:t>
      </w:r>
      <w:r w:rsidR="00CA63B5">
        <w:t xml:space="preserve"> </w:t>
      </w:r>
      <w:r w:rsidR="0065388F">
        <w:t>indexes</w:t>
      </w:r>
      <w:r w:rsidR="006C200C">
        <w:t>.</w:t>
      </w:r>
      <w:r w:rsidR="00116357">
        <w:rPr>
          <w:rStyle w:val="FootnoteReference"/>
        </w:rPr>
        <w:footnoteReference w:id="11"/>
      </w:r>
      <w:r w:rsidR="006C200C">
        <w:t xml:space="preserve">  We choose the index in each market/asset class that </w:t>
      </w:r>
      <w:r w:rsidR="007A1743">
        <w:t>i</w:t>
      </w:r>
      <w:r w:rsidR="006C200C">
        <w:t>s the most comprehensive in term</w:t>
      </w:r>
      <w:r w:rsidR="000F665B">
        <w:t>s</w:t>
      </w:r>
      <w:r w:rsidR="006C200C">
        <w:t xml:space="preserve"> of coverage</w:t>
      </w:r>
      <w:r w:rsidR="000F665B">
        <w:t xml:space="preserve">. </w:t>
      </w:r>
      <w:r w:rsidR="004A3E8E">
        <w:t xml:space="preserve">We include both active and inactive assets to avoid survivorship bias.  </w:t>
      </w:r>
    </w:p>
    <w:p w14:paraId="2BFBB4CA" w14:textId="26112E80" w:rsidR="006C200C" w:rsidRDefault="003B061D" w:rsidP="009B7658">
      <w:pPr>
        <w:spacing w:after="0" w:line="480" w:lineRule="auto"/>
        <w:ind w:firstLine="720"/>
        <w:jc w:val="both"/>
      </w:pPr>
      <w:r>
        <w:t xml:space="preserve">Returns are defined as </w:t>
      </w:r>
      <w:r w:rsidR="006C200C">
        <w:t>difference</w:t>
      </w:r>
      <w:r>
        <w:t xml:space="preserve">s in log </w:t>
      </w:r>
      <w:r w:rsidR="006C200C">
        <w:t>index level</w:t>
      </w:r>
      <w:r w:rsidR="00636713">
        <w:t>s</w:t>
      </w:r>
      <w:r w:rsidR="006C200C">
        <w:t xml:space="preserve">.  Index levels are removed </w:t>
      </w:r>
      <w:r w:rsidR="00116357">
        <w:t xml:space="preserve">from the dataset </w:t>
      </w:r>
      <w:r w:rsidR="006C200C">
        <w:t>if they are identical to the previous day (</w:t>
      </w:r>
      <w:proofErr w:type="spellStart"/>
      <w:r w:rsidR="006C200C">
        <w:t>Datastream</w:t>
      </w:r>
      <w:proofErr w:type="spellEnd"/>
      <w:r w:rsidR="006C200C">
        <w:t xml:space="preserve"> records an index value on holidays when markets are closed) or </w:t>
      </w:r>
      <w:r w:rsidR="007A1743">
        <w:t xml:space="preserve">in those cases </w:t>
      </w:r>
      <w:r w:rsidR="006C200C">
        <w:t xml:space="preserve">where index values are not 1 day apart from Monday through Thursday and 3 days apart from Friday through Monday.  Some markets and asset classes are more liquid than others. </w:t>
      </w:r>
      <w:r w:rsidR="00636713">
        <w:t xml:space="preserve"> </w:t>
      </w:r>
      <w:r w:rsidR="006C200C">
        <w:t xml:space="preserve">To </w:t>
      </w:r>
      <w:r w:rsidR="00524C58">
        <w:t>foster estimation,</w:t>
      </w:r>
      <w:r w:rsidR="006C200C">
        <w:t xml:space="preserve"> we require at least </w:t>
      </w:r>
      <w:r w:rsidR="00330247">
        <w:t>50</w:t>
      </w:r>
      <w:r w:rsidR="006C200C">
        <w:t xml:space="preserve"> valid returns per year.  This </w:t>
      </w:r>
      <w:r w:rsidR="009B7658">
        <w:t>sometimes</w:t>
      </w:r>
      <w:r w:rsidR="006C200C">
        <w:t xml:space="preserve"> affects the estimation of </w:t>
      </w:r>
      <w:r w:rsidR="00636713">
        <w:t xml:space="preserve">the </w:t>
      </w:r>
      <w:r w:rsidR="006C200C">
        <w:t>diversification index</w:t>
      </w:r>
      <w:r w:rsidR="007A1743">
        <w:t xml:space="preserve">, </w:t>
      </w:r>
      <w:r w:rsidR="006C200C">
        <w:t xml:space="preserve">especially </w:t>
      </w:r>
      <w:r w:rsidR="007A1743">
        <w:t>for</w:t>
      </w:r>
      <w:r w:rsidR="006C200C">
        <w:t xml:space="preserve"> small markets</w:t>
      </w:r>
      <w:r w:rsidR="00CC677A">
        <w:t xml:space="preserve">, where on a particular year they </w:t>
      </w:r>
      <w:r w:rsidR="00894F37">
        <w:t>may</w:t>
      </w:r>
      <w:r w:rsidR="00CC677A">
        <w:t xml:space="preserve"> not meet this </w:t>
      </w:r>
      <w:r w:rsidR="00530468">
        <w:t>benchmark</w:t>
      </w:r>
      <w:r w:rsidR="006C200C">
        <w:t xml:space="preserve">.  </w:t>
      </w:r>
      <w:r w:rsidR="006C6666">
        <w:t>For example,</w:t>
      </w:r>
      <w:r w:rsidR="006C200C">
        <w:t xml:space="preserve"> a diversification index in a year with at least fifty returns</w:t>
      </w:r>
      <w:r w:rsidR="006C6666">
        <w:t xml:space="preserve"> might be</w:t>
      </w:r>
      <w:r w:rsidR="006C200C">
        <w:t xml:space="preserve"> followed by a year </w:t>
      </w:r>
      <w:r w:rsidR="006C6666">
        <w:t>with no index calculated because of insufficient (&lt;50) daily returns</w:t>
      </w:r>
      <w:r w:rsidR="006C200C">
        <w:t>.</w:t>
      </w:r>
    </w:p>
    <w:p w14:paraId="7253791B" w14:textId="77777777" w:rsidR="00795849" w:rsidRPr="00424234" w:rsidRDefault="00795849" w:rsidP="00564A7B">
      <w:pPr>
        <w:numPr>
          <w:ilvl w:val="1"/>
          <w:numId w:val="5"/>
        </w:numPr>
        <w:spacing w:after="0" w:line="480" w:lineRule="auto"/>
        <w:contextualSpacing/>
        <w:jc w:val="both"/>
        <w:rPr>
          <w:rFonts w:eastAsia="Cambria" w:cs="Cambria"/>
          <w:b/>
        </w:rPr>
      </w:pPr>
      <w:r w:rsidRPr="00424234">
        <w:rPr>
          <w:rFonts w:eastAsia="Cambria" w:cs="Cambria"/>
          <w:b/>
        </w:rPr>
        <w:t>Estimating Global Factors with Principal Components</w:t>
      </w:r>
    </w:p>
    <w:p w14:paraId="0759E4D7" w14:textId="0C8880F9" w:rsidR="0005511B" w:rsidRDefault="00AF4CAC" w:rsidP="004673DF">
      <w:pPr>
        <w:spacing w:after="0" w:line="480" w:lineRule="auto"/>
        <w:ind w:firstLine="720"/>
        <w:contextualSpacing/>
        <w:jc w:val="both"/>
        <w:rPr>
          <w:rFonts w:eastAsia="Cambria" w:cs="Cambria"/>
          <w:bCs/>
        </w:rPr>
      </w:pPr>
      <w:r>
        <w:rPr>
          <w:rFonts w:eastAsia="Cambria" w:cs="Cambria"/>
          <w:bCs/>
        </w:rPr>
        <w:t xml:space="preserve">The principal components analysis </w:t>
      </w:r>
      <w:r w:rsidR="001C7309">
        <w:rPr>
          <w:rFonts w:eastAsia="Cambria" w:cs="Cambria"/>
          <w:bCs/>
        </w:rPr>
        <w:t xml:space="preserve">employs data from </w:t>
      </w:r>
      <w:proofErr w:type="spellStart"/>
      <w:r w:rsidR="001C7309">
        <w:rPr>
          <w:rFonts w:eastAsia="Cambria" w:cs="Cambria"/>
          <w:bCs/>
        </w:rPr>
        <w:t>Datastream</w:t>
      </w:r>
      <w:proofErr w:type="spellEnd"/>
      <w:r w:rsidR="001C7309">
        <w:rPr>
          <w:rFonts w:eastAsia="Cambria" w:cs="Cambria"/>
          <w:bCs/>
        </w:rPr>
        <w:t xml:space="preserve"> </w:t>
      </w:r>
      <w:r>
        <w:rPr>
          <w:rFonts w:eastAsia="Cambria" w:cs="Cambria"/>
          <w:bCs/>
        </w:rPr>
        <w:t xml:space="preserve">markets that had availability prior to 1986.  The use of pre-1986 </w:t>
      </w:r>
      <w:r w:rsidR="00524C58">
        <w:rPr>
          <w:rFonts w:eastAsia="Cambria" w:cs="Cambria"/>
          <w:bCs/>
        </w:rPr>
        <w:t xml:space="preserve">existing markets </w:t>
      </w:r>
      <w:r>
        <w:rPr>
          <w:rFonts w:eastAsia="Cambria" w:cs="Cambria"/>
          <w:bCs/>
        </w:rPr>
        <w:t>enables estimat</w:t>
      </w:r>
      <w:r w:rsidR="0005511B">
        <w:rPr>
          <w:rFonts w:eastAsia="Cambria" w:cs="Cambria"/>
          <w:bCs/>
        </w:rPr>
        <w:t>ion of</w:t>
      </w:r>
      <w:r>
        <w:rPr>
          <w:rFonts w:eastAsia="Cambria" w:cs="Cambria"/>
          <w:bCs/>
        </w:rPr>
        <w:t xml:space="preserve"> common factors </w:t>
      </w:r>
      <w:r w:rsidR="00894F37">
        <w:rPr>
          <w:rFonts w:eastAsia="Cambria" w:cs="Cambria"/>
          <w:bCs/>
        </w:rPr>
        <w:t xml:space="preserve">for the combined </w:t>
      </w:r>
      <w:r w:rsidR="0005511B">
        <w:rPr>
          <w:rFonts w:eastAsia="Cambria" w:cs="Cambria"/>
          <w:bCs/>
        </w:rPr>
        <w:t xml:space="preserve">three asset </w:t>
      </w:r>
      <w:r w:rsidR="00524C58">
        <w:rPr>
          <w:rFonts w:eastAsia="Cambria" w:cs="Cambria"/>
          <w:bCs/>
        </w:rPr>
        <w:t xml:space="preserve">classes, </w:t>
      </w:r>
      <w:r>
        <w:rPr>
          <w:rFonts w:eastAsia="Cambria" w:cs="Cambria"/>
          <w:bCs/>
        </w:rPr>
        <w:t>equity, debt, and real estate</w:t>
      </w:r>
      <w:r w:rsidR="00524C58">
        <w:rPr>
          <w:rFonts w:eastAsia="Cambria" w:cs="Cambria"/>
          <w:bCs/>
        </w:rPr>
        <w:t xml:space="preserve"> and </w:t>
      </w:r>
      <w:r w:rsidR="004724B0">
        <w:rPr>
          <w:rFonts w:eastAsia="Cambria" w:cs="Cambria"/>
          <w:bCs/>
        </w:rPr>
        <w:t>23</w:t>
      </w:r>
      <w:r w:rsidR="00524C58">
        <w:rPr>
          <w:rFonts w:eastAsia="Cambria" w:cs="Cambria"/>
          <w:bCs/>
        </w:rPr>
        <w:t xml:space="preserve"> countries, a total of </w:t>
      </w:r>
      <w:r w:rsidR="0005511B">
        <w:rPr>
          <w:rFonts w:eastAsia="Cambria" w:cs="Cambria"/>
          <w:bCs/>
        </w:rPr>
        <w:t>40 dollar</w:t>
      </w:r>
      <w:r w:rsidR="00524C58">
        <w:rPr>
          <w:rFonts w:eastAsia="Cambria" w:cs="Cambria"/>
          <w:bCs/>
        </w:rPr>
        <w:t>-</w:t>
      </w:r>
      <w:r w:rsidR="0005511B">
        <w:rPr>
          <w:rFonts w:eastAsia="Cambria" w:cs="Cambria"/>
          <w:bCs/>
        </w:rPr>
        <w:t xml:space="preserve">denominated </w:t>
      </w:r>
      <w:r w:rsidR="00524C58">
        <w:rPr>
          <w:rFonts w:eastAsia="Cambria" w:cs="Cambria"/>
          <w:bCs/>
        </w:rPr>
        <w:t xml:space="preserve">global </w:t>
      </w:r>
      <w:r w:rsidR="0005511B">
        <w:rPr>
          <w:rFonts w:eastAsia="Cambria" w:cs="Cambria"/>
          <w:bCs/>
        </w:rPr>
        <w:t xml:space="preserve">market </w:t>
      </w:r>
      <w:r w:rsidR="0065388F">
        <w:rPr>
          <w:rFonts w:eastAsia="Cambria" w:cs="Cambria"/>
          <w:bCs/>
        </w:rPr>
        <w:t>indexes</w:t>
      </w:r>
      <w:r w:rsidR="00524C58">
        <w:rPr>
          <w:rFonts w:eastAsia="Cambria" w:cs="Cambria"/>
          <w:bCs/>
        </w:rPr>
        <w:t>,</w:t>
      </w:r>
      <w:r w:rsidR="0005511B">
        <w:rPr>
          <w:rStyle w:val="FootnoteReference"/>
          <w:rFonts w:eastAsia="Cambria" w:cs="Cambria"/>
          <w:bCs/>
        </w:rPr>
        <w:footnoteReference w:id="12"/>
      </w:r>
      <w:r w:rsidR="004724B0">
        <w:rPr>
          <w:rFonts w:eastAsia="Cambria" w:cs="Cambria"/>
          <w:bCs/>
        </w:rPr>
        <w:t xml:space="preserve">  (Bond and real estate indexes are not available for all 23 countries.)</w:t>
      </w:r>
      <w:r w:rsidR="00AF01BA">
        <w:rPr>
          <w:rFonts w:eastAsia="Cambria" w:cs="Cambria"/>
          <w:bCs/>
        </w:rPr>
        <w:t xml:space="preserve">  For each calendar year from 1986 – 2012, a covariance matrix </w:t>
      </w:r>
      <w:r w:rsidR="006C6666">
        <w:rPr>
          <w:rFonts w:eastAsia="Cambria" w:cs="Cambria"/>
          <w:bCs/>
        </w:rPr>
        <w:t xml:space="preserve">is </w:t>
      </w:r>
      <w:r w:rsidR="00AF01BA">
        <w:rPr>
          <w:rFonts w:eastAsia="Cambria" w:cs="Cambria"/>
          <w:bCs/>
        </w:rPr>
        <w:t xml:space="preserve">computed using returns from the 40 equity, bond, and REIT </w:t>
      </w:r>
      <w:r w:rsidR="0065388F">
        <w:rPr>
          <w:rFonts w:eastAsia="Cambria" w:cs="Cambria"/>
          <w:bCs/>
        </w:rPr>
        <w:t>indexes</w:t>
      </w:r>
      <w:r w:rsidR="00AF01BA">
        <w:rPr>
          <w:rFonts w:eastAsia="Cambria" w:cs="Cambria"/>
          <w:bCs/>
        </w:rPr>
        <w:t xml:space="preserve">.  Because of time zone differences, the covariance matrix </w:t>
      </w:r>
      <w:r w:rsidR="006C6666">
        <w:rPr>
          <w:rFonts w:eastAsia="Cambria" w:cs="Cambria"/>
          <w:bCs/>
        </w:rPr>
        <w:t xml:space="preserve">is </w:t>
      </w:r>
      <w:r w:rsidR="00AF01BA">
        <w:rPr>
          <w:rFonts w:eastAsia="Cambria" w:cs="Cambria"/>
          <w:bCs/>
        </w:rPr>
        <w:t xml:space="preserve">augmented </w:t>
      </w:r>
      <w:r w:rsidR="001C7309">
        <w:rPr>
          <w:rFonts w:eastAsia="Cambria" w:cs="Cambria"/>
          <w:bCs/>
        </w:rPr>
        <w:t>to include</w:t>
      </w:r>
      <w:r w:rsidR="00AF01BA">
        <w:rPr>
          <w:rFonts w:eastAsia="Cambria" w:cs="Cambria"/>
          <w:bCs/>
        </w:rPr>
        <w:t xml:space="preserve"> the one-day lagged returns from the North American markets (Canada and </w:t>
      </w:r>
      <w:r w:rsidR="00AF01BA">
        <w:rPr>
          <w:rFonts w:eastAsia="Cambria" w:cs="Cambria"/>
          <w:bCs/>
        </w:rPr>
        <w:lastRenderedPageBreak/>
        <w:t>the US).</w:t>
      </w:r>
      <w:r w:rsidR="00573C91">
        <w:rPr>
          <w:rStyle w:val="FootnoteReference"/>
          <w:rFonts w:eastAsia="Cambria" w:cs="Cambria"/>
          <w:bCs/>
        </w:rPr>
        <w:footnoteReference w:id="13"/>
      </w:r>
      <w:r w:rsidR="00573C91">
        <w:rPr>
          <w:rFonts w:eastAsia="Cambria" w:cs="Cambria"/>
          <w:bCs/>
        </w:rPr>
        <w:t xml:space="preserve">  </w:t>
      </w:r>
      <w:r w:rsidR="001C7309">
        <w:rPr>
          <w:rFonts w:eastAsia="Cambria" w:cs="Cambria"/>
          <w:bCs/>
        </w:rPr>
        <w:t xml:space="preserve"> </w:t>
      </w:r>
      <w:r w:rsidR="00573C91">
        <w:rPr>
          <w:rFonts w:eastAsia="Cambria" w:cs="Cambria"/>
          <w:bCs/>
        </w:rPr>
        <w:t xml:space="preserve">As an additional precaution, for each pre-1986 cohort of countries, </w:t>
      </w:r>
      <w:r w:rsidR="00573C91" w:rsidRPr="00B52ECA">
        <w:rPr>
          <w:rFonts w:eastAsia="Cambria" w:cs="Cambria"/>
          <w:bCs/>
          <w:highlight w:val="yellow"/>
        </w:rPr>
        <w:t xml:space="preserve">separate principal components </w:t>
      </w:r>
      <w:r w:rsidR="006C6666" w:rsidRPr="00B52ECA">
        <w:rPr>
          <w:rFonts w:eastAsia="Cambria" w:cs="Cambria"/>
          <w:bCs/>
          <w:highlight w:val="yellow"/>
        </w:rPr>
        <w:t xml:space="preserve">are </w:t>
      </w:r>
      <w:r w:rsidR="005B148B" w:rsidRPr="00B52ECA">
        <w:rPr>
          <w:rFonts w:eastAsia="Cambria" w:cs="Cambria"/>
          <w:bCs/>
          <w:highlight w:val="yellow"/>
        </w:rPr>
        <w:t xml:space="preserve">estimated </w:t>
      </w:r>
      <w:r w:rsidR="004673DF" w:rsidRPr="00B52ECA">
        <w:rPr>
          <w:rFonts w:eastAsia="Cambria" w:cs="Cambria"/>
          <w:bCs/>
          <w:highlight w:val="yellow"/>
        </w:rPr>
        <w:t>after</w:t>
      </w:r>
      <w:r w:rsidR="005B148B" w:rsidRPr="00B52ECA">
        <w:rPr>
          <w:rFonts w:eastAsia="Cambria" w:cs="Cambria"/>
          <w:bCs/>
          <w:highlight w:val="yellow"/>
        </w:rPr>
        <w:t xml:space="preserve"> that country was excluded from the calculation</w:t>
      </w:r>
      <w:r w:rsidR="005B148B">
        <w:rPr>
          <w:rFonts w:eastAsia="Cambria" w:cs="Cambria"/>
          <w:bCs/>
        </w:rPr>
        <w:t>.</w:t>
      </w:r>
      <w:r w:rsidR="005B148B">
        <w:rPr>
          <w:rStyle w:val="FootnoteReference"/>
          <w:rFonts w:eastAsia="Cambria" w:cs="Cambria"/>
          <w:bCs/>
        </w:rPr>
        <w:footnoteReference w:id="14"/>
      </w:r>
      <w:r w:rsidR="005B148B">
        <w:rPr>
          <w:rFonts w:eastAsia="Cambria" w:cs="Cambria"/>
          <w:bCs/>
        </w:rPr>
        <w:t xml:space="preserve">  </w:t>
      </w:r>
    </w:p>
    <w:p w14:paraId="1EACD277" w14:textId="467AC9DD" w:rsidR="00795849" w:rsidRPr="00FA0DB9" w:rsidRDefault="00D068BC" w:rsidP="006605CC">
      <w:pPr>
        <w:spacing w:after="0" w:line="480" w:lineRule="auto"/>
        <w:ind w:firstLine="720"/>
        <w:contextualSpacing/>
        <w:jc w:val="both"/>
        <w:rPr>
          <w:rFonts w:eastAsia="Cambria" w:cs="Cambria"/>
          <w:bCs/>
        </w:rPr>
      </w:pPr>
      <w:r>
        <w:rPr>
          <w:rFonts w:eastAsia="Cambria" w:cs="Cambria"/>
          <w:bCs/>
        </w:rPr>
        <w:t>From the yearly covariance matrices, sorted eigenvalues (low to high) are used</w:t>
      </w:r>
      <w:r w:rsidR="001C7309">
        <w:rPr>
          <w:rFonts w:eastAsia="Cambria" w:cs="Cambria"/>
          <w:bCs/>
        </w:rPr>
        <w:t xml:space="preserve"> </w:t>
      </w:r>
      <w:r>
        <w:rPr>
          <w:rFonts w:eastAsia="Cambria" w:cs="Cambria"/>
          <w:bCs/>
        </w:rPr>
        <w:t xml:space="preserve">to produce </w:t>
      </w:r>
      <w:r w:rsidR="001C7309">
        <w:rPr>
          <w:rFonts w:eastAsia="Cambria" w:cs="Cambria"/>
          <w:bCs/>
        </w:rPr>
        <w:t xml:space="preserve">the </w:t>
      </w:r>
      <w:r w:rsidR="00AC4F29">
        <w:rPr>
          <w:rFonts w:eastAsia="Cambria" w:cs="Cambria"/>
          <w:bCs/>
        </w:rPr>
        <w:t xml:space="preserve">orthogonal </w:t>
      </w:r>
      <w:r w:rsidR="009D66E0">
        <w:rPr>
          <w:rFonts w:eastAsia="Cambria" w:cs="Cambria"/>
          <w:bCs/>
        </w:rPr>
        <w:t xml:space="preserve">out-of-sample </w:t>
      </w:r>
      <w:r>
        <w:rPr>
          <w:rFonts w:eastAsia="Cambria" w:cs="Cambria"/>
          <w:bCs/>
        </w:rPr>
        <w:t xml:space="preserve">principal components </w:t>
      </w:r>
      <w:r w:rsidR="00AC4F29">
        <w:rPr>
          <w:rFonts w:eastAsia="Cambria" w:cs="Cambria"/>
          <w:bCs/>
        </w:rPr>
        <w:t>that are used in the factor model in each subsequent</w:t>
      </w:r>
      <w:r>
        <w:rPr>
          <w:rFonts w:eastAsia="Cambria" w:cs="Cambria"/>
          <w:bCs/>
        </w:rPr>
        <w:t xml:space="preserve"> year.  This is repeated for each year </w:t>
      </w:r>
      <w:r w:rsidR="00AF71F0">
        <w:rPr>
          <w:rFonts w:eastAsia="Cambria" w:cs="Cambria"/>
          <w:bCs/>
        </w:rPr>
        <w:t xml:space="preserve">fixed-length interval </w:t>
      </w:r>
      <w:r>
        <w:rPr>
          <w:rFonts w:eastAsia="Cambria" w:cs="Cambria"/>
          <w:bCs/>
        </w:rPr>
        <w:t xml:space="preserve">from 1986 through the end of sample to yield 27 years of principal components.   </w:t>
      </w:r>
      <w:r w:rsidR="005D14A5">
        <w:rPr>
          <w:rFonts w:eastAsia="Cambria" w:cs="Cambria"/>
          <w:bCs/>
        </w:rPr>
        <w:t>(</w:t>
      </w:r>
      <w:r>
        <w:rPr>
          <w:rFonts w:eastAsia="Cambria" w:cs="Cambria"/>
          <w:bCs/>
        </w:rPr>
        <w:t>Principal components are obtained each calendar year using the daily data.</w:t>
      </w:r>
      <w:r w:rsidR="005D14A5">
        <w:rPr>
          <w:rFonts w:eastAsia="Cambria" w:cs="Cambria"/>
          <w:bCs/>
        </w:rPr>
        <w:t>)</w:t>
      </w:r>
      <w:r>
        <w:rPr>
          <w:rFonts w:eastAsia="Cambria" w:cs="Cambria"/>
          <w:bCs/>
        </w:rPr>
        <w:t xml:space="preserve">  </w:t>
      </w:r>
      <w:r w:rsidR="00CC677A">
        <w:rPr>
          <w:rFonts w:eastAsia="Cambria" w:cs="Cambria"/>
          <w:bCs/>
        </w:rPr>
        <w:t xml:space="preserve">We use </w:t>
      </w:r>
      <w:r w:rsidR="0012626E">
        <w:rPr>
          <w:rFonts w:eastAsia="Cambria" w:cs="Cambria"/>
          <w:bCs/>
        </w:rPr>
        <w:t>out</w:t>
      </w:r>
      <w:r w:rsidR="00CC677A">
        <w:rPr>
          <w:rFonts w:eastAsia="Cambria" w:cs="Cambria"/>
          <w:bCs/>
        </w:rPr>
        <w:t xml:space="preserve">-of-sample principal components to avoid </w:t>
      </w:r>
      <w:r w:rsidR="0012626E">
        <w:rPr>
          <w:rFonts w:eastAsia="Cambria" w:cs="Cambria"/>
          <w:bCs/>
        </w:rPr>
        <w:t>contamination</w:t>
      </w:r>
      <w:r w:rsidR="00CC677A">
        <w:rPr>
          <w:rFonts w:eastAsia="Cambria" w:cs="Cambria"/>
          <w:bCs/>
        </w:rPr>
        <w:t xml:space="preserve"> in our return regressions that </w:t>
      </w:r>
      <w:r w:rsidR="00103B07">
        <w:rPr>
          <w:rFonts w:eastAsia="Cambria" w:cs="Cambria"/>
          <w:bCs/>
        </w:rPr>
        <w:t>might possibly</w:t>
      </w:r>
      <w:r w:rsidR="00CC677A">
        <w:rPr>
          <w:rFonts w:eastAsia="Cambria" w:cs="Cambria"/>
          <w:bCs/>
        </w:rPr>
        <w:t xml:space="preserve"> occur using co</w:t>
      </w:r>
      <w:r w:rsidR="00B439F6">
        <w:rPr>
          <w:rFonts w:eastAsia="Cambria" w:cs="Cambria"/>
          <w:bCs/>
        </w:rPr>
        <w:t>ntemporaneous reali</w:t>
      </w:r>
      <w:r w:rsidR="001B3CC7">
        <w:rPr>
          <w:rFonts w:eastAsia="Cambria" w:cs="Cambria"/>
          <w:bCs/>
        </w:rPr>
        <w:t>z</w:t>
      </w:r>
      <w:r w:rsidR="00B439F6">
        <w:rPr>
          <w:rFonts w:eastAsia="Cambria" w:cs="Cambria"/>
          <w:bCs/>
        </w:rPr>
        <w:t xml:space="preserve">ations.  </w:t>
      </w:r>
      <w:r w:rsidR="006333A4">
        <w:rPr>
          <w:rFonts w:eastAsia="Cambria" w:cs="Cambria"/>
          <w:bCs/>
        </w:rPr>
        <w:t>Our</w:t>
      </w:r>
      <w:r w:rsidR="001B3CC7">
        <w:rPr>
          <w:rFonts w:eastAsia="Cambria" w:cs="Cambria"/>
          <w:bCs/>
        </w:rPr>
        <w:t xml:space="preserve"> approach allows for evolution in economic and other factors governing asset return integration.  </w:t>
      </w:r>
      <w:r>
        <w:rPr>
          <w:rFonts w:eastAsia="Cambria" w:cs="Cambria"/>
          <w:bCs/>
        </w:rPr>
        <w:t>W</w:t>
      </w:r>
      <w:r w:rsidR="00A87B91" w:rsidRPr="00FA0DB9">
        <w:rPr>
          <w:rFonts w:eastAsia="Cambria" w:cs="Cambria"/>
          <w:bCs/>
        </w:rPr>
        <w:t xml:space="preserve">e retain 16 principal components, which </w:t>
      </w:r>
      <w:r w:rsidR="005D14A5">
        <w:rPr>
          <w:rFonts w:eastAsia="Cambria" w:cs="Cambria"/>
          <w:bCs/>
        </w:rPr>
        <w:t>explain</w:t>
      </w:r>
      <w:r w:rsidR="005D14A5" w:rsidRPr="00FA0DB9">
        <w:rPr>
          <w:rFonts w:eastAsia="Cambria" w:cs="Cambria"/>
          <w:bCs/>
        </w:rPr>
        <w:t xml:space="preserve"> </w:t>
      </w:r>
      <w:r w:rsidR="00A87B91" w:rsidRPr="00FA0DB9">
        <w:rPr>
          <w:rFonts w:eastAsia="Cambria" w:cs="Cambria"/>
          <w:bCs/>
        </w:rPr>
        <w:t>roughly 90 percent of the volatility in the covariance matrix.</w:t>
      </w:r>
      <w:r w:rsidR="00C80BB8">
        <w:rPr>
          <w:rStyle w:val="FootnoteReference"/>
          <w:rFonts w:eastAsia="Cambria" w:cs="Cambria"/>
          <w:bCs/>
        </w:rPr>
        <w:footnoteReference w:id="15"/>
      </w:r>
      <w:r w:rsidR="001C7309">
        <w:rPr>
          <w:rFonts w:eastAsia="Cambria" w:cs="Cambria"/>
          <w:bCs/>
        </w:rPr>
        <w:t xml:space="preserve">  </w:t>
      </w:r>
      <w:r w:rsidR="00276A54">
        <w:rPr>
          <w:rFonts w:eastAsia="Cambria" w:cs="Cambria"/>
          <w:bCs/>
        </w:rPr>
        <w:t xml:space="preserve">Appendix </w:t>
      </w:r>
      <w:r w:rsidR="00A87B91" w:rsidRPr="00FA0DB9">
        <w:rPr>
          <w:rFonts w:eastAsia="Cambria" w:cs="Cambria"/>
          <w:bCs/>
        </w:rPr>
        <w:t>Figure 1 shows the average</w:t>
      </w:r>
      <w:r w:rsidR="004724B0">
        <w:rPr>
          <w:rFonts w:eastAsia="Cambria" w:cs="Cambria"/>
          <w:bCs/>
        </w:rPr>
        <w:t xml:space="preserve"> (over 1</w:t>
      </w:r>
      <w:r w:rsidR="002C3CC6">
        <w:rPr>
          <w:rFonts w:eastAsia="Cambria" w:cs="Cambria"/>
          <w:bCs/>
        </w:rPr>
        <w:t>9</w:t>
      </w:r>
      <w:r w:rsidR="004724B0">
        <w:rPr>
          <w:rFonts w:eastAsia="Cambria" w:cs="Cambria"/>
          <w:bCs/>
        </w:rPr>
        <w:t>86-2012)</w:t>
      </w:r>
      <w:r w:rsidR="00A87B91" w:rsidRPr="00FA0DB9">
        <w:rPr>
          <w:rFonts w:eastAsia="Cambria" w:cs="Cambria"/>
          <w:bCs/>
        </w:rPr>
        <w:t xml:space="preserve"> cumulative percentage of variance explained by the sorted (low to high) eigenvalues from the pre-1986 </w:t>
      </w:r>
      <w:r w:rsidR="004724B0">
        <w:rPr>
          <w:rFonts w:eastAsia="Cambria" w:cs="Cambria"/>
          <w:bCs/>
        </w:rPr>
        <w:t xml:space="preserve">country </w:t>
      </w:r>
      <w:r w:rsidR="00A87B91" w:rsidRPr="00FA0DB9">
        <w:rPr>
          <w:rFonts w:eastAsia="Cambria" w:cs="Cambria"/>
          <w:bCs/>
        </w:rPr>
        <w:t xml:space="preserve">cohort covariance matrices.    </w:t>
      </w:r>
      <w:r w:rsidR="00276A54">
        <w:rPr>
          <w:rFonts w:eastAsia="Cambria" w:cs="Cambria"/>
          <w:bCs/>
        </w:rPr>
        <w:t xml:space="preserve">Appendix </w:t>
      </w:r>
      <w:r w:rsidR="00FA0DB9" w:rsidRPr="00FA0DB9">
        <w:rPr>
          <w:rFonts w:eastAsia="Cambria" w:cs="Cambria"/>
          <w:bCs/>
        </w:rPr>
        <w:t xml:space="preserve">Figure 2 provides a </w:t>
      </w:r>
      <w:r w:rsidR="004724B0">
        <w:rPr>
          <w:rFonts w:eastAsia="Cambria" w:cs="Cambria"/>
          <w:bCs/>
        </w:rPr>
        <w:t xml:space="preserve">time series </w:t>
      </w:r>
      <w:r w:rsidR="00FA0DB9" w:rsidRPr="00FA0DB9">
        <w:rPr>
          <w:rFonts w:eastAsia="Cambria" w:cs="Cambria"/>
          <w:bCs/>
        </w:rPr>
        <w:t>plot</w:t>
      </w:r>
      <w:r w:rsidR="004724B0">
        <w:rPr>
          <w:rFonts w:eastAsia="Cambria" w:cs="Cambria"/>
          <w:bCs/>
        </w:rPr>
        <w:t>, by calendar year,</w:t>
      </w:r>
      <w:r w:rsidR="00FA0DB9" w:rsidRPr="00FA0DB9">
        <w:rPr>
          <w:rFonts w:eastAsia="Cambria" w:cs="Cambria"/>
          <w:bCs/>
        </w:rPr>
        <w:t xml:space="preserve"> of the average </w:t>
      </w:r>
      <w:r w:rsidR="00795849" w:rsidRPr="00FA0DB9">
        <w:rPr>
          <w:rFonts w:eastAsia="Cambria" w:cs="Cambria"/>
          <w:bCs/>
        </w:rPr>
        <w:t>percent</w:t>
      </w:r>
      <w:r w:rsidR="004724B0">
        <w:rPr>
          <w:rFonts w:eastAsia="Cambria" w:cs="Cambria"/>
          <w:bCs/>
        </w:rPr>
        <w:t>age</w:t>
      </w:r>
      <w:r w:rsidR="00795849" w:rsidRPr="00FA0DB9">
        <w:rPr>
          <w:rFonts w:eastAsia="Cambria" w:cs="Cambria"/>
          <w:bCs/>
        </w:rPr>
        <w:t xml:space="preserve"> of variance explained by the sorted eigenvalues.      </w:t>
      </w:r>
    </w:p>
    <w:p w14:paraId="6712E835" w14:textId="1416A8C5" w:rsidR="00795849" w:rsidRPr="00B8322F" w:rsidRDefault="00795849" w:rsidP="00564A7B">
      <w:pPr>
        <w:pStyle w:val="ListParagraph"/>
        <w:numPr>
          <w:ilvl w:val="1"/>
          <w:numId w:val="5"/>
        </w:numPr>
        <w:spacing w:after="0" w:line="480" w:lineRule="auto"/>
        <w:jc w:val="both"/>
        <w:rPr>
          <w:rFonts w:eastAsia="Cambria" w:cs="Cambria"/>
          <w:b/>
          <w:bCs/>
        </w:rPr>
      </w:pPr>
      <w:r w:rsidRPr="00B8322F">
        <w:rPr>
          <w:rFonts w:eastAsia="Cambria" w:cs="Cambria"/>
          <w:b/>
          <w:bCs/>
        </w:rPr>
        <w:t>Return Regressions on Global Factors</w:t>
      </w:r>
      <w:r w:rsidR="004724B0">
        <w:rPr>
          <w:rFonts w:eastAsia="Cambria" w:cs="Cambria"/>
          <w:b/>
          <w:bCs/>
        </w:rPr>
        <w:t xml:space="preserve"> </w:t>
      </w:r>
    </w:p>
    <w:p w14:paraId="5B63364F" w14:textId="38209081" w:rsidR="006C02C6" w:rsidRDefault="006C02C6" w:rsidP="00AF46D0">
      <w:pPr>
        <w:spacing w:after="0" w:line="480" w:lineRule="auto"/>
        <w:ind w:firstLine="720"/>
        <w:jc w:val="both"/>
      </w:pPr>
      <w:r>
        <w:t xml:space="preserve">The estimated </w:t>
      </w:r>
      <w:r w:rsidR="008831A4">
        <w:t xml:space="preserve">16 </w:t>
      </w:r>
      <w:r>
        <w:t xml:space="preserve">out-of-sample principal components serve as the common global factors in the country-specific regressions.  </w:t>
      </w:r>
      <w:r w:rsidR="00AC4F29">
        <w:t>Those</w:t>
      </w:r>
      <w:r>
        <w:t xml:space="preserve"> regression</w:t>
      </w:r>
      <w:r w:rsidR="008831A4">
        <w:t>s</w:t>
      </w:r>
      <w:r>
        <w:t xml:space="preserve"> </w:t>
      </w:r>
      <w:r w:rsidR="008831A4">
        <w:t>are</w:t>
      </w:r>
      <w:r>
        <w:t xml:space="preserve"> estimated for each country and for </w:t>
      </w:r>
      <w:r w:rsidR="008831A4">
        <w:t xml:space="preserve">each </w:t>
      </w:r>
      <w:r w:rsidR="00951C05">
        <w:t xml:space="preserve">calendar </w:t>
      </w:r>
      <w:r>
        <w:t xml:space="preserve">year 1986 – 2012.    The adjusted R-square from each regression is a measure of market integration for that </w:t>
      </w:r>
      <w:r w:rsidR="0012626E">
        <w:t xml:space="preserve">specific </w:t>
      </w:r>
      <w:r>
        <w:t xml:space="preserve">country and </w:t>
      </w:r>
      <w:proofErr w:type="gramStart"/>
      <w:r>
        <w:t>time period</w:t>
      </w:r>
      <w:proofErr w:type="gramEnd"/>
      <w:r>
        <w:t xml:space="preserve">.  We take a simple average of R-squares by </w:t>
      </w:r>
      <w:r>
        <w:lastRenderedPageBreak/>
        <w:t xml:space="preserve">country for each asset class </w:t>
      </w:r>
      <w:r w:rsidR="00C24511">
        <w:t xml:space="preserve">and </w:t>
      </w:r>
      <w:proofErr w:type="gramStart"/>
      <w:r w:rsidR="00C24511">
        <w:t>time period</w:t>
      </w:r>
      <w:proofErr w:type="gramEnd"/>
      <w:r w:rsidR="00C24511">
        <w:t xml:space="preserve"> </w:t>
      </w:r>
      <w:r>
        <w:t xml:space="preserve">to provide the corresponding trend in global asset class integration.  </w:t>
      </w:r>
      <w:r w:rsidR="006E31D9">
        <w:t>As explained</w:t>
      </w:r>
      <w:r>
        <w:t xml:space="preserve"> above, </w:t>
      </w:r>
      <w:r w:rsidR="005D14A5">
        <w:t>[</w:t>
      </w:r>
      <w:r>
        <w:t>100 – average asset class integration</w:t>
      </w:r>
      <w:r w:rsidR="005D14A5">
        <w:t>]</w:t>
      </w:r>
      <w:r>
        <w:t xml:space="preserve"> </w:t>
      </w:r>
      <w:r w:rsidR="006E31D9">
        <w:t xml:space="preserve">is </w:t>
      </w:r>
      <w:r>
        <w:t>our index of asset-specific diversification potential.</w:t>
      </w:r>
      <w:r w:rsidR="00C316F8">
        <w:t xml:space="preserve">  </w:t>
      </w:r>
    </w:p>
    <w:p w14:paraId="23FE087F" w14:textId="042B7967" w:rsidR="00427CB1" w:rsidRDefault="008831A4" w:rsidP="00A0794B">
      <w:pPr>
        <w:spacing w:after="0" w:line="480" w:lineRule="auto"/>
        <w:ind w:firstLine="720"/>
        <w:jc w:val="both"/>
      </w:pPr>
      <w:r>
        <w:t xml:space="preserve">Figure 1 </w:t>
      </w:r>
      <w:r w:rsidR="00097166" w:rsidRPr="00092AFE">
        <w:t>shows the diversification index for each asset class between 1986 and 2012.</w:t>
      </w:r>
      <w:r w:rsidR="00BB772F">
        <w:rPr>
          <w:rStyle w:val="FootnoteReference"/>
        </w:rPr>
        <w:footnoteReference w:id="16"/>
      </w:r>
      <w:r w:rsidR="00097166" w:rsidRPr="00092AFE">
        <w:t xml:space="preserve">  </w:t>
      </w:r>
      <w:r w:rsidR="00472E4E">
        <w:t xml:space="preserve">Figure 2 plots the same for the </w:t>
      </w:r>
      <w:r w:rsidR="00A576AF">
        <w:t xml:space="preserve">three </w:t>
      </w:r>
      <w:r w:rsidR="00472E4E">
        <w:t>assets classes (</w:t>
      </w:r>
      <w:r w:rsidR="006E31D9">
        <w:t>100-</w:t>
      </w:r>
      <w:r w:rsidR="00472E4E">
        <w:t xml:space="preserve">average of R-squares across asset classes.) </w:t>
      </w:r>
      <w:r w:rsidR="00FA0D42">
        <w:t xml:space="preserve"> </w:t>
      </w:r>
      <w:r w:rsidR="00472E4E">
        <w:t>In each case, t</w:t>
      </w:r>
      <w:r w:rsidR="00097166" w:rsidRPr="00092AFE">
        <w:t xml:space="preserve">here is a time-series plot of the diversification index and a fitted linear trend line.  </w:t>
      </w:r>
      <w:r w:rsidR="00951C05">
        <w:t>The</w:t>
      </w:r>
      <w:r w:rsidR="00472E4E">
        <w:t xml:space="preserve"> results </w:t>
      </w:r>
      <w:r w:rsidR="00951C05">
        <w:t xml:space="preserve">reveal a </w:t>
      </w:r>
      <w:r w:rsidR="00472E4E">
        <w:t>substantial down</w:t>
      </w:r>
      <w:r w:rsidR="00B97508">
        <w:t>trend</w:t>
      </w:r>
      <w:r w:rsidR="00472E4E">
        <w:t xml:space="preserve"> in </w:t>
      </w:r>
      <w:r w:rsidR="00CA63B5">
        <w:t xml:space="preserve">the </w:t>
      </w:r>
      <w:r w:rsidR="00472E4E">
        <w:t>global asset diversification</w:t>
      </w:r>
      <w:r w:rsidR="00B97508">
        <w:t xml:space="preserve"> </w:t>
      </w:r>
      <w:r w:rsidR="0065388F">
        <w:t>indexes</w:t>
      </w:r>
      <w:r w:rsidR="00472E4E">
        <w:t xml:space="preserve">.  </w:t>
      </w:r>
      <w:r w:rsidR="00360BC6" w:rsidRPr="00360BC6">
        <w:t xml:space="preserve">The declines across the global indexes would have been more pronounced </w:t>
      </w:r>
      <w:r w:rsidR="00360BC6">
        <w:t xml:space="preserve">for country weighted indexes </w:t>
      </w:r>
      <w:r w:rsidR="00360BC6" w:rsidRPr="00360BC6">
        <w:t xml:space="preserve">given the importance of the </w:t>
      </w:r>
      <w:proofErr w:type="gramStart"/>
      <w:r w:rsidR="00360BC6" w:rsidRPr="00360BC6">
        <w:t xml:space="preserve">large </w:t>
      </w:r>
      <w:r w:rsidR="00A759C2">
        <w:t>developed</w:t>
      </w:r>
      <w:proofErr w:type="gramEnd"/>
      <w:r w:rsidR="00A759C2">
        <w:t xml:space="preserve"> </w:t>
      </w:r>
      <w:r w:rsidR="00360BC6" w:rsidRPr="00360BC6">
        <w:t>countries</w:t>
      </w:r>
      <w:r w:rsidR="00A759C2">
        <w:t xml:space="preserve">, </w:t>
      </w:r>
      <w:r w:rsidR="00DC26BC">
        <w:t>notably</w:t>
      </w:r>
      <w:r w:rsidR="00A759C2">
        <w:t xml:space="preserve"> the US and UK,</w:t>
      </w:r>
      <w:r w:rsidR="00360BC6" w:rsidRPr="00360BC6">
        <w:t xml:space="preserve"> and their respective reduction in diversification</w:t>
      </w:r>
      <w:r w:rsidR="00360BC6">
        <w:t xml:space="preserve"> potential</w:t>
      </w:r>
      <w:r w:rsidR="00360BC6" w:rsidRPr="00360BC6">
        <w:t>.</w:t>
      </w:r>
    </w:p>
    <w:p w14:paraId="0827549C" w14:textId="7BEAC03B" w:rsidR="00631092" w:rsidRDefault="00472E4E" w:rsidP="009B7658">
      <w:pPr>
        <w:spacing w:after="0" w:line="480" w:lineRule="auto"/>
        <w:ind w:firstLine="720"/>
        <w:jc w:val="both"/>
      </w:pPr>
      <w:r>
        <w:t xml:space="preserve">As recently as the late 1990s, the </w:t>
      </w:r>
      <w:r w:rsidR="0065388F">
        <w:t>indexes</w:t>
      </w:r>
      <w:r>
        <w:t xml:space="preserve"> signal near</w:t>
      </w:r>
      <w:r w:rsidR="00CD5CF5">
        <w:t>ly</w:t>
      </w:r>
      <w:r>
        <w:t xml:space="preserve"> full diversification opportunity, with index values approaching 100</w:t>
      </w:r>
      <w:r w:rsidR="00AC4F29">
        <w:t>.</w:t>
      </w:r>
      <w:r>
        <w:t xml:space="preserve">  Since that time, however, </w:t>
      </w:r>
      <w:r w:rsidR="006C6666">
        <w:t xml:space="preserve">diversification potential has declined </w:t>
      </w:r>
      <w:r w:rsidR="00C0177F">
        <w:t>marked</w:t>
      </w:r>
      <w:r w:rsidR="006C6666">
        <w:t>ly</w:t>
      </w:r>
      <w:r>
        <w:t xml:space="preserve"> to </w:t>
      </w:r>
      <w:r w:rsidR="009B7658">
        <w:t xml:space="preserve">levels of roughly </w:t>
      </w:r>
      <w:r w:rsidR="00C0177F">
        <w:t xml:space="preserve">50-60 for each asset class by 2012. </w:t>
      </w:r>
      <w:r w:rsidR="006C6666">
        <w:t xml:space="preserve"> T</w:t>
      </w:r>
      <w:r w:rsidR="00B97508">
        <w:t xml:space="preserve">he diversification index </w:t>
      </w:r>
      <w:r w:rsidR="000464B9">
        <w:t xml:space="preserve">decline is strongest </w:t>
      </w:r>
      <w:r w:rsidR="00B97508">
        <w:t>for sovereign debt plummet</w:t>
      </w:r>
      <w:r w:rsidR="000464B9">
        <w:t xml:space="preserve">ing </w:t>
      </w:r>
      <w:r w:rsidR="00B97508">
        <w:t xml:space="preserve">during the mid-2000s boom period </w:t>
      </w:r>
      <w:r w:rsidR="000464B9">
        <w:t xml:space="preserve">and then </w:t>
      </w:r>
      <w:r w:rsidR="00B97508">
        <w:t>rebound</w:t>
      </w:r>
      <w:r w:rsidR="000464B9">
        <w:t>ing somewhat</w:t>
      </w:r>
      <w:r w:rsidR="00B97508">
        <w:t xml:space="preserve"> during the early </w:t>
      </w:r>
      <w:r w:rsidR="00A0794B">
        <w:t xml:space="preserve">years of the financial </w:t>
      </w:r>
      <w:r w:rsidR="00B97508">
        <w:t>crisis</w:t>
      </w:r>
      <w:r w:rsidR="00A0794B">
        <w:t>.</w:t>
      </w:r>
      <w:r w:rsidR="00B97508">
        <w:t xml:space="preserve">  </w:t>
      </w:r>
      <w:r w:rsidR="005472DC">
        <w:t>However, r</w:t>
      </w:r>
      <w:r w:rsidR="005472DC" w:rsidRPr="005472DC">
        <w:t xml:space="preserve">esults indicate that investors would not be able to move across asset classes, for instance, from equities to bonds, to enhance diversification.  </w:t>
      </w:r>
      <w:r w:rsidR="00C0177F">
        <w:t xml:space="preserve">Figure 2 displays the </w:t>
      </w:r>
      <w:r w:rsidR="00360BC6">
        <w:t xml:space="preserve">world </w:t>
      </w:r>
      <w:r w:rsidR="00B97508">
        <w:t xml:space="preserve">diversification index </w:t>
      </w:r>
      <w:r w:rsidR="00C0177F">
        <w:t xml:space="preserve">for the (average) </w:t>
      </w:r>
      <w:r w:rsidR="00B97508">
        <w:t xml:space="preserve">of the three </w:t>
      </w:r>
      <w:r w:rsidR="00C0177F">
        <w:t>asset classes.</w:t>
      </w:r>
      <w:r w:rsidR="00631092">
        <w:t xml:space="preserve">  </w:t>
      </w:r>
      <w:r w:rsidR="00906029">
        <w:t>Again</w:t>
      </w:r>
      <w:r w:rsidR="00631092">
        <w:t xml:space="preserve">, </w:t>
      </w:r>
      <w:r w:rsidR="00906029">
        <w:t>results indicate</w:t>
      </w:r>
      <w:r w:rsidR="006C6666">
        <w:t xml:space="preserve"> a</w:t>
      </w:r>
      <w:r w:rsidR="00631092">
        <w:t xml:space="preserve"> substantial</w:t>
      </w:r>
      <w:r w:rsidR="00B97508">
        <w:t xml:space="preserve"> down</w:t>
      </w:r>
      <w:r w:rsidR="006C6666">
        <w:t>tre</w:t>
      </w:r>
      <w:r w:rsidR="00A0794B">
        <w:t xml:space="preserve">nd </w:t>
      </w:r>
      <w:r w:rsidR="006C6666">
        <w:t>i</w:t>
      </w:r>
      <w:r w:rsidR="00B97508">
        <w:t xml:space="preserve">n diversification opportunity </w:t>
      </w:r>
      <w:r w:rsidR="0094518A">
        <w:t xml:space="preserve">among </w:t>
      </w:r>
      <w:r w:rsidR="006C6666">
        <w:t>countries</w:t>
      </w:r>
      <w:r w:rsidR="0094518A">
        <w:t xml:space="preserve"> and asset classes </w:t>
      </w:r>
      <w:r w:rsidR="00766711">
        <w:t xml:space="preserve">over the post-1996 period. </w:t>
      </w:r>
      <w:r w:rsidR="00F31E00">
        <w:t>In that regard, d</w:t>
      </w:r>
      <w:r w:rsidR="00B8008D">
        <w:t xml:space="preserve">iversification levels for a portfolio containing the three asset classes </w:t>
      </w:r>
      <w:r w:rsidR="00F31E00">
        <w:t>declined a full</w:t>
      </w:r>
      <w:r w:rsidR="00B8008D">
        <w:t xml:space="preserve"> 60 percent from </w:t>
      </w:r>
      <w:r w:rsidR="00B504E0">
        <w:t>1996</w:t>
      </w:r>
      <w:r w:rsidR="00F31E00">
        <w:t xml:space="preserve"> </w:t>
      </w:r>
      <w:r w:rsidR="00B8008D">
        <w:t>peak</w:t>
      </w:r>
      <w:r w:rsidR="00F31E00">
        <w:t xml:space="preserve"> levels</w:t>
      </w:r>
      <w:r w:rsidR="00B8008D">
        <w:t xml:space="preserve">. </w:t>
      </w:r>
      <w:r w:rsidR="003434D0">
        <w:t xml:space="preserve">Given the </w:t>
      </w:r>
      <w:r w:rsidR="00DC317F">
        <w:t xml:space="preserve">comparable </w:t>
      </w:r>
      <w:r w:rsidR="003434D0">
        <w:t xml:space="preserve">trends for the three asset classes, a </w:t>
      </w:r>
      <w:r w:rsidR="00360BC6">
        <w:t>world</w:t>
      </w:r>
      <w:r w:rsidR="00F31E00">
        <w:t>-</w:t>
      </w:r>
      <w:r w:rsidR="003434D0">
        <w:t xml:space="preserve">weighted average based on asset allocation </w:t>
      </w:r>
      <w:r w:rsidR="003434D0">
        <w:lastRenderedPageBreak/>
        <w:t xml:space="preserve">across the three assets would have resulted in similar </w:t>
      </w:r>
      <w:r w:rsidR="00F31E00">
        <w:t>sizable reductions in</w:t>
      </w:r>
      <w:r w:rsidR="003434D0">
        <w:t xml:space="preserve"> diversification potential.  </w:t>
      </w:r>
      <w:r w:rsidR="00F31E00">
        <w:t xml:space="preserve">Findings indicate </w:t>
      </w:r>
      <w:r w:rsidR="00B8008D">
        <w:t xml:space="preserve">that it is difficult to run and hide from </w:t>
      </w:r>
      <w:r w:rsidR="00F31E00">
        <w:t xml:space="preserve">return </w:t>
      </w:r>
      <w:r w:rsidR="00B8008D">
        <w:t xml:space="preserve">integration </w:t>
      </w:r>
      <w:r w:rsidR="00F31E00">
        <w:t>among and between equity, fixed income, and real estate</w:t>
      </w:r>
      <w:r w:rsidR="008D10EF">
        <w:t xml:space="preserve"> </w:t>
      </w:r>
      <w:r w:rsidR="00B8008D">
        <w:t>asset markets.</w:t>
      </w:r>
    </w:p>
    <w:p w14:paraId="67E5AB54" w14:textId="601489DF" w:rsidR="0094518A" w:rsidRDefault="002A20BD" w:rsidP="009B7658">
      <w:pPr>
        <w:spacing w:after="0" w:line="480" w:lineRule="auto"/>
        <w:ind w:firstLine="720"/>
        <w:jc w:val="both"/>
      </w:pPr>
      <w:r>
        <w:t>Appendix Table 1 provides further quantitative indication of trending down in diversification opportunity by asset class.  That table</w:t>
      </w:r>
      <w:r w:rsidR="00427CB1">
        <w:t xml:space="preserve"> reports</w:t>
      </w:r>
      <w:r w:rsidR="0094518A">
        <w:t xml:space="preserve"> simple contemporaneous correlations </w:t>
      </w:r>
      <w:r w:rsidR="004B1D96">
        <w:t xml:space="preserve">in diversification </w:t>
      </w:r>
      <w:r w:rsidR="0065388F">
        <w:t>indexes</w:t>
      </w:r>
      <w:r w:rsidR="004B1D96">
        <w:t xml:space="preserve"> for</w:t>
      </w:r>
      <w:r w:rsidR="0094518A">
        <w:t xml:space="preserve"> raw returns by asset class </w:t>
      </w:r>
      <w:r w:rsidR="004B1D96">
        <w:t xml:space="preserve">and </w:t>
      </w:r>
      <w:r w:rsidR="0094518A">
        <w:t xml:space="preserve">for the full period and for the pre- and post-2000 period.  </w:t>
      </w:r>
      <w:r w:rsidR="00A33AD0">
        <w:t>T</w:t>
      </w:r>
      <w:r w:rsidR="00C90C52">
        <w:t xml:space="preserve">he contemporaneous correlations for the full sample period are elevated and in the range of .66 for equities and bonds </w:t>
      </w:r>
      <w:r w:rsidR="0099618F">
        <w:t>and</w:t>
      </w:r>
      <w:r w:rsidR="00C90C52">
        <w:t xml:space="preserve"> </w:t>
      </w:r>
      <w:proofErr w:type="gramStart"/>
      <w:r w:rsidR="004B1D96">
        <w:t>in excess of</w:t>
      </w:r>
      <w:proofErr w:type="gramEnd"/>
      <w:r w:rsidR="004B1D96">
        <w:t xml:space="preserve"> </w:t>
      </w:r>
      <w:r w:rsidR="00C90C52">
        <w:t>.8</w:t>
      </w:r>
      <w:r w:rsidR="004B1D96">
        <w:t>3</w:t>
      </w:r>
      <w:r w:rsidR="00C90C52">
        <w:t xml:space="preserve"> for equities and real estate</w:t>
      </w:r>
      <w:r w:rsidR="004B1D96">
        <w:t xml:space="preserve"> and for bonds and real estate</w:t>
      </w:r>
      <w:r w:rsidR="00C90C52">
        <w:t xml:space="preserve">.  </w:t>
      </w:r>
      <w:r w:rsidR="00A33AD0">
        <w:t>For equities, these</w:t>
      </w:r>
      <w:r w:rsidR="00C90C52">
        <w:t xml:space="preserve"> correlations are </w:t>
      </w:r>
      <w:r w:rsidR="00A33AD0">
        <w:t>higher</w:t>
      </w:r>
      <w:r w:rsidR="005D14A5">
        <w:t xml:space="preserve"> in</w:t>
      </w:r>
      <w:r w:rsidR="00C90C52">
        <w:t xml:space="preserve"> the post-2000 period; </w:t>
      </w:r>
      <w:r w:rsidR="009B7658">
        <w:t xml:space="preserve">for example, </w:t>
      </w:r>
      <w:r w:rsidR="00C90C52">
        <w:t>the correlation for equities and real estate reaches a full .9</w:t>
      </w:r>
      <w:r w:rsidR="003E53DA">
        <w:t>8</w:t>
      </w:r>
      <w:r w:rsidR="00C90C52">
        <w:t xml:space="preserve">! </w:t>
      </w:r>
      <w:r w:rsidR="0094518A">
        <w:t xml:space="preserve"> </w:t>
      </w:r>
      <w:r w:rsidR="00F05CB6">
        <w:t xml:space="preserve">Switching between asset classes during this time offers minimal diversification relief, at best.  </w:t>
      </w:r>
      <w:r w:rsidR="005A58B3">
        <w:t>Appendix Table 1</w:t>
      </w:r>
      <w:r w:rsidR="00C90C52">
        <w:t xml:space="preserve"> displays similar and substantially elevated lead correlations among asset classes for the post-2000 period</w:t>
      </w:r>
      <w:r w:rsidR="00FA65FA">
        <w:t xml:space="preserve"> relative to those estimated for pre-2000</w:t>
      </w:r>
      <w:r w:rsidR="00C90C52">
        <w:t>.</w:t>
      </w:r>
      <w:r w:rsidR="004B1D96">
        <w:t xml:space="preserve">  </w:t>
      </w:r>
    </w:p>
    <w:p w14:paraId="70EA9A5E" w14:textId="1B7DC1A0" w:rsidR="00545180" w:rsidRDefault="00C8603F" w:rsidP="003D57F8">
      <w:pPr>
        <w:spacing w:after="0" w:line="480" w:lineRule="auto"/>
        <w:ind w:firstLine="720"/>
        <w:jc w:val="both"/>
      </w:pPr>
      <w:r>
        <w:t>Figure 3 display</w:t>
      </w:r>
      <w:r w:rsidR="00A33AD0">
        <w:t>s</w:t>
      </w:r>
      <w:r>
        <w:t xml:space="preserve"> </w:t>
      </w:r>
      <w:r w:rsidR="00CA63B5">
        <w:t xml:space="preserve">the </w:t>
      </w:r>
      <w:r>
        <w:t xml:space="preserve">asset-specific diversification </w:t>
      </w:r>
      <w:r w:rsidR="0065388F">
        <w:t>indexes</w:t>
      </w:r>
      <w:r>
        <w:t xml:space="preserve"> </w:t>
      </w:r>
      <w:r w:rsidR="00C52E44">
        <w:t>by</w:t>
      </w:r>
      <w:r>
        <w:t xml:space="preserve"> cohort.  </w:t>
      </w:r>
      <w:r w:rsidR="000464B9">
        <w:t>We go back to pre-1986 to illustrate long term trends in diversification</w:t>
      </w:r>
      <w:r w:rsidR="00BA2CB1">
        <w:t xml:space="preserve"> potential</w:t>
      </w:r>
      <w:r w:rsidR="000464B9">
        <w:t xml:space="preserve">, and to show how robust these trends are to the timing of when a country became part of the analysis.  </w:t>
      </w:r>
      <w:r>
        <w:t xml:space="preserve">Countries are assigned to cohorts depending upon when their data became available.  </w:t>
      </w:r>
      <w:r w:rsidR="005D14A5">
        <w:t>C</w:t>
      </w:r>
      <w:r w:rsidR="00545180">
        <w:t xml:space="preserve">ountries joining the dataset typically start out with lower integration R-squares, </w:t>
      </w:r>
      <w:r w:rsidR="005D14A5">
        <w:t>so</w:t>
      </w:r>
      <w:r w:rsidR="009519F6">
        <w:t xml:space="preserve"> </w:t>
      </w:r>
      <w:r w:rsidR="00545180">
        <w:t xml:space="preserve">averaging of all countries together (absent cohort assignments) could reduce R-squares early on for the sample </w:t>
      </w:r>
      <w:r w:rsidR="005D14A5">
        <w:t>and thus spuriously</w:t>
      </w:r>
      <w:r w:rsidR="00545180">
        <w:t xml:space="preserve"> depress any trend in the average.  The assigned c</w:t>
      </w:r>
      <w:r w:rsidRPr="00C8603F">
        <w:t xml:space="preserve">ohorts for equities </w:t>
      </w:r>
      <w:r>
        <w:t>include</w:t>
      </w:r>
      <w:r w:rsidRPr="00C8603F">
        <w:t xml:space="preserve"> pre</w:t>
      </w:r>
      <w:r>
        <w:t>-</w:t>
      </w:r>
      <w:r w:rsidRPr="00C8603F">
        <w:t>1974, 1974-1983, 1984-1993 and post</w:t>
      </w:r>
      <w:r w:rsidR="00CD5CF5">
        <w:t>-</w:t>
      </w:r>
      <w:r w:rsidRPr="00C8603F">
        <w:t>1993</w:t>
      </w:r>
      <w:r w:rsidR="003D57F8">
        <w:t>.  In the case of</w:t>
      </w:r>
      <w:r w:rsidR="00E7532D">
        <w:t xml:space="preserve"> </w:t>
      </w:r>
      <w:r w:rsidRPr="00C8603F">
        <w:t>bonds</w:t>
      </w:r>
      <w:r w:rsidR="003D57F8">
        <w:t>,</w:t>
      </w:r>
      <w:r w:rsidRPr="00C8603F">
        <w:t xml:space="preserve"> </w:t>
      </w:r>
      <w:r>
        <w:t xml:space="preserve">the assigned cohorts </w:t>
      </w:r>
      <w:proofErr w:type="gramStart"/>
      <w:r>
        <w:t>include</w:t>
      </w:r>
      <w:r w:rsidRPr="00C8603F">
        <w:t>:</w:t>
      </w:r>
      <w:proofErr w:type="gramEnd"/>
      <w:r w:rsidRPr="00C8603F">
        <w:t xml:space="preserve"> pre</w:t>
      </w:r>
      <w:r>
        <w:t>-</w:t>
      </w:r>
      <w:r w:rsidRPr="00C8603F">
        <w:t>1986, 1986-1999 and post</w:t>
      </w:r>
      <w:r>
        <w:t>-</w:t>
      </w:r>
      <w:r w:rsidRPr="00C8603F">
        <w:t>1999</w:t>
      </w:r>
      <w:r w:rsidR="00E7532D">
        <w:t xml:space="preserve">.  </w:t>
      </w:r>
      <w:r w:rsidR="003D57F8">
        <w:t>W</w:t>
      </w:r>
      <w:r w:rsidR="00E7532D">
        <w:t>e assign countries to pre-2000 and post-2000 cohorts</w:t>
      </w:r>
      <w:r w:rsidR="003D57F8">
        <w:t xml:space="preserve"> for REITs</w:t>
      </w:r>
      <w:r w:rsidR="00E7532D">
        <w:t>.</w:t>
      </w:r>
      <w:r w:rsidR="00545180">
        <w:t xml:space="preserve">  </w:t>
      </w:r>
      <w:r w:rsidR="004820F7">
        <w:t xml:space="preserve">Table </w:t>
      </w:r>
      <w:r w:rsidR="00F97A17">
        <w:t>1</w:t>
      </w:r>
      <w:r w:rsidR="004820F7">
        <w:t xml:space="preserve"> displays cohort members by asset class.</w:t>
      </w:r>
    </w:p>
    <w:p w14:paraId="7330F4B7" w14:textId="42CEDF52" w:rsidR="00967458" w:rsidRDefault="003D57F8" w:rsidP="00F84F01">
      <w:pPr>
        <w:spacing w:after="0" w:line="480" w:lineRule="auto"/>
        <w:ind w:firstLine="720"/>
        <w:jc w:val="both"/>
      </w:pPr>
      <w:r>
        <w:t xml:space="preserve">As shown in Figure 3, </w:t>
      </w:r>
      <w:r w:rsidR="00C31E37">
        <w:t>the cohort</w:t>
      </w:r>
      <w:r w:rsidR="00F06CDE">
        <w:t>s</w:t>
      </w:r>
      <w:r w:rsidR="00C31E37">
        <w:t xml:space="preserve"> indicate </w:t>
      </w:r>
      <w:r w:rsidR="00F06CDE">
        <w:t>a</w:t>
      </w:r>
      <w:r w:rsidR="00C31E37">
        <w:t xml:space="preserve"> downtrend in diversification </w:t>
      </w:r>
      <w:r w:rsidR="00BA2CB1">
        <w:t>potential</w:t>
      </w:r>
      <w:r w:rsidR="00C31E37">
        <w:t xml:space="preserve"> from the late 1990s onward</w:t>
      </w:r>
      <w:r w:rsidR="00F06CDE">
        <w:t>.</w:t>
      </w:r>
      <w:r w:rsidR="00C31E37">
        <w:t xml:space="preserve">  </w:t>
      </w:r>
      <w:r w:rsidR="00F06CDE">
        <w:t>E</w:t>
      </w:r>
      <w:r>
        <w:t>quities and REITs</w:t>
      </w:r>
      <w:r w:rsidR="00A0794B">
        <w:t xml:space="preserve"> </w:t>
      </w:r>
      <w:r w:rsidR="00F06CDE">
        <w:t>display more substantial</w:t>
      </w:r>
      <w:r w:rsidR="00C31E37">
        <w:t xml:space="preserve"> down</w:t>
      </w:r>
      <w:r w:rsidR="00F06CDE">
        <w:t>trends in</w:t>
      </w:r>
      <w:r w:rsidR="00C31E37">
        <w:t xml:space="preserve"> older and more </w:t>
      </w:r>
      <w:r w:rsidR="00C31E37">
        <w:lastRenderedPageBreak/>
        <w:t>established markets.</w:t>
      </w:r>
      <w:r w:rsidR="009519F6">
        <w:rPr>
          <w:rStyle w:val="FootnoteReference"/>
        </w:rPr>
        <w:footnoteReference w:id="17"/>
      </w:r>
      <w:r w:rsidR="00C31E37">
        <w:t xml:space="preserve">  </w:t>
      </w:r>
      <w:r>
        <w:t>For example</w:t>
      </w:r>
      <w:r w:rsidR="00C31E37">
        <w:t xml:space="preserve">, the index value for REITs </w:t>
      </w:r>
      <w:r>
        <w:t xml:space="preserve">falls from roughly 100 in the early 2000s to about 40 in 2011 for the pre-2000 cohort versus about 80 for the post-2000 group. </w:t>
      </w:r>
      <w:r w:rsidR="00F84F01">
        <w:t xml:space="preserve"> In the case of sovereign debt, the declines in diversification </w:t>
      </w:r>
      <w:r w:rsidR="00F06CDE">
        <w:t>potential</w:t>
      </w:r>
      <w:r w:rsidR="00F84F01">
        <w:t xml:space="preserve"> are largely robust to cohort stratification.</w:t>
      </w:r>
      <w:r w:rsidR="009519F6">
        <w:rPr>
          <w:rStyle w:val="FootnoteReference"/>
        </w:rPr>
        <w:footnoteReference w:id="18"/>
      </w:r>
    </w:p>
    <w:p w14:paraId="38291854" w14:textId="0E3A17D3" w:rsidR="00795849" w:rsidRPr="00967458" w:rsidRDefault="00F30256" w:rsidP="0037228A">
      <w:pPr>
        <w:pStyle w:val="ListParagraph"/>
        <w:numPr>
          <w:ilvl w:val="0"/>
          <w:numId w:val="3"/>
        </w:numPr>
        <w:spacing w:before="240" w:after="0" w:line="480" w:lineRule="auto"/>
        <w:jc w:val="both"/>
        <w:rPr>
          <w:b/>
          <w:bCs/>
        </w:rPr>
      </w:pPr>
      <w:r>
        <w:rPr>
          <w:b/>
          <w:bCs/>
        </w:rPr>
        <w:t xml:space="preserve">Portfolio </w:t>
      </w:r>
      <w:r w:rsidR="00795849" w:rsidRPr="00967458">
        <w:rPr>
          <w:b/>
          <w:bCs/>
        </w:rPr>
        <w:t>Diversification and Risk</w:t>
      </w:r>
    </w:p>
    <w:p w14:paraId="1B970E22" w14:textId="643BF305" w:rsidR="00795849" w:rsidRPr="005B5375" w:rsidRDefault="00795849" w:rsidP="00923744">
      <w:pPr>
        <w:spacing w:after="0" w:line="480" w:lineRule="auto"/>
        <w:ind w:firstLine="720"/>
        <w:jc w:val="both"/>
        <w:rPr>
          <w:i/>
          <w:iCs/>
        </w:rPr>
      </w:pPr>
      <w:r w:rsidRPr="005B5375">
        <w:t>Next, we assess the relation</w:t>
      </w:r>
      <w:r w:rsidR="00923744">
        <w:t xml:space="preserve"> between</w:t>
      </w:r>
      <w:r w:rsidRPr="005B5375">
        <w:t xml:space="preserve"> diversification </w:t>
      </w:r>
      <w:r w:rsidR="00BA2CB1">
        <w:t xml:space="preserve">potential </w:t>
      </w:r>
      <w:r w:rsidRPr="005B5375">
        <w:t xml:space="preserve">and </w:t>
      </w:r>
      <w:r w:rsidR="00BA2CB1">
        <w:t xml:space="preserve">portfolio </w:t>
      </w:r>
      <w:r w:rsidRPr="005B5375">
        <w:t>risk for global investors.  As not</w:t>
      </w:r>
      <w:r w:rsidR="00BE5805" w:rsidRPr="005B5375">
        <w:t>ed in the introduction, diversif</w:t>
      </w:r>
      <w:r w:rsidRPr="005B5375">
        <w:t xml:space="preserve">ication across asset classes and geographies long has been </w:t>
      </w:r>
      <w:r w:rsidR="00BE5805" w:rsidRPr="005B5375">
        <w:t>fundamental</w:t>
      </w:r>
      <w:r w:rsidRPr="005B5375">
        <w:t xml:space="preserve"> </w:t>
      </w:r>
      <w:r w:rsidR="00BE5805" w:rsidRPr="005B5375">
        <w:t>to</w:t>
      </w:r>
      <w:r w:rsidRPr="005B5375">
        <w:t xml:space="preserve"> risk mitigation.   Figure 4 </w:t>
      </w:r>
      <w:r w:rsidR="00A02AEF">
        <w:t>shows</w:t>
      </w:r>
      <w:r w:rsidRPr="005B5375">
        <w:t xml:space="preserve"> global diversification indexes for each asset class (equity, fixed income, real estate) </w:t>
      </w:r>
      <w:r w:rsidR="00A02AEF">
        <w:t>alongside</w:t>
      </w:r>
      <w:r w:rsidRPr="005B5375">
        <w:t xml:space="preserve"> asset-specific risk as proxied by the annual standard deviation of asset returns.</w:t>
      </w:r>
      <w:r w:rsidRPr="005B5375">
        <w:rPr>
          <w:i/>
          <w:iCs/>
        </w:rPr>
        <w:t xml:space="preserve"> </w:t>
      </w:r>
      <w:r w:rsidR="00BE5805" w:rsidRPr="005B5375">
        <w:rPr>
          <w:i/>
          <w:iCs/>
        </w:rPr>
        <w:t xml:space="preserve"> </w:t>
      </w:r>
      <w:r w:rsidRPr="005B5375">
        <w:rPr>
          <w:i/>
          <w:iCs/>
        </w:rPr>
        <w:t xml:space="preserve"> </w:t>
      </w:r>
    </w:p>
    <w:p w14:paraId="3898E125" w14:textId="368A729A" w:rsidR="005D14A5" w:rsidRDefault="00795849" w:rsidP="00183559">
      <w:pPr>
        <w:spacing w:after="0" w:line="480" w:lineRule="auto"/>
        <w:ind w:firstLine="720"/>
        <w:jc w:val="both"/>
      </w:pPr>
      <w:r w:rsidRPr="005B5375">
        <w:t xml:space="preserve">Figure 4 provides evidence of </w:t>
      </w:r>
      <w:r w:rsidR="00FD4A57">
        <w:t>an</w:t>
      </w:r>
      <w:r w:rsidRPr="005B5375">
        <w:t xml:space="preserve"> inverse relationship between diversification </w:t>
      </w:r>
      <w:r w:rsidR="00BA2CB1">
        <w:t>potential</w:t>
      </w:r>
      <w:r w:rsidRPr="005B5375">
        <w:t xml:space="preserve"> and risk in each of the asset classes.  Specifically, as opportunities to diversify decline, investment risk</w:t>
      </w:r>
      <w:r w:rsidR="00923744">
        <w:t>s</w:t>
      </w:r>
      <w:r w:rsidRPr="005B5375">
        <w:t xml:space="preserve"> move up sharply.  Reduction in </w:t>
      </w:r>
      <w:r w:rsidR="00923744">
        <w:t xml:space="preserve">the </w:t>
      </w:r>
      <w:r w:rsidRPr="005B5375">
        <w:t xml:space="preserve">diversification </w:t>
      </w:r>
      <w:r w:rsidR="0065388F">
        <w:t>indexes</w:t>
      </w:r>
      <w:r w:rsidRPr="005B5375">
        <w:t xml:space="preserve"> is particularly apparent </w:t>
      </w:r>
      <w:r w:rsidR="00923744">
        <w:t>among all</w:t>
      </w:r>
      <w:r w:rsidRPr="005B5375">
        <w:t xml:space="preserve"> asset class</w:t>
      </w:r>
      <w:r w:rsidR="00923744">
        <w:t>es</w:t>
      </w:r>
      <w:r w:rsidRPr="005B5375">
        <w:t xml:space="preserve"> post-2000.  Among global equities, diversification potential fell markedly from </w:t>
      </w:r>
      <w:r w:rsidR="00183559">
        <w:t xml:space="preserve">an index level of </w:t>
      </w:r>
      <w:r w:rsidRPr="005B5375">
        <w:t xml:space="preserve">roughly 80 in 2000 to about </w:t>
      </w:r>
      <w:r w:rsidR="008F7CAC">
        <w:t xml:space="preserve">60 </w:t>
      </w:r>
      <w:r w:rsidRPr="005B5375">
        <w:t xml:space="preserve">in 2012.  </w:t>
      </w:r>
      <w:r w:rsidR="00BE5805" w:rsidRPr="005B5375">
        <w:t>During the same period, e</w:t>
      </w:r>
      <w:r w:rsidRPr="005B5375">
        <w:t xml:space="preserve">quity investment risk moved up sharply, but then fell back </w:t>
      </w:r>
      <w:r w:rsidR="00BE5805" w:rsidRPr="005B5375">
        <w:t>some post-crisis</w:t>
      </w:r>
      <w:r w:rsidRPr="005B5375">
        <w:t>.</w:t>
      </w:r>
      <w:r w:rsidR="00BE5805" w:rsidRPr="005B5375">
        <w:t xml:space="preserve"> </w:t>
      </w:r>
      <w:r w:rsidRPr="005B5375">
        <w:t xml:space="preserve">  </w:t>
      </w:r>
    </w:p>
    <w:p w14:paraId="0D05E9FF" w14:textId="24FB65DD" w:rsidR="00923744" w:rsidRPr="005B5375" w:rsidRDefault="00795849" w:rsidP="00183559">
      <w:pPr>
        <w:spacing w:after="0" w:line="480" w:lineRule="auto"/>
        <w:ind w:firstLine="720"/>
        <w:jc w:val="both"/>
      </w:pPr>
      <w:r w:rsidRPr="005B5375">
        <w:t xml:space="preserve">Among other global assets, including sovereign debt and real estate, the fall-off in diversification opportunity was </w:t>
      </w:r>
      <w:r w:rsidR="00CD3760" w:rsidRPr="005B5375">
        <w:t>similarly</w:t>
      </w:r>
      <w:r w:rsidRPr="005B5375">
        <w:t xml:space="preserve"> marked, from index level</w:t>
      </w:r>
      <w:r w:rsidR="00BE5805" w:rsidRPr="005B5375">
        <w:t>s</w:t>
      </w:r>
      <w:r w:rsidRPr="005B5375">
        <w:t xml:space="preserve"> in the high 90s in 2000 to close to</w:t>
      </w:r>
      <w:r w:rsidR="00CD3760" w:rsidRPr="005B5375">
        <w:t xml:space="preserve"> 5</w:t>
      </w:r>
      <w:r w:rsidRPr="005B5375">
        <w:t xml:space="preserve">5 and </w:t>
      </w:r>
      <w:r w:rsidR="00CD3760" w:rsidRPr="005B5375">
        <w:t>6</w:t>
      </w:r>
      <w:r w:rsidRPr="005B5375">
        <w:t>0, respectively, in bonds and real estate, in 201</w:t>
      </w:r>
      <w:r w:rsidR="00BE5805" w:rsidRPr="005B5375">
        <w:t>2</w:t>
      </w:r>
      <w:r w:rsidRPr="005B5375">
        <w:t>.</w:t>
      </w:r>
      <w:r w:rsidR="00BE5805" w:rsidRPr="005B5375">
        <w:t xml:space="preserve"> </w:t>
      </w:r>
      <w:r w:rsidRPr="005B5375">
        <w:t xml:space="preserve"> </w:t>
      </w:r>
      <w:r w:rsidR="00DD781F" w:rsidRPr="005B5375">
        <w:t xml:space="preserve">For the </w:t>
      </w:r>
      <w:r w:rsidR="00923744">
        <w:t xml:space="preserve">composite of the </w:t>
      </w:r>
      <w:r w:rsidR="00DD781F" w:rsidRPr="005B5375">
        <w:t xml:space="preserve">three asset classes, the diversification index (average of the asset classes) fell from over 90 in 2000 to roughly 60 in 2012 (see Figure 5).  </w:t>
      </w:r>
      <w:r w:rsidR="00923744">
        <w:t>Overall</w:t>
      </w:r>
      <w:r w:rsidRPr="005B5375">
        <w:t xml:space="preserve">, volatility in returns moved up as diversification opportunities abated.  Indeed, when global returns to an asset class are well integrated, potential benefits of geographic diversification are meagre.  </w:t>
      </w:r>
      <w:r w:rsidR="00923744">
        <w:t>D</w:t>
      </w:r>
      <w:r w:rsidR="00923744" w:rsidRPr="005B5375">
        <w:t xml:space="preserve">iversification </w:t>
      </w:r>
      <w:r w:rsidR="00923744">
        <w:t>index levels</w:t>
      </w:r>
      <w:r w:rsidR="00923744" w:rsidRPr="005B5375">
        <w:t xml:space="preserve"> and risk are strongly negatively correlated for </w:t>
      </w:r>
      <w:r w:rsidR="00183559">
        <w:lastRenderedPageBreak/>
        <w:t xml:space="preserve">each of </w:t>
      </w:r>
      <w:r w:rsidR="00923744" w:rsidRPr="005B5375">
        <w:t xml:space="preserve">the three asset classes, with correlation </w:t>
      </w:r>
      <w:r w:rsidR="00B010C9">
        <w:t xml:space="preserve">coefficients </w:t>
      </w:r>
      <w:r w:rsidR="00923744" w:rsidRPr="005B5375">
        <w:t xml:space="preserve">over the full sample period of -0.648 for equities, -0.462 for bonds, and -0.735 for REITs.  </w:t>
      </w:r>
      <w:r w:rsidR="009E3399">
        <w:t>Augmenting the portfolio with the different asset classes does not provide much relief from risk with a</w:t>
      </w:r>
      <w:r w:rsidR="001D5775" w:rsidRPr="005B5375">
        <w:t xml:space="preserve"> </w:t>
      </w:r>
      <w:r w:rsidR="00923744" w:rsidRPr="005B5375">
        <w:t xml:space="preserve">correlation </w:t>
      </w:r>
      <w:r w:rsidR="009E3399">
        <w:t xml:space="preserve">of </w:t>
      </w:r>
      <w:r w:rsidR="00923744" w:rsidRPr="005B5375">
        <w:t xml:space="preserve">-0.653 for the </w:t>
      </w:r>
      <w:proofErr w:type="gramStart"/>
      <w:r w:rsidR="00923744" w:rsidRPr="005B5375">
        <w:t>three asset</w:t>
      </w:r>
      <w:proofErr w:type="gramEnd"/>
      <w:r w:rsidR="00923744" w:rsidRPr="005B5375">
        <w:t xml:space="preserve"> </w:t>
      </w:r>
      <w:r w:rsidR="001D5775">
        <w:t>class average</w:t>
      </w:r>
      <w:r w:rsidR="00923744" w:rsidRPr="005B5375">
        <w:t xml:space="preserve">.  </w:t>
      </w:r>
    </w:p>
    <w:p w14:paraId="36EEA598" w14:textId="77777777" w:rsidR="00795849" w:rsidRPr="00B010C9" w:rsidRDefault="00795849" w:rsidP="005B415E">
      <w:pPr>
        <w:pStyle w:val="ListParagraph"/>
        <w:numPr>
          <w:ilvl w:val="0"/>
          <w:numId w:val="3"/>
        </w:numPr>
        <w:spacing w:before="240" w:after="0" w:line="480" w:lineRule="auto"/>
        <w:jc w:val="both"/>
        <w:rPr>
          <w:b/>
          <w:bCs/>
        </w:rPr>
      </w:pPr>
      <w:r w:rsidRPr="00B010C9">
        <w:rPr>
          <w:b/>
          <w:bCs/>
        </w:rPr>
        <w:t>Where to Run and Hide</w:t>
      </w:r>
    </w:p>
    <w:p w14:paraId="3A1DD6B4" w14:textId="3F9E8B76" w:rsidR="00216562" w:rsidRDefault="00800DE3" w:rsidP="00183559">
      <w:pPr>
        <w:spacing w:after="0" w:line="480" w:lineRule="auto"/>
        <w:ind w:firstLine="360"/>
        <w:jc w:val="both"/>
      </w:pPr>
      <w:r>
        <w:t xml:space="preserve">Table </w:t>
      </w:r>
      <w:r w:rsidR="00217FD5">
        <w:t>2</w:t>
      </w:r>
      <w:r>
        <w:t xml:space="preserve"> provides further </w:t>
      </w:r>
      <w:r w:rsidR="00183559">
        <w:t>detail</w:t>
      </w:r>
      <w:r w:rsidR="00A91E24">
        <w:t>s</w:t>
      </w:r>
      <w:r w:rsidR="00183559">
        <w:t xml:space="preserve"> on</w:t>
      </w:r>
      <w:r>
        <w:t xml:space="preserve"> diversification trends by </w:t>
      </w:r>
      <w:r w:rsidR="00217FD5">
        <w:t xml:space="preserve">asset class and </w:t>
      </w:r>
      <w:r>
        <w:t xml:space="preserve">country.  It provides insight into systematic </w:t>
      </w:r>
      <w:r w:rsidR="00A372C1">
        <w:t>differences</w:t>
      </w:r>
      <w:r>
        <w:t xml:space="preserve"> </w:t>
      </w:r>
      <w:r w:rsidR="00286DBA">
        <w:t>among</w:t>
      </w:r>
      <w:r>
        <w:t xml:space="preserve"> </w:t>
      </w:r>
      <w:r w:rsidR="00A372C1">
        <w:t xml:space="preserve">highly integrated </w:t>
      </w:r>
      <w:r w:rsidR="00A759C2">
        <w:t xml:space="preserve">more developed </w:t>
      </w:r>
      <w:r w:rsidR="00D056FB">
        <w:t>markets</w:t>
      </w:r>
      <w:r>
        <w:t xml:space="preserve"> </w:t>
      </w:r>
      <w:r w:rsidR="00A372C1">
        <w:t>and</w:t>
      </w:r>
      <w:r w:rsidR="00D056FB">
        <w:t xml:space="preserve"> </w:t>
      </w:r>
      <w:r w:rsidR="00A91E24">
        <w:t>others</w:t>
      </w:r>
      <w:r w:rsidR="00D056FB">
        <w:t xml:space="preserve">.  For each estimated country/asset class diversification index, </w:t>
      </w:r>
      <w:r w:rsidR="00A91E24">
        <w:t xml:space="preserve">Table 2 </w:t>
      </w:r>
      <w:r w:rsidR="00D056FB">
        <w:t>report</w:t>
      </w:r>
      <w:r w:rsidR="00A91E24">
        <w:t>s</w:t>
      </w:r>
      <w:r w:rsidR="00D056FB">
        <w:t xml:space="preserve"> the coefficient and t-statistic from fitting a linear time trend.  </w:t>
      </w:r>
      <w:r>
        <w:t xml:space="preserve">Trends </w:t>
      </w:r>
      <w:r w:rsidR="00A91E24">
        <w:t xml:space="preserve">are given </w:t>
      </w:r>
      <w:r>
        <w:t xml:space="preserve">for the full sample </w:t>
      </w:r>
      <w:r w:rsidR="00286DBA">
        <w:t>and for</w:t>
      </w:r>
      <w:r>
        <w:t xml:space="preserve"> the pre- and post-2000 periods.</w:t>
      </w:r>
      <w:r w:rsidR="00EB4E76">
        <w:t xml:space="preserve">  </w:t>
      </w:r>
    </w:p>
    <w:p w14:paraId="28F26AD8" w14:textId="48A0CE1C" w:rsidR="00EB4E76" w:rsidRDefault="007D5DB5" w:rsidP="009B3B1E">
      <w:pPr>
        <w:spacing w:after="0" w:line="480" w:lineRule="auto"/>
        <w:ind w:firstLine="360"/>
        <w:jc w:val="both"/>
      </w:pPr>
      <w:r w:rsidRPr="00216562">
        <w:t xml:space="preserve">Table 2 </w:t>
      </w:r>
      <w:r w:rsidR="001D5775" w:rsidRPr="00216562">
        <w:t xml:space="preserve">also </w:t>
      </w:r>
      <w:r w:rsidR="009B3B1E">
        <w:t>reports those findings for</w:t>
      </w:r>
      <w:r w:rsidR="001D5775" w:rsidRPr="00216562">
        <w:t xml:space="preserve"> </w:t>
      </w:r>
      <w:r w:rsidR="000155D6" w:rsidRPr="00216562">
        <w:t>a</w:t>
      </w:r>
      <w:r w:rsidRPr="00216562">
        <w:t xml:space="preserve"> global </w:t>
      </w:r>
      <w:r w:rsidR="00A759C2">
        <w:t xml:space="preserve">equal weighted </w:t>
      </w:r>
      <w:r w:rsidRPr="00216562">
        <w:t>index (labelled world index)</w:t>
      </w:r>
      <w:r w:rsidR="00216562" w:rsidRPr="00216562">
        <w:t xml:space="preserve"> for each asset class</w:t>
      </w:r>
      <w:r w:rsidRPr="00216562">
        <w:t>.</w:t>
      </w:r>
      <w:r>
        <w:t xml:space="preserve">  </w:t>
      </w:r>
      <w:r w:rsidR="000155D6">
        <w:t>E</w:t>
      </w:r>
      <w:r>
        <w:t>ach asset class-specific global ind</w:t>
      </w:r>
      <w:r w:rsidR="000155D6">
        <w:t>ex</w:t>
      </w:r>
      <w:r>
        <w:t xml:space="preserve"> </w:t>
      </w:r>
      <w:r w:rsidR="00DC26BC">
        <w:t>displays</w:t>
      </w:r>
      <w:r>
        <w:t xml:space="preserve"> a </w:t>
      </w:r>
      <w:r w:rsidR="00EB4E76">
        <w:t>significant downward trend</w:t>
      </w:r>
      <w:r w:rsidR="00A759C2">
        <w:t xml:space="preserve"> that would have been even more pronounced if country weights were </w:t>
      </w:r>
      <w:r w:rsidR="00DC26BC">
        <w:t>applied</w:t>
      </w:r>
      <w:r w:rsidR="00EB4E76">
        <w:t xml:space="preserve">.  </w:t>
      </w:r>
      <w:r w:rsidR="00611826">
        <w:t xml:space="preserve">There is similarity in the trend for each asset class, thus giving investors reduced opportunity to diversify by switching between asset classes.  </w:t>
      </w:r>
      <w:r w:rsidR="00EB4E76">
        <w:t xml:space="preserve">For the </w:t>
      </w:r>
      <w:r w:rsidR="000155D6">
        <w:t>entire sample</w:t>
      </w:r>
      <w:r w:rsidR="00EB4E76">
        <w:t xml:space="preserve">, the strongest downtrend </w:t>
      </w:r>
      <w:r>
        <w:t xml:space="preserve">is </w:t>
      </w:r>
      <w:r w:rsidR="00EB4E76">
        <w:t xml:space="preserve">for real estate followed closely by equities, where the t-statistics are highly significant.  </w:t>
      </w:r>
      <w:r w:rsidR="000155D6" w:rsidRPr="00883CA8">
        <w:t>C</w:t>
      </w:r>
      <w:r w:rsidRPr="00883CA8">
        <w:t>onsistent with results cited above, t</w:t>
      </w:r>
      <w:r w:rsidR="00286DBA" w:rsidRPr="00883CA8">
        <w:t xml:space="preserve">he estimated </w:t>
      </w:r>
      <w:r w:rsidRPr="00883CA8">
        <w:t>global</w:t>
      </w:r>
      <w:r w:rsidR="00286DBA" w:rsidRPr="00883CA8">
        <w:t xml:space="preserve"> </w:t>
      </w:r>
      <w:r w:rsidRPr="00C83932">
        <w:t>index time trends</w:t>
      </w:r>
      <w:r w:rsidR="00286DBA" w:rsidRPr="007975D2">
        <w:t xml:space="preserve"> for </w:t>
      </w:r>
      <w:r w:rsidRPr="007975D2">
        <w:t xml:space="preserve">each of </w:t>
      </w:r>
      <w:r w:rsidR="00286DBA" w:rsidRPr="007975D2">
        <w:t xml:space="preserve">the three asset classes switch from positive </w:t>
      </w:r>
      <w:r w:rsidRPr="007975D2">
        <w:t xml:space="preserve">in the pre-2000 period </w:t>
      </w:r>
      <w:r w:rsidR="00286DBA" w:rsidRPr="0014577A">
        <w:t>to negative and</w:t>
      </w:r>
      <w:r w:rsidR="00286DBA" w:rsidRPr="00667038">
        <w:t xml:space="preserve"> highly statistically significant post-2000</w:t>
      </w:r>
      <w:r w:rsidR="00286DBA" w:rsidRPr="00883CA8">
        <w:t>.</w:t>
      </w:r>
      <w:r w:rsidR="00286DBA" w:rsidRPr="00286DBA">
        <w:t xml:space="preserve">     </w:t>
      </w:r>
    </w:p>
    <w:p w14:paraId="76F9AC12" w14:textId="370F7149" w:rsidR="006E79A0" w:rsidRDefault="00B91FA8" w:rsidP="009B3B1E">
      <w:pPr>
        <w:spacing w:after="0" w:line="480" w:lineRule="auto"/>
        <w:ind w:firstLine="360"/>
        <w:jc w:val="both"/>
      </w:pPr>
      <w:r>
        <w:t>At the country level, t</w:t>
      </w:r>
      <w:r w:rsidR="006E79A0">
        <w:t>he estimated time trends further reveal striking turnarounds in diversification potential between the pre- and post-2000 periods.  Pre-2000, negative and statistically significant trend coefficients</w:t>
      </w:r>
      <w:r w:rsidR="009B3B1E">
        <w:t>, indicating reduced diversification potential,</w:t>
      </w:r>
      <w:r w:rsidR="006E79A0">
        <w:t xml:space="preserve"> were estimated only for a few country-specific equity indexes</w:t>
      </w:r>
      <w:r w:rsidR="006775F9">
        <w:t xml:space="preserve">.  </w:t>
      </w:r>
      <w:r w:rsidR="000155D6">
        <w:t>I</w:t>
      </w:r>
      <w:r w:rsidR="006E79A0">
        <w:t xml:space="preserve">n </w:t>
      </w:r>
      <w:r w:rsidR="009B3B1E">
        <w:t xml:space="preserve">fact, for </w:t>
      </w:r>
      <w:r w:rsidR="006E79A0">
        <w:t xml:space="preserve">sovereign debt, </w:t>
      </w:r>
      <w:r w:rsidR="006E79A0" w:rsidRPr="009F3F8C">
        <w:rPr>
          <w:i/>
          <w:iCs/>
        </w:rPr>
        <w:t xml:space="preserve">positive </w:t>
      </w:r>
      <w:r w:rsidR="006E79A0">
        <w:t>and significant time trends were estimated for many developed nations</w:t>
      </w:r>
      <w:r w:rsidR="006775F9">
        <w:t xml:space="preserve"> pre-2000</w:t>
      </w:r>
      <w:r w:rsidR="006E79A0">
        <w:t>, notably including Austria, Denmark, France, Germany, Ireland, Japan, and the Netherlands, signifying enhanced opportunities for diversification</w:t>
      </w:r>
      <w:r w:rsidR="006775F9">
        <w:t xml:space="preserve"> </w:t>
      </w:r>
      <w:r w:rsidR="00216562">
        <w:t>in early years</w:t>
      </w:r>
      <w:r w:rsidR="006E79A0">
        <w:t>.  In the case of REITs</w:t>
      </w:r>
      <w:r w:rsidR="009F3F8C">
        <w:t xml:space="preserve"> pre-2000</w:t>
      </w:r>
      <w:r w:rsidR="006E79A0">
        <w:t>, a negative and significant time trend coefficient</w:t>
      </w:r>
      <w:r w:rsidR="009B3B1E">
        <w:t xml:space="preserve"> </w:t>
      </w:r>
      <w:r w:rsidR="006E79A0">
        <w:t xml:space="preserve">was estimated only for the U.S.  </w:t>
      </w:r>
    </w:p>
    <w:p w14:paraId="634B12F1" w14:textId="0B255C55" w:rsidR="001B1813" w:rsidRDefault="00216562" w:rsidP="009B3B1E">
      <w:pPr>
        <w:spacing w:after="0" w:line="480" w:lineRule="auto"/>
        <w:ind w:firstLine="360"/>
        <w:jc w:val="both"/>
      </w:pPr>
      <w:r>
        <w:lastRenderedPageBreak/>
        <w:t>However, a</w:t>
      </w:r>
      <w:r w:rsidR="00AF11A8">
        <w:t>s suggested above, b</w:t>
      </w:r>
      <w:r w:rsidR="006E79A0">
        <w:t xml:space="preserve">y the </w:t>
      </w:r>
      <w:r w:rsidR="009F3F8C">
        <w:t xml:space="preserve">more recent </w:t>
      </w:r>
      <w:r w:rsidR="006E79A0">
        <w:t xml:space="preserve">post-2000 period, </w:t>
      </w:r>
      <w:r w:rsidR="006D0FF9">
        <w:t xml:space="preserve">country- and asset class-specific </w:t>
      </w:r>
      <w:r w:rsidR="0097176C">
        <w:t xml:space="preserve">opportunities for diversification </w:t>
      </w:r>
      <w:r w:rsidR="006D0FF9">
        <w:t>ha</w:t>
      </w:r>
      <w:r w:rsidR="00C910DD">
        <w:t>ve</w:t>
      </w:r>
      <w:r w:rsidR="0097176C">
        <w:t xml:space="preserve"> turned largely </w:t>
      </w:r>
      <w:r w:rsidR="006D0FF9">
        <w:t xml:space="preserve">and significantly </w:t>
      </w:r>
      <w:r w:rsidR="0097176C">
        <w:t xml:space="preserve">negative.  </w:t>
      </w:r>
      <w:r w:rsidR="00611826">
        <w:t>Whil</w:t>
      </w:r>
      <w:r w:rsidR="00994DAF">
        <w:t>e</w:t>
      </w:r>
      <w:r w:rsidR="00611826">
        <w:t xml:space="preserve"> this is clearly the case at asset class level</w:t>
      </w:r>
      <w:r w:rsidR="00994DAF">
        <w:t>,</w:t>
      </w:r>
      <w:r w:rsidR="00611826">
        <w:t xml:space="preserve"> </w:t>
      </w:r>
      <w:r w:rsidR="0097176C">
        <w:t>there</w:t>
      </w:r>
      <w:r w:rsidR="006D0FF9">
        <w:t xml:space="preserve"> </w:t>
      </w:r>
      <w:r w:rsidR="00A91E24">
        <w:t>a</w:t>
      </w:r>
      <w:r w:rsidR="006D0FF9">
        <w:t xml:space="preserve">re some notable </w:t>
      </w:r>
      <w:r w:rsidR="00994DAF">
        <w:t xml:space="preserve">country </w:t>
      </w:r>
      <w:r w:rsidR="006D0FF9">
        <w:t xml:space="preserve">exceptions.  </w:t>
      </w:r>
      <w:proofErr w:type="gramStart"/>
      <w:r w:rsidR="006D0FF9">
        <w:t>A</w:t>
      </w:r>
      <w:r w:rsidR="0097176C">
        <w:t xml:space="preserve"> number of</w:t>
      </w:r>
      <w:proofErr w:type="gramEnd"/>
      <w:r w:rsidR="0097176C">
        <w:t xml:space="preserve"> Middle Eastern nations, </w:t>
      </w:r>
      <w:r w:rsidR="0097176C" w:rsidRPr="0097176C">
        <w:t>including Egypt, Jordan, Lebanon, Oman, Saudi Arabia, and the UAE</w:t>
      </w:r>
      <w:r w:rsidR="0097176C">
        <w:t>,</w:t>
      </w:r>
      <w:r w:rsidR="0097176C" w:rsidRPr="0097176C">
        <w:t xml:space="preserve"> </w:t>
      </w:r>
      <w:r w:rsidR="00A91E24">
        <w:t>do not</w:t>
      </w:r>
      <w:r w:rsidR="00AF11A8">
        <w:t xml:space="preserve"> exhibit</w:t>
      </w:r>
      <w:r w:rsidR="008E6956">
        <w:t xml:space="preserve"> a significant </w:t>
      </w:r>
      <w:r w:rsidR="006D0FF9">
        <w:t>decline</w:t>
      </w:r>
      <w:r w:rsidR="008E6956">
        <w:t xml:space="preserve"> in </w:t>
      </w:r>
      <w:r w:rsidR="008E372C">
        <w:t xml:space="preserve">their index of </w:t>
      </w:r>
      <w:r w:rsidR="00AF11A8">
        <w:t xml:space="preserve">equity </w:t>
      </w:r>
      <w:r w:rsidR="008E6956">
        <w:t>diversification.</w:t>
      </w:r>
      <w:r w:rsidR="006D0FF9">
        <w:t xml:space="preserve"> </w:t>
      </w:r>
      <w:r w:rsidR="0097176C">
        <w:t xml:space="preserve"> </w:t>
      </w:r>
      <w:r w:rsidR="000103AD">
        <w:t xml:space="preserve">This is </w:t>
      </w:r>
      <w:r w:rsidR="009B3B1E">
        <w:t>similarly</w:t>
      </w:r>
      <w:r w:rsidR="000103AD">
        <w:t xml:space="preserve"> </w:t>
      </w:r>
      <w:r w:rsidR="008E6956">
        <w:t xml:space="preserve">the case </w:t>
      </w:r>
      <w:r w:rsidR="000103AD">
        <w:t>for</w:t>
      </w:r>
      <w:r w:rsidR="008E6956">
        <w:t xml:space="preserve"> </w:t>
      </w:r>
      <w:r w:rsidR="000103AD">
        <w:t>several</w:t>
      </w:r>
      <w:r w:rsidR="008E6956">
        <w:t xml:space="preserve"> develop</w:t>
      </w:r>
      <w:r w:rsidR="000103AD">
        <w:t>ing</w:t>
      </w:r>
      <w:r w:rsidR="008E6956">
        <w:t xml:space="preserve"> Asian and African nations, including Ghana, Kazakhstan, Kenya, Nigeria, Pakistan, and Zambia.  In the market for sovereign debt, the only exceptions to significant country-specific </w:t>
      </w:r>
      <w:r w:rsidR="006D0FF9">
        <w:t>declines</w:t>
      </w:r>
      <w:r w:rsidR="008E6956">
        <w:t xml:space="preserve"> in </w:t>
      </w:r>
      <w:r w:rsidR="00A91E24">
        <w:t xml:space="preserve">the </w:t>
      </w:r>
      <w:r w:rsidR="008E6956">
        <w:t xml:space="preserve">diversification </w:t>
      </w:r>
      <w:r w:rsidR="008E372C">
        <w:t>index</w:t>
      </w:r>
      <w:r w:rsidR="008E6956">
        <w:t xml:space="preserve"> </w:t>
      </w:r>
      <w:r w:rsidR="000103AD">
        <w:t xml:space="preserve">are </w:t>
      </w:r>
      <w:r w:rsidR="008E6956">
        <w:t xml:space="preserve">China and Japan.  Also, among REIT diversification </w:t>
      </w:r>
      <w:r w:rsidR="0065388F">
        <w:t>indexes</w:t>
      </w:r>
      <w:r w:rsidR="008E6956">
        <w:t xml:space="preserve">, Greece and Japan fail to show significant </w:t>
      </w:r>
      <w:r w:rsidR="009B3B1E">
        <w:t>declines</w:t>
      </w:r>
      <w:r w:rsidR="008E6956">
        <w:t xml:space="preserve"> in diversification </w:t>
      </w:r>
      <w:r w:rsidR="006D0FF9">
        <w:t>potential</w:t>
      </w:r>
      <w:r w:rsidR="008E6956">
        <w:t xml:space="preserve">.   </w:t>
      </w:r>
      <w:r w:rsidR="00CE3D7A">
        <w:t>Note, however, that</w:t>
      </w:r>
      <w:r w:rsidR="006D0FF9">
        <w:t xml:space="preserve"> w</w:t>
      </w:r>
      <w:r w:rsidR="00D056FB" w:rsidRPr="00D056FB">
        <w:t xml:space="preserve">hile </w:t>
      </w:r>
      <w:r w:rsidR="006D0FF9">
        <w:t xml:space="preserve">the above-identified </w:t>
      </w:r>
      <w:r w:rsidR="008E6956">
        <w:t>Middle Eastern</w:t>
      </w:r>
      <w:r w:rsidR="006D0FF9">
        <w:t xml:space="preserve"> and</w:t>
      </w:r>
      <w:r w:rsidR="008E6956">
        <w:t xml:space="preserve"> African </w:t>
      </w:r>
      <w:r w:rsidR="008E372C">
        <w:t xml:space="preserve">and Asian </w:t>
      </w:r>
      <w:r w:rsidR="008E6956">
        <w:t xml:space="preserve">nations </w:t>
      </w:r>
      <w:r w:rsidR="00D056FB" w:rsidRPr="00D056FB">
        <w:t xml:space="preserve">offer higher levels of diversification potential, </w:t>
      </w:r>
      <w:r w:rsidR="00A91E24">
        <w:t>some</w:t>
      </w:r>
      <w:r w:rsidR="00A91E24" w:rsidRPr="00D056FB">
        <w:t xml:space="preserve"> </w:t>
      </w:r>
      <w:r w:rsidR="000103AD">
        <w:t xml:space="preserve">are </w:t>
      </w:r>
      <w:r w:rsidR="00A91E24">
        <w:t>subject to other</w:t>
      </w:r>
      <w:r w:rsidR="00D056FB" w:rsidRPr="00D056FB">
        <w:t xml:space="preserve"> country-specific risks, </w:t>
      </w:r>
      <w:r w:rsidR="00A91E24">
        <w:t>i</w:t>
      </w:r>
      <w:r w:rsidR="00D056FB" w:rsidRPr="00D056FB">
        <w:t xml:space="preserve">ncluding </w:t>
      </w:r>
      <w:r w:rsidR="00501944">
        <w:t xml:space="preserve">barriers to investment, </w:t>
      </w:r>
      <w:r w:rsidR="00D056FB" w:rsidRPr="00D056FB">
        <w:t xml:space="preserve">political instability, </w:t>
      </w:r>
      <w:r w:rsidR="00A91E24">
        <w:t>inadequate</w:t>
      </w:r>
      <w:r w:rsidR="00D056FB" w:rsidRPr="00D056FB">
        <w:t xml:space="preserve"> legal infrastructure, </w:t>
      </w:r>
      <w:r w:rsidR="009B3B1E">
        <w:t xml:space="preserve">civil unrest and </w:t>
      </w:r>
      <w:r w:rsidR="00D056FB" w:rsidRPr="00D056FB">
        <w:t>sectarian violence, and the like</w:t>
      </w:r>
      <w:r w:rsidR="008E372C">
        <w:t>.</w:t>
      </w:r>
      <w:r w:rsidRPr="00216562">
        <w:rPr>
          <w:rStyle w:val="FootnoteReference"/>
        </w:rPr>
        <w:t xml:space="preserve"> </w:t>
      </w:r>
    </w:p>
    <w:p w14:paraId="522290AD" w14:textId="6F71546B" w:rsidR="00CC0797" w:rsidRDefault="00CC0797" w:rsidP="008E372C">
      <w:pPr>
        <w:spacing w:after="0" w:line="480" w:lineRule="auto"/>
        <w:ind w:firstLine="360"/>
        <w:jc w:val="both"/>
      </w:pPr>
      <w:r>
        <w:t xml:space="preserve">Table </w:t>
      </w:r>
      <w:r w:rsidR="00217FD5">
        <w:t>3</w:t>
      </w:r>
      <w:r>
        <w:t xml:space="preserve"> shows results of estimation of a linear time trend </w:t>
      </w:r>
      <w:r w:rsidR="008E372C">
        <w:t>for</w:t>
      </w:r>
      <w:r>
        <w:t xml:space="preserve"> portfolios comprised of </w:t>
      </w:r>
      <w:r w:rsidR="008E372C">
        <w:t>all</w:t>
      </w:r>
      <w:r>
        <w:t xml:space="preserve"> 3 assets for individual nations and for </w:t>
      </w:r>
      <w:r w:rsidR="008E372C">
        <w:t xml:space="preserve">the </w:t>
      </w:r>
      <w:r>
        <w:t xml:space="preserve">different sample timeframes.  </w:t>
      </w:r>
      <w:r w:rsidR="000155D6">
        <w:t>O</w:t>
      </w:r>
      <w:r>
        <w:t xml:space="preserve">nly a limited number of advanced western nations allow estimation of those trends for a </w:t>
      </w:r>
      <w:proofErr w:type="gramStart"/>
      <w:r>
        <w:t>3 asset</w:t>
      </w:r>
      <w:proofErr w:type="gramEnd"/>
      <w:r>
        <w:t xml:space="preserve"> class</w:t>
      </w:r>
      <w:r w:rsidR="00626845">
        <w:t xml:space="preserve"> portfolio</w:t>
      </w:r>
      <w:r>
        <w:t xml:space="preserve">.  </w:t>
      </w:r>
      <w:r w:rsidR="001D32CC">
        <w:t xml:space="preserve">This would allow us </w:t>
      </w:r>
      <w:proofErr w:type="gramStart"/>
      <w:r w:rsidR="001D32CC">
        <w:t>assess</w:t>
      </w:r>
      <w:proofErr w:type="gramEnd"/>
      <w:r w:rsidR="001D32CC">
        <w:t xml:space="preserve"> how well a</w:t>
      </w:r>
      <w:r w:rsidR="00994DAF">
        <w:t>n</w:t>
      </w:r>
      <w:r w:rsidR="001D32CC">
        <w:t xml:space="preserve"> investor</w:t>
      </w:r>
      <w:r w:rsidR="00994DAF">
        <w:t xml:space="preserve"> in domestic assets</w:t>
      </w:r>
      <w:r w:rsidR="001D32CC">
        <w:t xml:space="preserve">, in </w:t>
      </w:r>
      <w:r w:rsidR="00994DAF">
        <w:t xml:space="preserve">the U.S. </w:t>
      </w:r>
      <w:r w:rsidR="001D32CC">
        <w:t xml:space="preserve">for example, </w:t>
      </w:r>
      <w:r w:rsidR="00994DAF">
        <w:t>could enhance their diversification potential via investment in multiple</w:t>
      </w:r>
      <w:r w:rsidR="001D32CC">
        <w:t xml:space="preserve"> asset classes. The findings are not promising.  </w:t>
      </w:r>
      <w:r>
        <w:t>Among the 12 countr</w:t>
      </w:r>
      <w:r w:rsidR="003E397B">
        <w:t>y</w:t>
      </w:r>
      <w:r>
        <w:t xml:space="preserve"> </w:t>
      </w:r>
      <w:r w:rsidR="0065388F">
        <w:t>indexes</w:t>
      </w:r>
      <w:r>
        <w:t xml:space="preserve">, the single outlier to an estimated negative and significant </w:t>
      </w:r>
      <w:r w:rsidR="00826DAD">
        <w:t xml:space="preserve">diversification </w:t>
      </w:r>
      <w:r>
        <w:t xml:space="preserve">trend coefficient </w:t>
      </w:r>
      <w:r w:rsidR="000155D6">
        <w:t xml:space="preserve">is </w:t>
      </w:r>
      <w:r>
        <w:t xml:space="preserve">Japan.  </w:t>
      </w:r>
      <w:r w:rsidR="008E372C">
        <w:t>For Japan</w:t>
      </w:r>
      <w:r>
        <w:t xml:space="preserve">, the estimated coefficient switched from positive and significant in the pre-2000 period to negative and insignificant in the post-2000 period.  </w:t>
      </w:r>
    </w:p>
    <w:p w14:paraId="1315109F" w14:textId="69D77E80" w:rsidR="00433C89" w:rsidRDefault="00CC0797" w:rsidP="009B3B1E">
      <w:pPr>
        <w:spacing w:after="0" w:line="480" w:lineRule="auto"/>
        <w:ind w:firstLine="360"/>
        <w:jc w:val="both"/>
      </w:pPr>
      <w:r>
        <w:t xml:space="preserve">We further </w:t>
      </w:r>
      <w:r w:rsidR="00826DAD">
        <w:t>investigate</w:t>
      </w:r>
      <w:r>
        <w:t xml:space="preserve"> the estimated trend</w:t>
      </w:r>
      <w:r w:rsidR="00826DAD">
        <w:t xml:space="preserve"> </w:t>
      </w:r>
      <w:r>
        <w:t xml:space="preserve">in diversification </w:t>
      </w:r>
      <w:r w:rsidR="00826DAD">
        <w:t xml:space="preserve">opportunity among </w:t>
      </w:r>
      <w:r w:rsidR="002516E4">
        <w:t xml:space="preserve">developed </w:t>
      </w:r>
      <w:r w:rsidR="00826DAD">
        <w:t>and</w:t>
      </w:r>
      <w:r w:rsidR="00F11441">
        <w:t xml:space="preserve"> emerging </w:t>
      </w:r>
      <w:r w:rsidR="002516E4">
        <w:t>economies</w:t>
      </w:r>
      <w:r w:rsidR="00F11441">
        <w:t xml:space="preserve">.  </w:t>
      </w:r>
      <w:r w:rsidR="00222BA5">
        <w:t xml:space="preserve">We </w:t>
      </w:r>
      <w:r w:rsidR="00826DAD">
        <w:t>allocate</w:t>
      </w:r>
      <w:r w:rsidR="00222BA5">
        <w:t xml:space="preserve"> countries across these </w:t>
      </w:r>
      <w:r w:rsidR="00826DAD">
        <w:t>categories</w:t>
      </w:r>
      <w:r w:rsidR="00222BA5">
        <w:t xml:space="preserve"> based on the United Nations Human Development Index.  In accordance with th</w:t>
      </w:r>
      <w:r w:rsidR="00826DAD">
        <w:t>e UN</w:t>
      </w:r>
      <w:r w:rsidR="00222BA5">
        <w:t xml:space="preserve"> Index, we coded those countries </w:t>
      </w:r>
      <w:r w:rsidR="00826DAD">
        <w:t>identified</w:t>
      </w:r>
      <w:r w:rsidR="00222BA5">
        <w:t xml:space="preserve"> as “very high human development” as developed nations, whereas the others were included in the “emerging” category.  The UN categorization </w:t>
      </w:r>
      <w:r w:rsidR="009B3B1E">
        <w:t>is based on</w:t>
      </w:r>
      <w:r w:rsidR="00222BA5">
        <w:t xml:space="preserve"> </w:t>
      </w:r>
      <w:proofErr w:type="gramStart"/>
      <w:r w:rsidR="00222BA5">
        <w:t>a large number of</w:t>
      </w:r>
      <w:proofErr w:type="gramEnd"/>
      <w:r w:rsidR="00222BA5">
        <w:t xml:space="preserve"> country-level economic and human capital characteristics.</w:t>
      </w:r>
      <w:r>
        <w:t xml:space="preserve">  </w:t>
      </w:r>
    </w:p>
    <w:p w14:paraId="2A2B5A16" w14:textId="69C07086" w:rsidR="00222BA5" w:rsidRDefault="00433C89" w:rsidP="009B3B1E">
      <w:pPr>
        <w:spacing w:after="0" w:line="480" w:lineRule="auto"/>
        <w:ind w:firstLine="360"/>
        <w:jc w:val="both"/>
      </w:pPr>
      <w:r w:rsidRPr="00262CE4">
        <w:lastRenderedPageBreak/>
        <w:t xml:space="preserve">Figure 6 displays trends in global diversification </w:t>
      </w:r>
      <w:r w:rsidR="0065388F">
        <w:t>indexes</w:t>
      </w:r>
      <w:r w:rsidRPr="00262CE4">
        <w:t xml:space="preserve"> by asset class and for developed and emerging economies.  </w:t>
      </w:r>
      <w:r w:rsidR="00262CE4" w:rsidRPr="00883CA8">
        <w:t>Overall</w:t>
      </w:r>
      <w:r w:rsidRPr="00883CA8">
        <w:t xml:space="preserve">, diversification </w:t>
      </w:r>
      <w:r w:rsidR="009B3B1E" w:rsidRPr="00883CA8">
        <w:t xml:space="preserve">potential </w:t>
      </w:r>
      <w:r w:rsidRPr="00883CA8">
        <w:t>tr</w:t>
      </w:r>
      <w:r w:rsidRPr="007975D2">
        <w:t>ends down in the post-2000 period</w:t>
      </w:r>
      <w:r w:rsidR="00D05687">
        <w:t xml:space="preserve"> for the three asset classes</w:t>
      </w:r>
      <w:r w:rsidRPr="007975D2">
        <w:t>, relative to earlier years</w:t>
      </w:r>
      <w:r w:rsidR="00262CE4" w:rsidRPr="00667038">
        <w:t>, especially among developed economies</w:t>
      </w:r>
      <w:r w:rsidRPr="00667038">
        <w:t>.</w:t>
      </w:r>
      <w:r w:rsidRPr="00262CE4">
        <w:t xml:space="preserve">  </w:t>
      </w:r>
      <w:r w:rsidR="00262CE4" w:rsidRPr="00262CE4">
        <w:t xml:space="preserve"> Specifically, t</w:t>
      </w:r>
      <w:r w:rsidRPr="00262CE4">
        <w:t xml:space="preserve">he diversification indexes </w:t>
      </w:r>
      <w:r w:rsidR="00262CE4" w:rsidRPr="00262CE4">
        <w:t xml:space="preserve">plotted in Figure 6 </w:t>
      </w:r>
      <w:r w:rsidR="000155D6" w:rsidRPr="00262CE4">
        <w:t xml:space="preserve">move </w:t>
      </w:r>
      <w:r w:rsidRPr="00262CE4">
        <w:t xml:space="preserve">down </w:t>
      </w:r>
      <w:r w:rsidR="00262CE4" w:rsidRPr="00262CE4">
        <w:t>markedly</w:t>
      </w:r>
      <w:r w:rsidRPr="00262CE4">
        <w:t xml:space="preserve"> post-2000 for developed </w:t>
      </w:r>
      <w:r w:rsidR="008E372C">
        <w:t>economy</w:t>
      </w:r>
      <w:r w:rsidRPr="00262CE4">
        <w:t xml:space="preserve"> equity and real estate </w:t>
      </w:r>
      <w:proofErr w:type="gramStart"/>
      <w:r w:rsidRPr="00262CE4">
        <w:t>markets;</w:t>
      </w:r>
      <w:proofErr w:type="gramEnd"/>
      <w:r w:rsidRPr="00262CE4">
        <w:t xml:space="preserve"> </w:t>
      </w:r>
      <w:r w:rsidR="00D05687">
        <w:t>although less</w:t>
      </w:r>
      <w:r w:rsidRPr="00262CE4">
        <w:t xml:space="preserve"> trending down in diversification opportunity was </w:t>
      </w:r>
      <w:r w:rsidR="000155D6">
        <w:t>found for</w:t>
      </w:r>
      <w:r w:rsidR="000155D6" w:rsidRPr="00262CE4">
        <w:t xml:space="preserve"> </w:t>
      </w:r>
      <w:r w:rsidRPr="00262CE4">
        <w:t xml:space="preserve">emerging equity markets.  In the case of debt markets, the divergence between developed and emerging markets </w:t>
      </w:r>
      <w:r w:rsidR="000155D6">
        <w:t>is</w:t>
      </w:r>
      <w:r w:rsidRPr="00262CE4">
        <w:t xml:space="preserve"> less apparent, reflecting in part </w:t>
      </w:r>
      <w:r w:rsidR="00262CE4" w:rsidRPr="00262CE4">
        <w:t xml:space="preserve">sovereign debt crises </w:t>
      </w:r>
      <w:r w:rsidR="00752CCC">
        <w:t xml:space="preserve">in the latter half of the 2000s and beyond </w:t>
      </w:r>
      <w:r w:rsidR="00262CE4" w:rsidRPr="00262CE4">
        <w:t xml:space="preserve">in </w:t>
      </w:r>
      <w:proofErr w:type="gramStart"/>
      <w:r w:rsidR="00262CE4" w:rsidRPr="00262CE4">
        <w:t>a number of</w:t>
      </w:r>
      <w:proofErr w:type="gramEnd"/>
      <w:r w:rsidR="00262CE4" w:rsidRPr="00262CE4">
        <w:t xml:space="preserve"> advanced European economies.  </w:t>
      </w:r>
      <w:r w:rsidR="00CC0797">
        <w:t xml:space="preserve">  </w:t>
      </w:r>
    </w:p>
    <w:p w14:paraId="15D4B2B1" w14:textId="03388144" w:rsidR="00103B07" w:rsidRDefault="00222BA5" w:rsidP="00D87285">
      <w:pPr>
        <w:spacing w:after="0" w:line="480" w:lineRule="auto"/>
        <w:ind w:firstLine="360"/>
        <w:jc w:val="both"/>
      </w:pPr>
      <w:r w:rsidRPr="00883CA8">
        <w:t xml:space="preserve">Results of fitting of time trends </w:t>
      </w:r>
      <w:r w:rsidR="00826DAD" w:rsidRPr="00883CA8">
        <w:t xml:space="preserve">to the </w:t>
      </w:r>
      <w:r w:rsidR="00262CE4" w:rsidRPr="007975D2">
        <w:t>developed</w:t>
      </w:r>
      <w:r w:rsidR="00826DAD" w:rsidRPr="007975D2">
        <w:t xml:space="preserve"> and emerging country groups </w:t>
      </w:r>
      <w:r w:rsidRPr="007975D2">
        <w:t xml:space="preserve">are as anticipated.  As shown </w:t>
      </w:r>
      <w:r w:rsidR="003B6398" w:rsidRPr="00667038">
        <w:t xml:space="preserve">in Table </w:t>
      </w:r>
      <w:r w:rsidR="00752CCC" w:rsidRPr="00667038">
        <w:t>4</w:t>
      </w:r>
      <w:r w:rsidRPr="00667038">
        <w:t xml:space="preserve">, the estimated diversification trends switch from positive and insignificant in the pre-2000s </w:t>
      </w:r>
      <w:r w:rsidR="00752CCC" w:rsidRPr="00667038">
        <w:t>for all asset classes</w:t>
      </w:r>
      <w:r w:rsidRPr="00667038">
        <w:t xml:space="preserve"> to negative and statistically significant </w:t>
      </w:r>
      <w:r w:rsidR="00826DAD" w:rsidRPr="00667038">
        <w:t>for</w:t>
      </w:r>
      <w:r w:rsidRPr="00667038">
        <w:t xml:space="preserve"> the post-2000s period.  Further, </w:t>
      </w:r>
      <w:r w:rsidR="00826DAD" w:rsidRPr="00667038">
        <w:t>for</w:t>
      </w:r>
      <w:r w:rsidRPr="00667038">
        <w:t xml:space="preserve"> all asset classes</w:t>
      </w:r>
      <w:r w:rsidR="003E397B" w:rsidRPr="00667038">
        <w:t>,</w:t>
      </w:r>
      <w:r w:rsidRPr="00667038">
        <w:t xml:space="preserve"> the estimated trending down in diversification opportunity post-2000 was substantially larger in the case of developed relative to emerging countries.</w:t>
      </w:r>
      <w:r w:rsidR="005E0BB1" w:rsidRPr="00883CA8">
        <w:rPr>
          <w:rStyle w:val="FootnoteReference"/>
        </w:rPr>
        <w:footnoteReference w:id="19"/>
      </w:r>
      <w:r>
        <w:t xml:space="preserve"> </w:t>
      </w:r>
      <w:r w:rsidR="00CA3670">
        <w:t xml:space="preserve"> </w:t>
      </w:r>
      <w:r w:rsidR="00D05687">
        <w:t>Regardless, the evidence points to a contraction of diversification potential for investors focusing on single or multiple portfolio</w:t>
      </w:r>
      <w:r w:rsidR="00994DAF">
        <w:t xml:space="preserve"> assets</w:t>
      </w:r>
      <w:r w:rsidR="00D05687">
        <w:t>.</w:t>
      </w:r>
      <w:r w:rsidR="00CA5662">
        <w:t xml:space="preserve">  </w:t>
      </w:r>
    </w:p>
    <w:p w14:paraId="3E001E43" w14:textId="35F4BD53" w:rsidR="00637B3D" w:rsidRDefault="00637B3D">
      <w:pPr>
        <w:rPr>
          <w:b/>
          <w:bCs/>
        </w:rPr>
      </w:pPr>
      <w:r>
        <w:rPr>
          <w:b/>
          <w:bCs/>
        </w:rPr>
        <w:br w:type="page"/>
      </w:r>
    </w:p>
    <w:p w14:paraId="090FF4F1" w14:textId="77777777" w:rsidR="00D87285" w:rsidRDefault="00D87285" w:rsidP="00D87285">
      <w:pPr>
        <w:spacing w:after="0" w:line="480" w:lineRule="auto"/>
        <w:ind w:firstLine="360"/>
        <w:jc w:val="both"/>
        <w:rPr>
          <w:b/>
          <w:bCs/>
        </w:rPr>
      </w:pPr>
    </w:p>
    <w:p w14:paraId="373DD37D" w14:textId="43AB186C" w:rsidR="003E397B" w:rsidRDefault="00795849" w:rsidP="00BB44A4">
      <w:pPr>
        <w:pStyle w:val="ListParagraph"/>
        <w:numPr>
          <w:ilvl w:val="0"/>
          <w:numId w:val="3"/>
        </w:numPr>
        <w:spacing w:before="240" w:after="0" w:line="480" w:lineRule="auto"/>
        <w:jc w:val="both"/>
        <w:rPr>
          <w:b/>
          <w:bCs/>
        </w:rPr>
      </w:pPr>
      <w:r w:rsidRPr="005B5375">
        <w:rPr>
          <w:b/>
          <w:bCs/>
        </w:rPr>
        <w:t>Robustness</w:t>
      </w:r>
      <w:r w:rsidR="00F30256">
        <w:rPr>
          <w:b/>
          <w:bCs/>
        </w:rPr>
        <w:t xml:space="preserve"> of Diversification Trends</w:t>
      </w:r>
    </w:p>
    <w:p w14:paraId="59E7361B" w14:textId="2CD4F018" w:rsidR="00795849" w:rsidRDefault="00481A6D" w:rsidP="00BB44A4">
      <w:pPr>
        <w:spacing w:after="0" w:line="480" w:lineRule="auto"/>
        <w:ind w:firstLine="360"/>
        <w:jc w:val="both"/>
      </w:pPr>
      <w:r>
        <w:t xml:space="preserve">Prior research has </w:t>
      </w:r>
      <w:r w:rsidR="00652BBC">
        <w:t>provided evidence of higher correlations amo</w:t>
      </w:r>
      <w:r w:rsidR="000764BC">
        <w:t xml:space="preserve">ng international markets during </w:t>
      </w:r>
      <w:r w:rsidR="00652BBC">
        <w:t xml:space="preserve">downturns (bear markets) than during upswings (bull markets); </w:t>
      </w:r>
      <w:proofErr w:type="gramStart"/>
      <w:r w:rsidR="00652BBC">
        <w:t>e.g.;</w:t>
      </w:r>
      <w:proofErr w:type="gramEnd"/>
      <w:r w:rsidR="00652BBC">
        <w:t xml:space="preserve"> see, for example, </w:t>
      </w:r>
      <w:proofErr w:type="spellStart"/>
      <w:r w:rsidR="00652BBC">
        <w:t>Longin</w:t>
      </w:r>
      <w:proofErr w:type="spellEnd"/>
      <w:r w:rsidR="00652BBC">
        <w:t xml:space="preserve"> and </w:t>
      </w:r>
      <w:proofErr w:type="spellStart"/>
      <w:r w:rsidR="00652BBC">
        <w:t>Solnik</w:t>
      </w:r>
      <w:proofErr w:type="spellEnd"/>
      <w:r w:rsidR="00652BBC">
        <w:t xml:space="preserve"> (2001), </w:t>
      </w:r>
      <w:proofErr w:type="spellStart"/>
      <w:r w:rsidR="00652BBC">
        <w:t>Pukthuanthong</w:t>
      </w:r>
      <w:proofErr w:type="spellEnd"/>
      <w:r w:rsidR="00652BBC">
        <w:t xml:space="preserve"> and Roll (2009).  </w:t>
      </w:r>
      <w:proofErr w:type="spellStart"/>
      <w:r w:rsidR="00652BBC">
        <w:t>Pukthuanthong</w:t>
      </w:r>
      <w:proofErr w:type="spellEnd"/>
      <w:r w:rsidR="00652BBC">
        <w:t xml:space="preserve"> and Roll (2009)</w:t>
      </w:r>
      <w:r w:rsidR="009A08C4">
        <w:t>, for example,</w:t>
      </w:r>
      <w:r w:rsidR="00652BBC">
        <w:t xml:space="preserve"> </w:t>
      </w:r>
      <w:r w:rsidR="000764BC">
        <w:t xml:space="preserve">show slight increments to return integration </w:t>
      </w:r>
      <w:r w:rsidR="009A08C4">
        <w:t xml:space="preserve">among global equities </w:t>
      </w:r>
      <w:r w:rsidR="000764BC">
        <w:t xml:space="preserve">in bear markets.  Appendix Figure </w:t>
      </w:r>
      <w:r w:rsidR="007F117F">
        <w:t>3</w:t>
      </w:r>
      <w:r w:rsidR="000764BC">
        <w:t xml:space="preserve"> distinguishes </w:t>
      </w:r>
      <w:r w:rsidR="009A08C4">
        <w:t xml:space="preserve">global </w:t>
      </w:r>
      <w:r w:rsidR="000764BC">
        <w:t xml:space="preserve">equity, bond, and real estate asset class </w:t>
      </w:r>
      <w:r w:rsidR="009A08C4">
        <w:t xml:space="preserve">diversification </w:t>
      </w:r>
      <w:r w:rsidR="003128B9">
        <w:t xml:space="preserve">potential </w:t>
      </w:r>
      <w:r w:rsidR="000764BC">
        <w:t xml:space="preserve">by NBER recession </w:t>
      </w:r>
      <w:r w:rsidR="007F117F">
        <w:t xml:space="preserve">periods </w:t>
      </w:r>
      <w:r w:rsidR="000764BC">
        <w:t>(</w:t>
      </w:r>
      <w:r w:rsidR="0012485D">
        <w:t xml:space="preserve">red </w:t>
      </w:r>
      <w:r w:rsidR="000764BC">
        <w:t>bars) and non-recession periods.  The dating of US recessions by the NBER is similar to the d</w:t>
      </w:r>
      <w:r w:rsidR="00686CFA">
        <w:t>ating</w:t>
      </w:r>
      <w:r w:rsidR="000764BC">
        <w:t xml:space="preserve"> of global recessions by the IMF.</w:t>
      </w:r>
      <w:r w:rsidR="000764BC">
        <w:rPr>
          <w:rStyle w:val="FootnoteReference"/>
        </w:rPr>
        <w:footnoteReference w:id="20"/>
      </w:r>
      <w:r w:rsidR="00D469C2">
        <w:t xml:space="preserve">  As is evident, </w:t>
      </w:r>
      <w:r w:rsidR="009A08C4">
        <w:t xml:space="preserve">the </w:t>
      </w:r>
      <w:r w:rsidR="00D469C2">
        <w:t xml:space="preserve">plots </w:t>
      </w:r>
      <w:r w:rsidR="009A08C4">
        <w:t xml:space="preserve">in Appendix Figure </w:t>
      </w:r>
      <w:r w:rsidR="007F117F">
        <w:t>3</w:t>
      </w:r>
      <w:r w:rsidR="009A08C4">
        <w:t xml:space="preserve"> </w:t>
      </w:r>
      <w:r w:rsidR="00D469C2">
        <w:t xml:space="preserve">do not </w:t>
      </w:r>
      <w:r w:rsidR="009A08C4">
        <w:t>suggest</w:t>
      </w:r>
      <w:r w:rsidR="00D469C2">
        <w:t xml:space="preserve"> </w:t>
      </w:r>
      <w:r w:rsidR="000A5D6B">
        <w:t>systematic variation across recession and upswing periods</w:t>
      </w:r>
      <w:r w:rsidR="009A08C4">
        <w:t xml:space="preserve"> in </w:t>
      </w:r>
      <w:r w:rsidR="00686CFA">
        <w:t xml:space="preserve">the </w:t>
      </w:r>
      <w:r w:rsidR="009A08C4">
        <w:t>global asset class diversification</w:t>
      </w:r>
      <w:r w:rsidR="00686CFA">
        <w:t xml:space="preserve"> indexes</w:t>
      </w:r>
      <w:r w:rsidR="003A1EC8">
        <w:t xml:space="preserve">. </w:t>
      </w:r>
      <w:r w:rsidR="000A5D6B">
        <w:t xml:space="preserve">Instead, </w:t>
      </w:r>
      <w:r w:rsidR="009A08C4">
        <w:t xml:space="preserve">as described above, </w:t>
      </w:r>
      <w:r w:rsidR="000A5D6B">
        <w:t>the</w:t>
      </w:r>
      <w:r w:rsidR="009A08C4">
        <w:t>y</w:t>
      </w:r>
      <w:r w:rsidR="000A5D6B">
        <w:t xml:space="preserve"> </w:t>
      </w:r>
      <w:r w:rsidR="009A08C4">
        <w:t>indicate</w:t>
      </w:r>
      <w:r w:rsidR="000A5D6B">
        <w:t xml:space="preserve"> long-term secular down</w:t>
      </w:r>
      <w:r w:rsidR="009A08C4">
        <w:t>trends</w:t>
      </w:r>
      <w:r w:rsidR="000A5D6B">
        <w:t xml:space="preserve"> in diversification potential dating from roughly 2000.</w:t>
      </w:r>
    </w:p>
    <w:p w14:paraId="7599CEC7" w14:textId="1F31D32F" w:rsidR="003C3025" w:rsidRDefault="00701A63" w:rsidP="00B00575">
      <w:pPr>
        <w:spacing w:after="0" w:line="480" w:lineRule="auto"/>
        <w:ind w:firstLine="360"/>
        <w:jc w:val="both"/>
      </w:pPr>
      <w:r>
        <w:t xml:space="preserve">We further assess robustness of </w:t>
      </w:r>
      <w:r w:rsidR="0001433D">
        <w:t xml:space="preserve">diversification </w:t>
      </w:r>
      <w:r>
        <w:t xml:space="preserve">results to periods of </w:t>
      </w:r>
      <w:r w:rsidR="009A08C4">
        <w:t xml:space="preserve">bear versus bull </w:t>
      </w:r>
      <w:r w:rsidR="0001433D">
        <w:t xml:space="preserve">equity </w:t>
      </w:r>
      <w:r w:rsidR="009A08C4">
        <w:t xml:space="preserve">markets, </w:t>
      </w:r>
      <w:r w:rsidR="003D7B4F">
        <w:t xml:space="preserve">high and low </w:t>
      </w:r>
      <w:r w:rsidR="0008761D">
        <w:t xml:space="preserve">equity </w:t>
      </w:r>
      <w:r w:rsidR="003D7B4F">
        <w:t>market volatility</w:t>
      </w:r>
      <w:r w:rsidR="00AF1E40">
        <w:t xml:space="preserve"> (S&amp;P Index Options VIX Index)</w:t>
      </w:r>
      <w:r w:rsidR="009A08C4">
        <w:t xml:space="preserve">, </w:t>
      </w:r>
      <w:r w:rsidR="00402EBC">
        <w:t xml:space="preserve">and high and low </w:t>
      </w:r>
      <w:r w:rsidR="00AF1E40">
        <w:t>perceived credit risk in the economy (</w:t>
      </w:r>
      <w:r w:rsidR="00340CB4" w:rsidRPr="00340CB4">
        <w:t>TED Spread)</w:t>
      </w:r>
      <w:r w:rsidR="00AF1E40">
        <w:t>.</w:t>
      </w:r>
      <w:r w:rsidR="00340CB4">
        <w:rPr>
          <w:rStyle w:val="FootnoteReference"/>
        </w:rPr>
        <w:footnoteReference w:id="21"/>
      </w:r>
      <w:r w:rsidR="00AF1E40">
        <w:t xml:space="preserve"> </w:t>
      </w:r>
      <w:r w:rsidR="003D7B4F">
        <w:t xml:space="preserve"> </w:t>
      </w:r>
      <w:r w:rsidR="00323885">
        <w:t xml:space="preserve">These stratifications </w:t>
      </w:r>
      <w:r w:rsidR="003C3025">
        <w:t>elucidate</w:t>
      </w:r>
      <w:r w:rsidR="00323885">
        <w:t xml:space="preserve"> whether </w:t>
      </w:r>
      <w:r w:rsidR="003C7B4E">
        <w:t>diversification opportunity var</w:t>
      </w:r>
      <w:r w:rsidR="003128B9">
        <w:t>ies</w:t>
      </w:r>
      <w:r w:rsidR="003C7B4E">
        <w:t xml:space="preserve"> </w:t>
      </w:r>
      <w:r w:rsidR="003C3025">
        <w:t>according to the</w:t>
      </w:r>
      <w:r w:rsidR="003C7B4E">
        <w:t xml:space="preserve"> state of the </w:t>
      </w:r>
      <w:r w:rsidR="00345D77">
        <w:t xml:space="preserve">financial </w:t>
      </w:r>
      <w:r w:rsidR="003C7B4E">
        <w:t>market</w:t>
      </w:r>
      <w:r w:rsidR="00345D77">
        <w:t>s</w:t>
      </w:r>
      <w:r w:rsidR="003C3025">
        <w:t>.</w:t>
      </w:r>
      <w:r w:rsidR="003C7B4E">
        <w:t xml:space="preserve">   </w:t>
      </w:r>
      <w:r w:rsidR="00C06E27">
        <w:t xml:space="preserve">As shown in Panel A of Appendix </w:t>
      </w:r>
      <w:r w:rsidR="00257D41">
        <w:t>Figure</w:t>
      </w:r>
      <w:r w:rsidR="00C06E27">
        <w:t xml:space="preserve"> 4, we plot average annual returns for each asset class against the difference between asset-specific diversification index </w:t>
      </w:r>
      <w:r w:rsidR="000C10F9">
        <w:t xml:space="preserve">annual </w:t>
      </w:r>
      <w:r w:rsidR="00C06E27">
        <w:t xml:space="preserve">values for </w:t>
      </w:r>
      <w:r w:rsidR="003C7B4E">
        <w:t xml:space="preserve">low and </w:t>
      </w:r>
      <w:r w:rsidR="00C06E27">
        <w:t xml:space="preserve">high return days.  Average annual returns </w:t>
      </w:r>
      <w:r w:rsidR="00950F47">
        <w:t xml:space="preserve">by asset class are computed from daily return observations in each year.  The difference </w:t>
      </w:r>
      <w:r w:rsidR="00950F47">
        <w:lastRenderedPageBreak/>
        <w:t xml:space="preserve">between </w:t>
      </w:r>
      <w:r w:rsidR="003C7B4E">
        <w:t xml:space="preserve">bear and </w:t>
      </w:r>
      <w:r w:rsidR="00950F47">
        <w:t xml:space="preserve">bull asset-specific diversification values is computed as the difference </w:t>
      </w:r>
      <w:r w:rsidR="000C10F9">
        <w:t xml:space="preserve">in </w:t>
      </w:r>
      <w:r w:rsidR="00950F47">
        <w:t xml:space="preserve">the diversification index for </w:t>
      </w:r>
      <w:r w:rsidR="003C7B4E">
        <w:t xml:space="preserve">low and </w:t>
      </w:r>
      <w:r w:rsidR="00950F47">
        <w:t xml:space="preserve">high return periods for a given year, where the </w:t>
      </w:r>
      <w:r w:rsidR="003C7B4E">
        <w:t xml:space="preserve">low and </w:t>
      </w:r>
      <w:r w:rsidR="00950F47">
        <w:t xml:space="preserve">high groups are based on being </w:t>
      </w:r>
      <w:r w:rsidR="003C7B4E">
        <w:t xml:space="preserve">below and </w:t>
      </w:r>
      <w:r w:rsidR="00950F47">
        <w:t>above the median annual return value.</w:t>
      </w:r>
      <w:r w:rsidR="0049440E">
        <w:t xml:space="preserve">  </w:t>
      </w:r>
    </w:p>
    <w:p w14:paraId="16137F88" w14:textId="7AAD9BB7" w:rsidR="00B00575" w:rsidRDefault="0049440E" w:rsidP="00F81A81">
      <w:pPr>
        <w:spacing w:after="0" w:line="480" w:lineRule="auto"/>
        <w:ind w:firstLine="360"/>
        <w:jc w:val="both"/>
      </w:pPr>
      <w:r>
        <w:t xml:space="preserve">We </w:t>
      </w:r>
      <w:r w:rsidR="003C7B4E">
        <w:t xml:space="preserve">employ the same </w:t>
      </w:r>
      <w:r w:rsidR="003C7B4E" w:rsidRPr="008B383D">
        <w:rPr>
          <w:shd w:val="clear" w:color="auto" w:fill="FFFF00"/>
        </w:rPr>
        <w:t>stratification protocol</w:t>
      </w:r>
      <w:r>
        <w:t xml:space="preserve"> in Panels B and C of the chart, where we plot the average annual VIX </w:t>
      </w:r>
      <w:r w:rsidR="0001433D">
        <w:t xml:space="preserve">and </w:t>
      </w:r>
      <w:r>
        <w:t xml:space="preserve">TED spread against the difference between the asset-specific diversification index values for high and low VIX </w:t>
      </w:r>
      <w:r w:rsidR="0001433D">
        <w:t xml:space="preserve">and </w:t>
      </w:r>
      <w:r>
        <w:t>TED spread days, respectively.</w:t>
      </w:r>
      <w:r>
        <w:rPr>
          <w:rStyle w:val="FootnoteReference"/>
        </w:rPr>
        <w:footnoteReference w:id="22"/>
      </w:r>
      <w:r w:rsidR="00CC00AD">
        <w:t xml:space="preserve"> </w:t>
      </w:r>
      <w:r w:rsidR="00B00575">
        <w:t xml:space="preserve"> </w:t>
      </w:r>
      <w:r w:rsidR="00345D77">
        <w:t>We</w:t>
      </w:r>
      <w:r w:rsidR="00CC00AD" w:rsidRPr="00CC00AD">
        <w:t xml:space="preserve"> </w:t>
      </w:r>
      <w:r w:rsidR="00B00575">
        <w:t xml:space="preserve">also </w:t>
      </w:r>
      <w:r w:rsidR="00CC00AD" w:rsidRPr="00CC00AD">
        <w:t xml:space="preserve">compute the simple correlations between the diversification </w:t>
      </w:r>
      <w:r w:rsidR="0065388F">
        <w:t>indexes</w:t>
      </w:r>
      <w:r w:rsidR="00CC00AD" w:rsidRPr="00CC00AD">
        <w:t xml:space="preserve"> for bear minus bull returns and average returns for the three asset classes.  </w:t>
      </w:r>
      <w:r w:rsidR="00CC00AD">
        <w:t xml:space="preserve">We do the same for high and low VIX and TED spread periods.  Those correlations are displayed in </w:t>
      </w:r>
      <w:r w:rsidR="00EB5972">
        <w:t xml:space="preserve">Appendix </w:t>
      </w:r>
      <w:r w:rsidR="00CC00AD">
        <w:t>Table</w:t>
      </w:r>
      <w:r w:rsidR="00EB5972">
        <w:t xml:space="preserve"> 2.</w:t>
      </w:r>
      <w:r w:rsidR="00CC00AD">
        <w:t xml:space="preserve"> </w:t>
      </w:r>
    </w:p>
    <w:p w14:paraId="32A3E9CE" w14:textId="713BB815" w:rsidR="00EC15B7" w:rsidRDefault="00CC00AD" w:rsidP="00EC15B7">
      <w:pPr>
        <w:spacing w:after="0" w:line="480" w:lineRule="auto"/>
        <w:ind w:firstLine="360"/>
        <w:jc w:val="both"/>
      </w:pPr>
      <w:r>
        <w:t xml:space="preserve">Results of the stratification analysis reveal </w:t>
      </w:r>
      <w:r w:rsidR="002F3818">
        <w:t xml:space="preserve">only </w:t>
      </w:r>
      <w:r>
        <w:t xml:space="preserve">limited opportunity for enhanced diversification across periods of </w:t>
      </w:r>
      <w:r w:rsidR="00257D41">
        <w:t xml:space="preserve">market downturn, volatility, and credit risk.  For example, as depicted in Appendix Figure 4 and Appendix Table </w:t>
      </w:r>
      <w:r w:rsidR="00C30BE4">
        <w:t>2</w:t>
      </w:r>
      <w:r w:rsidR="00257D41">
        <w:t xml:space="preserve">, the correlations between the bear-bull diversification </w:t>
      </w:r>
      <w:r w:rsidR="0065388F">
        <w:t>indexes</w:t>
      </w:r>
      <w:r w:rsidR="00257D41">
        <w:t xml:space="preserve"> and a</w:t>
      </w:r>
      <w:r w:rsidR="002A1DF9">
        <w:t>sset class</w:t>
      </w:r>
      <w:r w:rsidR="00257D41">
        <w:t xml:space="preserve"> returns are very low for both equities and REITs—on order of magnitude of 10 percent or less for both equities and REITs and for the full period of analysis.  While those correlations rise somewhat in the post-2000 period, they </w:t>
      </w:r>
      <w:r w:rsidR="002A1DF9">
        <w:t>never</w:t>
      </w:r>
      <w:r w:rsidR="00257D41">
        <w:t xml:space="preserve"> exceed .24.</w:t>
      </w:r>
      <w:r w:rsidR="002A1DF9">
        <w:t xml:space="preserve">  Appendix Table </w:t>
      </w:r>
      <w:r w:rsidR="00C30BE4">
        <w:t>2</w:t>
      </w:r>
      <w:r w:rsidR="002C12B0">
        <w:t xml:space="preserve"> </w:t>
      </w:r>
      <w:r w:rsidR="00BF3B6B">
        <w:t>displays</w:t>
      </w:r>
      <w:r w:rsidR="002A1DF9">
        <w:t xml:space="preserve"> similarly low correlations between </w:t>
      </w:r>
      <w:r w:rsidR="00BF3B6B">
        <w:t xml:space="preserve">the </w:t>
      </w:r>
      <w:r w:rsidR="002A1DF9">
        <w:t>diversification ind</w:t>
      </w:r>
      <w:r w:rsidR="00BF3B6B">
        <w:t>ex</w:t>
      </w:r>
      <w:r w:rsidR="002A1DF9">
        <w:t xml:space="preserve"> for high-low VIX periods and average VIX returns</w:t>
      </w:r>
      <w:r w:rsidR="002C12B0">
        <w:t xml:space="preserve"> for all asset classes</w:t>
      </w:r>
      <w:r w:rsidR="00BF3B6B">
        <w:t xml:space="preserve"> and time periods</w:t>
      </w:r>
      <w:r w:rsidR="002A1DF9">
        <w:t>.</w:t>
      </w:r>
      <w:r w:rsidR="00BF3B6B">
        <w:t xml:space="preserve">  In the case of global credit risk, as embodied in the TED spread, Appendix Table </w:t>
      </w:r>
      <w:r w:rsidR="00C30BE4">
        <w:t>2</w:t>
      </w:r>
      <w:r w:rsidR="00BF3B6B">
        <w:t xml:space="preserve"> reveals somewhat elevated correlations between the diversification index for high-low TED spread and average TED spread—roughly .40--for both equities and REITs for the pre-2000 period.  Those correlations fall back in the post-2000 period.</w:t>
      </w:r>
      <w:r w:rsidR="006F3D60">
        <w:t xml:space="preserve">  </w:t>
      </w:r>
    </w:p>
    <w:p w14:paraId="5911B839" w14:textId="472C0654" w:rsidR="00B00575" w:rsidRDefault="00B00575" w:rsidP="00EC15B7">
      <w:pPr>
        <w:spacing w:after="0" w:line="480" w:lineRule="auto"/>
        <w:ind w:firstLine="360"/>
        <w:jc w:val="both"/>
      </w:pPr>
      <w:r>
        <w:lastRenderedPageBreak/>
        <w:t xml:space="preserve">Appendix Table </w:t>
      </w:r>
      <w:r w:rsidR="005A58B3">
        <w:t>3</w:t>
      </w:r>
      <w:r>
        <w:t xml:space="preserve"> displays the mean difference between diversification </w:t>
      </w:r>
      <w:r w:rsidR="003128B9">
        <w:t>potential</w:t>
      </w:r>
      <w:r>
        <w:t xml:space="preserve"> stratified by bear minus bull market returns, high minus low VIX, and high minus low TED and related t-statistics.   </w:t>
      </w:r>
      <w:r w:rsidR="00FD4A57">
        <w:t>These</w:t>
      </w:r>
      <w:r>
        <w:t xml:space="preserve"> differences are statistically insignificant in all cases exclusive of bear minus bull returns for global equity markets and for high minus low TED spread in the case of sovereign debt.</w:t>
      </w:r>
    </w:p>
    <w:p w14:paraId="14311892" w14:textId="6D1E7263" w:rsidR="000F4708" w:rsidRDefault="003C3025" w:rsidP="00367A87">
      <w:pPr>
        <w:spacing w:line="480" w:lineRule="auto"/>
        <w:ind w:firstLine="360"/>
        <w:jc w:val="both"/>
        <w:rPr>
          <w:b/>
          <w:bCs/>
        </w:rPr>
      </w:pPr>
      <w:r>
        <w:t xml:space="preserve">We hasten to note, however, that the above exercises are essentially univariate.  They </w:t>
      </w:r>
      <w:r w:rsidR="00674B8B">
        <w:t>simply</w:t>
      </w:r>
      <w:r>
        <w:t xml:space="preserve"> assess diversification potential in</w:t>
      </w:r>
      <w:r w:rsidR="00220A07" w:rsidRPr="00220A07">
        <w:t xml:space="preserve"> </w:t>
      </w:r>
      <w:r w:rsidR="00220A07">
        <w:t>periods</w:t>
      </w:r>
      <w:r>
        <w:t xml:space="preserve">, respectively, of bull vs. bear markets, high vs. low volatility, </w:t>
      </w:r>
      <w:r w:rsidR="00220A07">
        <w:t>and</w:t>
      </w:r>
      <w:r>
        <w:t xml:space="preserve"> high vs. low credit conditions</w:t>
      </w:r>
      <w:r w:rsidR="00220A07">
        <w:t>.  T</w:t>
      </w:r>
      <w:r>
        <w:t xml:space="preserve">hey do </w:t>
      </w:r>
      <w:r w:rsidR="00811266">
        <w:t>not</w:t>
      </w:r>
      <w:r>
        <w:t xml:space="preserve"> </w:t>
      </w:r>
      <w:r w:rsidR="003C286F">
        <w:t xml:space="preserve">simultaneously </w:t>
      </w:r>
      <w:r>
        <w:t xml:space="preserve">control for these </w:t>
      </w:r>
      <w:r w:rsidR="00674B8B">
        <w:t>or</w:t>
      </w:r>
      <w:r>
        <w:t xml:space="preserve"> other possible influences on diversification.  In the next section (V</w:t>
      </w:r>
      <w:r w:rsidR="00E23B09">
        <w:t>I</w:t>
      </w:r>
      <w:r>
        <w:t>I)</w:t>
      </w:r>
      <w:r w:rsidR="0045532B">
        <w:t>,</w:t>
      </w:r>
      <w:r>
        <w:t xml:space="preserve"> we offer a multivariate analysis </w:t>
      </w:r>
      <w:r w:rsidR="0045532B">
        <w:t xml:space="preserve">of diversification </w:t>
      </w:r>
      <w:r w:rsidR="003128B9">
        <w:t>potential</w:t>
      </w:r>
      <w:r w:rsidR="0045532B">
        <w:t xml:space="preserve">.  </w:t>
      </w:r>
    </w:p>
    <w:p w14:paraId="04322F93" w14:textId="1AA131A3" w:rsidR="000F4708" w:rsidRPr="00C57D7F" w:rsidRDefault="000F4708" w:rsidP="00367A87">
      <w:pPr>
        <w:spacing w:after="0" w:line="480" w:lineRule="auto"/>
        <w:ind w:firstLine="357"/>
        <w:jc w:val="both"/>
        <w:rPr>
          <w:b/>
          <w:bCs/>
        </w:rPr>
      </w:pPr>
      <w:r w:rsidRPr="00C57D7F">
        <w:rPr>
          <w:b/>
          <w:bCs/>
        </w:rPr>
        <w:t xml:space="preserve">VII.  Factors Associated with </w:t>
      </w:r>
      <w:r w:rsidR="00E23B09">
        <w:rPr>
          <w:b/>
          <w:bCs/>
        </w:rPr>
        <w:t xml:space="preserve">Diversification </w:t>
      </w:r>
      <w:r w:rsidRPr="00C57D7F">
        <w:rPr>
          <w:b/>
          <w:bCs/>
        </w:rPr>
        <w:t>Indexes</w:t>
      </w:r>
    </w:p>
    <w:p w14:paraId="4DDA6C50" w14:textId="29C3C05C" w:rsidR="00E23B09" w:rsidRPr="00E23B09" w:rsidRDefault="00911E25" w:rsidP="00E23B09">
      <w:pPr>
        <w:spacing w:after="0" w:line="480" w:lineRule="auto"/>
        <w:ind w:firstLine="357"/>
        <w:jc w:val="both"/>
        <w:rPr>
          <w:bCs/>
        </w:rPr>
      </w:pPr>
      <w:r>
        <w:rPr>
          <w:bCs/>
        </w:rPr>
        <w:t>T</w:t>
      </w:r>
      <w:r w:rsidR="00E23B09" w:rsidRPr="00E23B09">
        <w:rPr>
          <w:bCs/>
        </w:rPr>
        <w:t>his section examine</w:t>
      </w:r>
      <w:r>
        <w:rPr>
          <w:bCs/>
        </w:rPr>
        <w:t>s</w:t>
      </w:r>
      <w:r w:rsidR="00E23B09" w:rsidRPr="00E23B09">
        <w:rPr>
          <w:bCs/>
        </w:rPr>
        <w:t xml:space="preserve"> drivers of diversification potential</w:t>
      </w:r>
      <w:r w:rsidR="004B153D">
        <w:rPr>
          <w:bCs/>
        </w:rPr>
        <w:t xml:space="preserve">.   </w:t>
      </w:r>
      <w:r w:rsidR="00E23B09" w:rsidRPr="00E23B09">
        <w:rPr>
          <w:bCs/>
        </w:rPr>
        <w:t xml:space="preserve">While prior studies typically focus only on correlation </w:t>
      </w:r>
      <w:r w:rsidR="00AC10CC">
        <w:rPr>
          <w:bCs/>
        </w:rPr>
        <w:t>(</w:t>
      </w:r>
      <w:r w:rsidR="00E23B09" w:rsidRPr="00E23B09">
        <w:rPr>
          <w:bCs/>
        </w:rPr>
        <w:t>or integration</w:t>
      </w:r>
      <w:r w:rsidR="00AC10CC">
        <w:rPr>
          <w:bCs/>
        </w:rPr>
        <w:t>)</w:t>
      </w:r>
      <w:r w:rsidR="00E23B09" w:rsidRPr="00E23B09">
        <w:rPr>
          <w:bCs/>
        </w:rPr>
        <w:t xml:space="preserve"> of returns among a limited number of countries </w:t>
      </w:r>
      <w:r w:rsidR="00E23B09">
        <w:rPr>
          <w:bCs/>
        </w:rPr>
        <w:t xml:space="preserve">and </w:t>
      </w:r>
      <w:r w:rsidR="00E23B09" w:rsidRPr="00E23B09">
        <w:rPr>
          <w:bCs/>
        </w:rPr>
        <w:t xml:space="preserve">for a single asset class, our work computes new diversification indexes </w:t>
      </w:r>
      <w:r w:rsidR="004B153D">
        <w:rPr>
          <w:bCs/>
        </w:rPr>
        <w:t xml:space="preserve">within and </w:t>
      </w:r>
      <w:r w:rsidR="00E23B09" w:rsidRPr="00E23B09">
        <w:rPr>
          <w:bCs/>
        </w:rPr>
        <w:t xml:space="preserve">among asset classes and for a large sample of countries.   The larger sample allows us to assess </w:t>
      </w:r>
      <w:r w:rsidR="003128B9">
        <w:rPr>
          <w:bCs/>
        </w:rPr>
        <w:t xml:space="preserve">drivers of </w:t>
      </w:r>
      <w:r w:rsidR="00E23B09" w:rsidRPr="00E23B09">
        <w:rPr>
          <w:bCs/>
        </w:rPr>
        <w:t xml:space="preserve">diversification </w:t>
      </w:r>
      <w:r w:rsidR="003128B9">
        <w:rPr>
          <w:bCs/>
        </w:rPr>
        <w:t>potential</w:t>
      </w:r>
      <w:r w:rsidR="00E23B09" w:rsidRPr="00E23B09">
        <w:rPr>
          <w:bCs/>
        </w:rPr>
        <w:t xml:space="preserve"> </w:t>
      </w:r>
      <w:r w:rsidR="007A5D06">
        <w:rPr>
          <w:bCs/>
        </w:rPr>
        <w:t xml:space="preserve">for equities </w:t>
      </w:r>
      <w:r w:rsidR="00E23B09" w:rsidRPr="00E23B09">
        <w:rPr>
          <w:bCs/>
        </w:rPr>
        <w:t xml:space="preserve">across developed, emerging, and frontier markets and for </w:t>
      </w:r>
      <w:r w:rsidR="007A5D06">
        <w:rPr>
          <w:bCs/>
        </w:rPr>
        <w:t xml:space="preserve">the three asset classes in </w:t>
      </w:r>
      <w:r w:rsidR="004B153D">
        <w:rPr>
          <w:bCs/>
        </w:rPr>
        <w:t xml:space="preserve">the </w:t>
      </w:r>
      <w:r w:rsidR="00E23B09" w:rsidRPr="00E23B09">
        <w:rPr>
          <w:bCs/>
        </w:rPr>
        <w:t xml:space="preserve">pre- and post-2000s periods.  We undertake the analysis using global aggregations of country level diversification </w:t>
      </w:r>
      <w:r w:rsidR="003128B9">
        <w:rPr>
          <w:bCs/>
        </w:rPr>
        <w:t>potential</w:t>
      </w:r>
      <w:r w:rsidR="00E23B09" w:rsidRPr="00E23B09">
        <w:rPr>
          <w:bCs/>
        </w:rPr>
        <w:t xml:space="preserve"> as well as country-specific panels.</w:t>
      </w:r>
      <w:r w:rsidR="00FC4A5A">
        <w:rPr>
          <w:rStyle w:val="FootnoteReference"/>
          <w:bCs/>
        </w:rPr>
        <w:footnoteReference w:id="23"/>
      </w:r>
      <w:r w:rsidR="00E23B09" w:rsidRPr="00E23B09">
        <w:rPr>
          <w:bCs/>
        </w:rPr>
        <w:t xml:space="preserve">  The latter allow us to assess </w:t>
      </w:r>
      <w:r w:rsidR="00AC10CC">
        <w:rPr>
          <w:bCs/>
        </w:rPr>
        <w:t>associations</w:t>
      </w:r>
      <w:r w:rsidR="00E23B09" w:rsidRPr="00E23B09">
        <w:rPr>
          <w:bCs/>
        </w:rPr>
        <w:t xml:space="preserve"> between country level diversification potential and </w:t>
      </w:r>
      <w:r w:rsidR="00E23B09">
        <w:rPr>
          <w:bCs/>
        </w:rPr>
        <w:t>a</w:t>
      </w:r>
      <w:r w:rsidR="007A5D06">
        <w:rPr>
          <w:bCs/>
        </w:rPr>
        <w:t>n</w:t>
      </w:r>
      <w:r w:rsidR="00E23B09">
        <w:rPr>
          <w:bCs/>
        </w:rPr>
        <w:t xml:space="preserve"> </w:t>
      </w:r>
      <w:r>
        <w:rPr>
          <w:bCs/>
        </w:rPr>
        <w:t>extensive set</w:t>
      </w:r>
      <w:r w:rsidR="00E23B09">
        <w:rPr>
          <w:bCs/>
        </w:rPr>
        <w:t xml:space="preserve"> of</w:t>
      </w:r>
      <w:r w:rsidR="00E23B09" w:rsidRPr="00E23B09">
        <w:rPr>
          <w:bCs/>
        </w:rPr>
        <w:t xml:space="preserve"> </w:t>
      </w:r>
      <w:r w:rsidR="00AC10CC">
        <w:rPr>
          <w:bCs/>
        </w:rPr>
        <w:t xml:space="preserve">macro-financial and development </w:t>
      </w:r>
      <w:r w:rsidR="00E23B09" w:rsidRPr="00E23B09">
        <w:rPr>
          <w:bCs/>
        </w:rPr>
        <w:t>factors.  We do this using both unbalanced and more restricted balanced panels</w:t>
      </w:r>
      <w:r w:rsidR="001A4C17">
        <w:rPr>
          <w:bCs/>
        </w:rPr>
        <w:t xml:space="preserve"> and across time periods</w:t>
      </w:r>
      <w:r w:rsidR="00E23B09" w:rsidRPr="00E23B09">
        <w:rPr>
          <w:bCs/>
        </w:rPr>
        <w:t xml:space="preserve">.  </w:t>
      </w:r>
      <w:r w:rsidR="00CC00B4">
        <w:rPr>
          <w:bCs/>
        </w:rPr>
        <w:t>W</w:t>
      </w:r>
      <w:r w:rsidR="00E23B09" w:rsidRPr="00E23B09">
        <w:rPr>
          <w:bCs/>
        </w:rPr>
        <w:t xml:space="preserve">e assess the </w:t>
      </w:r>
      <w:r w:rsidR="001A4C17">
        <w:rPr>
          <w:bCs/>
        </w:rPr>
        <w:t xml:space="preserve">varying </w:t>
      </w:r>
      <w:r w:rsidR="00E23B09" w:rsidRPr="00E23B09">
        <w:rPr>
          <w:bCs/>
        </w:rPr>
        <w:t xml:space="preserve">effects </w:t>
      </w:r>
      <w:r w:rsidR="001A4C17">
        <w:rPr>
          <w:bCs/>
        </w:rPr>
        <w:t xml:space="preserve">across asset class, geography, and time </w:t>
      </w:r>
      <w:r w:rsidR="00E23B09" w:rsidRPr="00E23B09">
        <w:rPr>
          <w:bCs/>
        </w:rPr>
        <w:t xml:space="preserve">of </w:t>
      </w:r>
      <w:r w:rsidR="00AC10CC">
        <w:rPr>
          <w:bCs/>
        </w:rPr>
        <w:t xml:space="preserve">both </w:t>
      </w:r>
      <w:r w:rsidR="00E23B09" w:rsidRPr="00E23B09">
        <w:rPr>
          <w:bCs/>
        </w:rPr>
        <w:t xml:space="preserve">global and country level factors.  </w:t>
      </w:r>
    </w:p>
    <w:p w14:paraId="7464AA95" w14:textId="69809DEE" w:rsidR="0024465D" w:rsidRDefault="00D617E1" w:rsidP="00367A87">
      <w:pPr>
        <w:spacing w:after="0" w:line="480" w:lineRule="auto"/>
        <w:ind w:firstLine="357"/>
        <w:jc w:val="both"/>
        <w:rPr>
          <w:bCs/>
        </w:rPr>
      </w:pPr>
      <w:r w:rsidRPr="00D617E1">
        <w:rPr>
          <w:bCs/>
        </w:rPr>
        <w:lastRenderedPageBreak/>
        <w:t xml:space="preserve">Table 5 lists diversification factors and Table 6 reports their simple correlations.  </w:t>
      </w:r>
      <w:r w:rsidR="007C5F25">
        <w:rPr>
          <w:bCs/>
        </w:rPr>
        <w:t xml:space="preserve">As discussed below, </w:t>
      </w:r>
      <w:r w:rsidR="004922ED">
        <w:rPr>
          <w:bCs/>
        </w:rPr>
        <w:t xml:space="preserve">model specification includes </w:t>
      </w:r>
      <w:r w:rsidR="000F45B6">
        <w:rPr>
          <w:bCs/>
        </w:rPr>
        <w:t>diversification factors</w:t>
      </w:r>
      <w:r w:rsidR="009046DA" w:rsidRPr="009046DA">
        <w:rPr>
          <w:bCs/>
        </w:rPr>
        <w:t xml:space="preserve"> </w:t>
      </w:r>
      <w:r w:rsidR="004922ED">
        <w:rPr>
          <w:bCs/>
        </w:rPr>
        <w:t>s</w:t>
      </w:r>
      <w:r w:rsidR="009046DA" w:rsidRPr="009046DA">
        <w:rPr>
          <w:bCs/>
        </w:rPr>
        <w:t xml:space="preserve">hown to be important in prior studies of market integration, equity market segmentation, and asset return correlation (see, for example </w:t>
      </w:r>
      <w:proofErr w:type="spellStart"/>
      <w:r w:rsidR="009046DA" w:rsidRPr="009046DA">
        <w:rPr>
          <w:bCs/>
        </w:rPr>
        <w:t>Carrieri</w:t>
      </w:r>
      <w:proofErr w:type="spellEnd"/>
      <w:r w:rsidR="009046DA" w:rsidRPr="009046DA">
        <w:rPr>
          <w:bCs/>
        </w:rPr>
        <w:t xml:space="preserve"> et al (2007); </w:t>
      </w:r>
      <w:proofErr w:type="spellStart"/>
      <w:r w:rsidR="009046DA" w:rsidRPr="009046DA">
        <w:rPr>
          <w:bCs/>
        </w:rPr>
        <w:t>Errunza</w:t>
      </w:r>
      <w:proofErr w:type="spellEnd"/>
      <w:r w:rsidR="009046DA" w:rsidRPr="009046DA">
        <w:rPr>
          <w:bCs/>
        </w:rPr>
        <w:t xml:space="preserve"> et al (2007); </w:t>
      </w:r>
      <w:proofErr w:type="spellStart"/>
      <w:r w:rsidR="009046DA" w:rsidRPr="009046DA">
        <w:rPr>
          <w:bCs/>
        </w:rPr>
        <w:t>Carrieri</w:t>
      </w:r>
      <w:proofErr w:type="spellEnd"/>
      <w:r w:rsidR="009046DA" w:rsidRPr="009046DA">
        <w:rPr>
          <w:bCs/>
        </w:rPr>
        <w:t xml:space="preserve"> et al (2013)</w:t>
      </w:r>
      <w:r w:rsidR="00831DED">
        <w:rPr>
          <w:bCs/>
        </w:rPr>
        <w:t xml:space="preserve"> amongst others)</w:t>
      </w:r>
      <w:r w:rsidR="009046DA">
        <w:rPr>
          <w:bCs/>
        </w:rPr>
        <w:t xml:space="preserve">.  </w:t>
      </w:r>
      <w:r w:rsidR="000F45B6" w:rsidRPr="000F45B6">
        <w:rPr>
          <w:bCs/>
        </w:rPr>
        <w:t>F</w:t>
      </w:r>
      <w:r w:rsidR="000F45B6">
        <w:rPr>
          <w:bCs/>
        </w:rPr>
        <w:t>urther</w:t>
      </w:r>
      <w:r w:rsidR="000F45B6" w:rsidRPr="000F45B6">
        <w:rPr>
          <w:bCs/>
        </w:rPr>
        <w:t xml:space="preserve">, consistent with the “world is flat” hypothesis, we </w:t>
      </w:r>
      <w:r w:rsidR="000F45B6">
        <w:rPr>
          <w:bCs/>
        </w:rPr>
        <w:t xml:space="preserve">include controls for economic </w:t>
      </w:r>
      <w:r w:rsidR="000F45B6" w:rsidRPr="000F45B6">
        <w:rPr>
          <w:bCs/>
        </w:rPr>
        <w:t xml:space="preserve">developmental </w:t>
      </w:r>
      <w:r w:rsidR="000F45B6">
        <w:rPr>
          <w:bCs/>
        </w:rPr>
        <w:t xml:space="preserve">and </w:t>
      </w:r>
      <w:r w:rsidR="00034650">
        <w:rPr>
          <w:bCs/>
        </w:rPr>
        <w:t xml:space="preserve">technology </w:t>
      </w:r>
      <w:r w:rsidR="000F45B6">
        <w:rPr>
          <w:bCs/>
        </w:rPr>
        <w:t xml:space="preserve">(internet) </w:t>
      </w:r>
      <w:r w:rsidR="00034650">
        <w:rPr>
          <w:bCs/>
        </w:rPr>
        <w:t>diffusion</w:t>
      </w:r>
      <w:r w:rsidR="000F45B6">
        <w:rPr>
          <w:bCs/>
        </w:rPr>
        <w:t>.</w:t>
      </w:r>
      <w:r w:rsidR="009046DA">
        <w:rPr>
          <w:bCs/>
        </w:rPr>
        <w:t xml:space="preserve">  </w:t>
      </w:r>
      <w:r w:rsidR="007C5F25">
        <w:rPr>
          <w:bCs/>
        </w:rPr>
        <w:t>The</w:t>
      </w:r>
      <w:r w:rsidR="00BF49C3">
        <w:rPr>
          <w:bCs/>
        </w:rPr>
        <w:t xml:space="preserve"> </w:t>
      </w:r>
      <w:r w:rsidR="007C5F25">
        <w:rPr>
          <w:bCs/>
        </w:rPr>
        <w:t>factors include</w:t>
      </w:r>
      <w:r w:rsidR="00BF49C3">
        <w:rPr>
          <w:bCs/>
        </w:rPr>
        <w:t>d are</w:t>
      </w:r>
      <w:r w:rsidR="000F4708" w:rsidRPr="00C57D7F">
        <w:rPr>
          <w:bCs/>
        </w:rPr>
        <w:t xml:space="preserve"> </w:t>
      </w:r>
      <w:r w:rsidR="005A57F8">
        <w:rPr>
          <w:bCs/>
        </w:rPr>
        <w:t xml:space="preserve">credit risk, </w:t>
      </w:r>
      <w:r w:rsidR="00187F1A">
        <w:rPr>
          <w:bCs/>
        </w:rPr>
        <w:t xml:space="preserve">asset </w:t>
      </w:r>
      <w:r w:rsidR="005A57F8">
        <w:rPr>
          <w:bCs/>
        </w:rPr>
        <w:t xml:space="preserve">return volatility, </w:t>
      </w:r>
      <w:r w:rsidR="00187F1A">
        <w:rPr>
          <w:bCs/>
        </w:rPr>
        <w:t xml:space="preserve">investor </w:t>
      </w:r>
      <w:r w:rsidR="005A57F8">
        <w:rPr>
          <w:bCs/>
        </w:rPr>
        <w:t xml:space="preserve">sentiment, </w:t>
      </w:r>
      <w:r w:rsidR="00187F1A">
        <w:rPr>
          <w:bCs/>
        </w:rPr>
        <w:t>Fed Funds Rate</w:t>
      </w:r>
      <w:r w:rsidR="000F4708">
        <w:rPr>
          <w:bCs/>
        </w:rPr>
        <w:t>,</w:t>
      </w:r>
      <w:r w:rsidR="000F4708" w:rsidRPr="00C57D7F">
        <w:rPr>
          <w:bCs/>
        </w:rPr>
        <w:t xml:space="preserve"> market liquidity, </w:t>
      </w:r>
      <w:r w:rsidR="00E937EC">
        <w:rPr>
          <w:bCs/>
        </w:rPr>
        <w:t xml:space="preserve">economic development, </w:t>
      </w:r>
      <w:r w:rsidR="005A57F8">
        <w:rPr>
          <w:bCs/>
        </w:rPr>
        <w:t>internet diffusion</w:t>
      </w:r>
      <w:r w:rsidR="000F4708">
        <w:rPr>
          <w:bCs/>
        </w:rPr>
        <w:t>,</w:t>
      </w:r>
      <w:r w:rsidR="000F4708" w:rsidRPr="00C57D7F">
        <w:rPr>
          <w:bCs/>
        </w:rPr>
        <w:t xml:space="preserve"> </w:t>
      </w:r>
      <w:r w:rsidR="005A57F8">
        <w:rPr>
          <w:bCs/>
        </w:rPr>
        <w:t>political and economic risk</w:t>
      </w:r>
      <w:r w:rsidR="00187F1A">
        <w:rPr>
          <w:bCs/>
        </w:rPr>
        <w:t xml:space="preserve"> as well as</w:t>
      </w:r>
      <w:r w:rsidR="000F4708">
        <w:rPr>
          <w:bCs/>
        </w:rPr>
        <w:t xml:space="preserve"> </w:t>
      </w:r>
      <w:r w:rsidR="00BA58BA">
        <w:rPr>
          <w:bCs/>
        </w:rPr>
        <w:t xml:space="preserve">controls for </w:t>
      </w:r>
      <w:r w:rsidR="005A57F8">
        <w:rPr>
          <w:bCs/>
        </w:rPr>
        <w:t xml:space="preserve">ERM and </w:t>
      </w:r>
      <w:r w:rsidR="000F4708" w:rsidRPr="00C57D7F">
        <w:rPr>
          <w:bCs/>
        </w:rPr>
        <w:t>European sovereign debt cris</w:t>
      </w:r>
      <w:r w:rsidR="000F4708">
        <w:rPr>
          <w:bCs/>
        </w:rPr>
        <w:t>e</w:t>
      </w:r>
      <w:r w:rsidR="000F4708" w:rsidRPr="00C57D7F">
        <w:rPr>
          <w:bCs/>
        </w:rPr>
        <w:t>s</w:t>
      </w:r>
      <w:r w:rsidR="000F4708">
        <w:rPr>
          <w:bCs/>
        </w:rPr>
        <w:t>.</w:t>
      </w:r>
      <w:r w:rsidR="000F4708">
        <w:rPr>
          <w:rStyle w:val="FootnoteReference"/>
          <w:bCs/>
        </w:rPr>
        <w:footnoteReference w:id="24"/>
      </w:r>
      <w:r w:rsidR="000F4708">
        <w:rPr>
          <w:bCs/>
        </w:rPr>
        <w:t xml:space="preserve"> As shown in </w:t>
      </w:r>
      <w:r w:rsidR="000F4708" w:rsidRPr="008751FF">
        <w:rPr>
          <w:bCs/>
        </w:rPr>
        <w:t>Table 6</w:t>
      </w:r>
      <w:r w:rsidR="000F4708">
        <w:rPr>
          <w:bCs/>
        </w:rPr>
        <w:t xml:space="preserve">, </w:t>
      </w:r>
      <w:r w:rsidR="005A57F8">
        <w:rPr>
          <w:bCs/>
        </w:rPr>
        <w:t xml:space="preserve">simple </w:t>
      </w:r>
      <w:r w:rsidR="000F4708" w:rsidRPr="008751FF">
        <w:rPr>
          <w:bCs/>
        </w:rPr>
        <w:t>correlations among the various factors posited to effect diversification potential</w:t>
      </w:r>
      <w:r w:rsidR="000F4708">
        <w:rPr>
          <w:bCs/>
        </w:rPr>
        <w:t xml:space="preserve"> are relatively small in magnitude</w:t>
      </w:r>
      <w:r w:rsidRPr="00D617E1">
        <w:rPr>
          <w:bCs/>
        </w:rPr>
        <w:t xml:space="preserve"> with the exception of internet </w:t>
      </w:r>
      <w:r w:rsidR="00FE1A00">
        <w:rPr>
          <w:bCs/>
        </w:rPr>
        <w:t xml:space="preserve">diffusion </w:t>
      </w:r>
      <w:r w:rsidRPr="00D617E1">
        <w:rPr>
          <w:bCs/>
        </w:rPr>
        <w:t xml:space="preserve">and the first principal component of a set of </w:t>
      </w:r>
      <w:r w:rsidR="00C048BE">
        <w:rPr>
          <w:bCs/>
        </w:rPr>
        <w:t xml:space="preserve">World Bank </w:t>
      </w:r>
      <w:r w:rsidRPr="00D617E1">
        <w:rPr>
          <w:bCs/>
        </w:rPr>
        <w:t xml:space="preserve">developmental factors. </w:t>
      </w:r>
    </w:p>
    <w:p w14:paraId="09D3ACA9" w14:textId="227D15EB" w:rsidR="00D545C1" w:rsidRDefault="000F4708" w:rsidP="000F4708">
      <w:pPr>
        <w:spacing w:after="0" w:line="480" w:lineRule="auto"/>
        <w:ind w:firstLine="357"/>
        <w:jc w:val="both"/>
        <w:rPr>
          <w:bCs/>
        </w:rPr>
      </w:pPr>
      <w:r w:rsidRPr="00C57D7F">
        <w:rPr>
          <w:bCs/>
        </w:rPr>
        <w:t xml:space="preserve">We start with aggregate </w:t>
      </w:r>
      <w:r>
        <w:rPr>
          <w:bCs/>
        </w:rPr>
        <w:t xml:space="preserve">time-series </w:t>
      </w:r>
      <w:r w:rsidRPr="00C57D7F">
        <w:rPr>
          <w:bCs/>
        </w:rPr>
        <w:t xml:space="preserve">analyses.  In Table 7, we report </w:t>
      </w:r>
      <w:r>
        <w:rPr>
          <w:bCs/>
        </w:rPr>
        <w:t>on associations between global factors and g</w:t>
      </w:r>
      <w:r w:rsidRPr="00C57D7F">
        <w:rPr>
          <w:bCs/>
        </w:rPr>
        <w:t xml:space="preserve">lobal diversification </w:t>
      </w:r>
      <w:r>
        <w:rPr>
          <w:bCs/>
        </w:rPr>
        <w:t>trends</w:t>
      </w:r>
      <w:r w:rsidRPr="00C57D7F">
        <w:rPr>
          <w:bCs/>
        </w:rPr>
        <w:t xml:space="preserve">. </w:t>
      </w:r>
      <w:r>
        <w:rPr>
          <w:bCs/>
        </w:rPr>
        <w:t xml:space="preserve">Among controls, we assess the role of </w:t>
      </w:r>
      <w:r w:rsidR="003A2626">
        <w:rPr>
          <w:bCs/>
        </w:rPr>
        <w:t xml:space="preserve">both credit and market risk </w:t>
      </w:r>
      <w:r w:rsidR="008F429B">
        <w:rPr>
          <w:bCs/>
        </w:rPr>
        <w:t xml:space="preserve">and sentiment </w:t>
      </w:r>
      <w:r w:rsidR="003A2626">
        <w:rPr>
          <w:bCs/>
        </w:rPr>
        <w:t>as embodied by the TED spread</w:t>
      </w:r>
      <w:r w:rsidR="008F429B">
        <w:rPr>
          <w:bCs/>
        </w:rPr>
        <w:t>, the</w:t>
      </w:r>
      <w:r w:rsidR="003A2626">
        <w:rPr>
          <w:bCs/>
        </w:rPr>
        <w:t xml:space="preserve"> VIX, </w:t>
      </w:r>
      <w:r w:rsidR="008F429B">
        <w:rPr>
          <w:bCs/>
        </w:rPr>
        <w:t>and</w:t>
      </w:r>
      <w:r w:rsidR="003A2626">
        <w:rPr>
          <w:bCs/>
        </w:rPr>
        <w:t xml:space="preserve"> </w:t>
      </w:r>
      <w:r>
        <w:rPr>
          <w:bCs/>
        </w:rPr>
        <w:t xml:space="preserve">the Baker and </w:t>
      </w:r>
      <w:proofErr w:type="spellStart"/>
      <w:r>
        <w:rPr>
          <w:bCs/>
        </w:rPr>
        <w:t>Wu</w:t>
      </w:r>
      <w:r w:rsidR="00634473">
        <w:rPr>
          <w:bCs/>
        </w:rPr>
        <w:t>r</w:t>
      </w:r>
      <w:r>
        <w:rPr>
          <w:bCs/>
        </w:rPr>
        <w:t>gler</w:t>
      </w:r>
      <w:proofErr w:type="spellEnd"/>
      <w:r>
        <w:rPr>
          <w:bCs/>
        </w:rPr>
        <w:t xml:space="preserve"> (2006) investor sentiment index (SENT)</w:t>
      </w:r>
      <w:r w:rsidR="008F429B">
        <w:rPr>
          <w:bCs/>
        </w:rPr>
        <w:t>, respectively</w:t>
      </w:r>
      <w:r>
        <w:rPr>
          <w:bCs/>
        </w:rPr>
        <w:t>.</w:t>
      </w:r>
      <w:r w:rsidRPr="007B7664">
        <w:rPr>
          <w:bCs/>
        </w:rPr>
        <w:t xml:space="preserve">  </w:t>
      </w:r>
      <w:r w:rsidR="008F429B">
        <w:rPr>
          <w:bCs/>
        </w:rPr>
        <w:t xml:space="preserve">Prior studies also have modelled credit risk using the </w:t>
      </w:r>
      <w:r w:rsidR="0093551C" w:rsidRPr="0093551C">
        <w:rPr>
          <w:bCs/>
        </w:rPr>
        <w:t xml:space="preserve">US default premium measured by the yield difference between Moody’s Baa- and </w:t>
      </w:r>
      <w:proofErr w:type="spellStart"/>
      <w:r w:rsidR="0093551C" w:rsidRPr="0093551C">
        <w:rPr>
          <w:bCs/>
        </w:rPr>
        <w:t>Aaa</w:t>
      </w:r>
      <w:proofErr w:type="spellEnd"/>
      <w:r w:rsidR="0093551C" w:rsidRPr="0093551C">
        <w:rPr>
          <w:bCs/>
        </w:rPr>
        <w:t xml:space="preserve">-rated </w:t>
      </w:r>
      <w:r w:rsidR="0093551C">
        <w:rPr>
          <w:bCs/>
        </w:rPr>
        <w:t>bonds</w:t>
      </w:r>
      <w:r w:rsidR="008F429B">
        <w:rPr>
          <w:bCs/>
        </w:rPr>
        <w:t xml:space="preserve"> (see </w:t>
      </w:r>
      <w:proofErr w:type="spellStart"/>
      <w:r w:rsidR="008F429B">
        <w:rPr>
          <w:bCs/>
        </w:rPr>
        <w:t>Carrieri</w:t>
      </w:r>
      <w:proofErr w:type="spellEnd"/>
      <w:r w:rsidR="00634473">
        <w:rPr>
          <w:bCs/>
        </w:rPr>
        <w:t>,</w:t>
      </w:r>
      <w:r w:rsidR="008F429B">
        <w:rPr>
          <w:bCs/>
        </w:rPr>
        <w:t xml:space="preserve"> et al (2013)</w:t>
      </w:r>
      <w:r w:rsidR="0093551C">
        <w:rPr>
          <w:bCs/>
        </w:rPr>
        <w:t>.</w:t>
      </w:r>
      <w:r>
        <w:rPr>
          <w:bCs/>
        </w:rPr>
        <w:t xml:space="preserve">  The </w:t>
      </w:r>
      <w:r w:rsidRPr="007B7664">
        <w:rPr>
          <w:bCs/>
        </w:rPr>
        <w:t>VIX</w:t>
      </w:r>
      <w:r>
        <w:rPr>
          <w:bCs/>
        </w:rPr>
        <w:t xml:space="preserve"> measure of stock market volatility (</w:t>
      </w:r>
      <w:r w:rsidR="00634473">
        <w:rPr>
          <w:bCs/>
        </w:rPr>
        <w:t xml:space="preserve">the </w:t>
      </w:r>
      <w:r>
        <w:rPr>
          <w:bCs/>
        </w:rPr>
        <w:t xml:space="preserve">so-called </w:t>
      </w:r>
      <w:r w:rsidR="00634473">
        <w:rPr>
          <w:bCs/>
        </w:rPr>
        <w:t>“</w:t>
      </w:r>
      <w:r>
        <w:rPr>
          <w:bCs/>
        </w:rPr>
        <w:t>fear index</w:t>
      </w:r>
      <w:r w:rsidR="00634473">
        <w:rPr>
          <w:bCs/>
        </w:rPr>
        <w:t>”</w:t>
      </w:r>
      <w:r>
        <w:rPr>
          <w:bCs/>
        </w:rPr>
        <w:t>) similarly has been employed</w:t>
      </w:r>
      <w:r w:rsidRPr="007B7664">
        <w:rPr>
          <w:bCs/>
        </w:rPr>
        <w:t xml:space="preserve"> </w:t>
      </w:r>
      <w:r>
        <w:rPr>
          <w:bCs/>
        </w:rPr>
        <w:t xml:space="preserve">in studies of </w:t>
      </w:r>
      <w:r w:rsidRPr="007B7664">
        <w:rPr>
          <w:bCs/>
        </w:rPr>
        <w:t>equity market segmentation and bond market integration</w:t>
      </w:r>
      <w:r>
        <w:rPr>
          <w:bCs/>
        </w:rPr>
        <w:t xml:space="preserve"> </w:t>
      </w:r>
      <w:r w:rsidRPr="004D5E5E">
        <w:rPr>
          <w:bCs/>
        </w:rPr>
        <w:t xml:space="preserve">(see, for example, Bekaert et al (2011) and </w:t>
      </w:r>
      <w:proofErr w:type="spellStart"/>
      <w:r w:rsidRPr="004D5E5E">
        <w:rPr>
          <w:bCs/>
        </w:rPr>
        <w:t>Chaieb</w:t>
      </w:r>
      <w:proofErr w:type="spellEnd"/>
      <w:r w:rsidRPr="004D5E5E">
        <w:rPr>
          <w:bCs/>
        </w:rPr>
        <w:t xml:space="preserve"> et al (2014))</w:t>
      </w:r>
      <w:r>
        <w:rPr>
          <w:bCs/>
        </w:rPr>
        <w:t>.</w:t>
      </w:r>
      <w:r w:rsidRPr="007B7664">
        <w:rPr>
          <w:bCs/>
        </w:rPr>
        <w:t xml:space="preserve"> </w:t>
      </w:r>
      <w:r>
        <w:rPr>
          <w:bCs/>
        </w:rPr>
        <w:t xml:space="preserve"> Other factors included in the analysis are the FED</w:t>
      </w:r>
      <w:r w:rsidR="00BA58BA">
        <w:rPr>
          <w:bCs/>
        </w:rPr>
        <w:t xml:space="preserve"> </w:t>
      </w:r>
      <w:r>
        <w:rPr>
          <w:bCs/>
        </w:rPr>
        <w:t xml:space="preserve">FUNDs rate, internet diffusion, and categorical </w:t>
      </w:r>
      <w:r w:rsidR="00D545C1">
        <w:rPr>
          <w:bCs/>
        </w:rPr>
        <w:t xml:space="preserve">indicators </w:t>
      </w:r>
      <w:r>
        <w:rPr>
          <w:bCs/>
        </w:rPr>
        <w:t xml:space="preserve">for the ERM and European sovereign debt crises.  </w:t>
      </w:r>
    </w:p>
    <w:p w14:paraId="05E1352B" w14:textId="253CFE77" w:rsidR="000F4708" w:rsidRPr="00C57D7F" w:rsidRDefault="000F4708" w:rsidP="000F4708">
      <w:pPr>
        <w:spacing w:after="0" w:line="480" w:lineRule="auto"/>
        <w:ind w:firstLine="357"/>
        <w:jc w:val="both"/>
        <w:rPr>
          <w:bCs/>
        </w:rPr>
      </w:pPr>
      <w:r w:rsidRPr="00C57D7F">
        <w:rPr>
          <w:bCs/>
        </w:rPr>
        <w:t xml:space="preserve">Table </w:t>
      </w:r>
      <w:r>
        <w:rPr>
          <w:bCs/>
        </w:rPr>
        <w:t xml:space="preserve">7 </w:t>
      </w:r>
      <w:r w:rsidRPr="00C57D7F">
        <w:rPr>
          <w:bCs/>
        </w:rPr>
        <w:t xml:space="preserve">displays results for each asset class, for all asset classes combined and for equity diversification indices </w:t>
      </w:r>
      <w:r>
        <w:rPr>
          <w:bCs/>
        </w:rPr>
        <w:t xml:space="preserve">stratified </w:t>
      </w:r>
      <w:r w:rsidRPr="00C57D7F">
        <w:rPr>
          <w:bCs/>
        </w:rPr>
        <w:t xml:space="preserve">among developed, emerging, and frontier markets.  </w:t>
      </w:r>
      <w:r w:rsidR="0093551C" w:rsidRPr="0093551C">
        <w:rPr>
          <w:bCs/>
        </w:rPr>
        <w:t xml:space="preserve">We define those </w:t>
      </w:r>
      <w:r w:rsidR="0093551C">
        <w:rPr>
          <w:bCs/>
        </w:rPr>
        <w:t>geographical cohorts</w:t>
      </w:r>
      <w:r w:rsidR="0093551C" w:rsidRPr="0093551C">
        <w:rPr>
          <w:bCs/>
        </w:rPr>
        <w:t xml:space="preserve"> using the United Nation</w:t>
      </w:r>
      <w:r w:rsidR="002F311B">
        <w:rPr>
          <w:bCs/>
        </w:rPr>
        <w:t>s</w:t>
      </w:r>
      <w:r w:rsidR="0093551C" w:rsidRPr="0093551C">
        <w:rPr>
          <w:bCs/>
        </w:rPr>
        <w:t xml:space="preserve"> Human Development Index.  Those countries described </w:t>
      </w:r>
      <w:r w:rsidR="0093551C" w:rsidRPr="0093551C">
        <w:rPr>
          <w:bCs/>
        </w:rPr>
        <w:lastRenderedPageBreak/>
        <w:t xml:space="preserve">by the U.N. as “very high human development” are designated as developed countries and those outside this list as emerging countries.  </w:t>
      </w:r>
      <w:r w:rsidR="003A2626">
        <w:rPr>
          <w:bCs/>
        </w:rPr>
        <w:t xml:space="preserve">We then </w:t>
      </w:r>
      <w:r w:rsidR="0093551C" w:rsidRPr="0093551C">
        <w:rPr>
          <w:bCs/>
        </w:rPr>
        <w:t>further stratif</w:t>
      </w:r>
      <w:r w:rsidR="00D545C1">
        <w:rPr>
          <w:bCs/>
        </w:rPr>
        <w:t>y</w:t>
      </w:r>
      <w:r w:rsidR="0093551C" w:rsidRPr="0093551C">
        <w:rPr>
          <w:bCs/>
        </w:rPr>
        <w:t xml:space="preserve"> </w:t>
      </w:r>
      <w:r w:rsidR="003A2626">
        <w:rPr>
          <w:bCs/>
        </w:rPr>
        <w:t xml:space="preserve">the latter using </w:t>
      </w:r>
      <w:r w:rsidR="0093551C" w:rsidRPr="0093551C">
        <w:rPr>
          <w:bCs/>
        </w:rPr>
        <w:t xml:space="preserve">Standard &amp; Poor's list of Frontier markets that were developing but too small to be considered emerging markets. </w:t>
      </w:r>
      <w:r w:rsidRPr="00C57D7F">
        <w:rPr>
          <w:bCs/>
        </w:rPr>
        <w:t>The timeframe of the analyses is 1986 -2012.  We also provide results for specific countries</w:t>
      </w:r>
      <w:r w:rsidR="004B5C73">
        <w:rPr>
          <w:bCs/>
        </w:rPr>
        <w:t xml:space="preserve"> mirro</w:t>
      </w:r>
      <w:r w:rsidR="003D5C8D">
        <w:rPr>
          <w:bCs/>
        </w:rPr>
        <w:t>ring t</w:t>
      </w:r>
      <w:r w:rsidR="004B5C73">
        <w:rPr>
          <w:bCs/>
        </w:rPr>
        <w:t>hose reported in Table 3,</w:t>
      </w:r>
      <w:r w:rsidR="003A2626">
        <w:rPr>
          <w:bCs/>
        </w:rPr>
        <w:t xml:space="preserve"> </w:t>
      </w:r>
      <w:r w:rsidR="00024637" w:rsidRPr="00024637">
        <w:rPr>
          <w:bCs/>
        </w:rPr>
        <w:t xml:space="preserve">where the three asset classes, equities, </w:t>
      </w:r>
      <w:proofErr w:type="gramStart"/>
      <w:r w:rsidR="00024637" w:rsidRPr="00024637">
        <w:rPr>
          <w:bCs/>
        </w:rPr>
        <w:t>bonds</w:t>
      </w:r>
      <w:proofErr w:type="gramEnd"/>
      <w:r w:rsidR="00024637" w:rsidRPr="00024637">
        <w:rPr>
          <w:bCs/>
        </w:rPr>
        <w:t xml:space="preserve"> and REITs are available. </w:t>
      </w:r>
      <w:r w:rsidRPr="00C57D7F">
        <w:rPr>
          <w:bCs/>
        </w:rPr>
        <w:t xml:space="preserve">   </w:t>
      </w:r>
    </w:p>
    <w:p w14:paraId="32F59B98" w14:textId="001B498A" w:rsidR="000F4708" w:rsidRPr="00C57D7F" w:rsidRDefault="00DF1F7C" w:rsidP="00460344">
      <w:pPr>
        <w:spacing w:after="0" w:line="480" w:lineRule="auto"/>
        <w:ind w:firstLine="357"/>
        <w:jc w:val="both"/>
        <w:rPr>
          <w:bCs/>
        </w:rPr>
      </w:pPr>
      <w:r w:rsidRPr="00DF1F7C">
        <w:rPr>
          <w:bCs/>
        </w:rPr>
        <w:t>As would be expected, global internet diffusion, a proxy for ongoing enhancements to global telecommunications and related investor connectivity, is uniformly associated with damped diversification opportunity.  The estimated internet diffusion coefficients are sizable and highly significant for all asset classes and among all country-specific estimates</w:t>
      </w:r>
      <w:r>
        <w:rPr>
          <w:bCs/>
        </w:rPr>
        <w:t xml:space="preserve"> at </w:t>
      </w:r>
      <w:r w:rsidR="008F429B">
        <w:rPr>
          <w:bCs/>
        </w:rPr>
        <w:t xml:space="preserve">a </w:t>
      </w:r>
      <w:r>
        <w:rPr>
          <w:bCs/>
        </w:rPr>
        <w:t>1</w:t>
      </w:r>
      <w:r w:rsidR="008F429B">
        <w:rPr>
          <w:bCs/>
        </w:rPr>
        <w:t xml:space="preserve"> percent</w:t>
      </w:r>
      <w:r>
        <w:rPr>
          <w:bCs/>
        </w:rPr>
        <w:t xml:space="preserve"> significance level, </w:t>
      </w:r>
      <w:proofErr w:type="gramStart"/>
      <w:r>
        <w:rPr>
          <w:bCs/>
        </w:rPr>
        <w:t>with the exception of</w:t>
      </w:r>
      <w:proofErr w:type="gramEnd"/>
      <w:r>
        <w:rPr>
          <w:bCs/>
        </w:rPr>
        <w:t xml:space="preserve"> New Zealand</w:t>
      </w:r>
      <w:r w:rsidRPr="00DF1F7C">
        <w:rPr>
          <w:bCs/>
        </w:rPr>
        <w:t xml:space="preserve">.  </w:t>
      </w:r>
      <w:r>
        <w:rPr>
          <w:bCs/>
        </w:rPr>
        <w:t>Further, t</w:t>
      </w:r>
      <w:r w:rsidRPr="00DF1F7C">
        <w:rPr>
          <w:bCs/>
        </w:rPr>
        <w:t xml:space="preserve">he 1992 European exchange rate mechanism (ERM) crisis </w:t>
      </w:r>
      <w:r>
        <w:rPr>
          <w:bCs/>
        </w:rPr>
        <w:t>is</w:t>
      </w:r>
      <w:r w:rsidRPr="00DF1F7C">
        <w:rPr>
          <w:bCs/>
        </w:rPr>
        <w:t xml:space="preserve"> largely associated with significantly damped diversification opportunities</w:t>
      </w:r>
      <w:r>
        <w:rPr>
          <w:bCs/>
        </w:rPr>
        <w:t xml:space="preserve"> for many combinations of assets and for all European economies in the individual country regressions.  </w:t>
      </w:r>
      <w:r w:rsidR="00831DED">
        <w:rPr>
          <w:bCs/>
        </w:rPr>
        <w:t xml:space="preserve">The relationship is not as clear cut for the non-European economies. </w:t>
      </w:r>
      <w:r>
        <w:rPr>
          <w:bCs/>
        </w:rPr>
        <w:t>Mixed findings are reported for the other variables in terms of significance, but it is noteworthy to see the negative relation between credit risk (TED) and diversification potential for bond markets</w:t>
      </w:r>
      <w:r w:rsidR="008F429B">
        <w:rPr>
          <w:bCs/>
        </w:rPr>
        <w:t>.</w:t>
      </w:r>
    </w:p>
    <w:p w14:paraId="135EEDE3" w14:textId="6DD8DCB2" w:rsidR="000F4708" w:rsidRDefault="000F4708" w:rsidP="00460344">
      <w:pPr>
        <w:spacing w:after="0" w:line="480" w:lineRule="auto"/>
        <w:ind w:firstLine="357"/>
        <w:jc w:val="both"/>
        <w:rPr>
          <w:bCs/>
        </w:rPr>
      </w:pPr>
      <w:r w:rsidRPr="00C57D7F">
        <w:rPr>
          <w:bCs/>
        </w:rPr>
        <w:t xml:space="preserve">In Table 8, we turn from global aggregate to country panel analysis of diversification trends.  Columns (1) – (3) report on modelled factors identical to those in Table 7.  In columns (4) – (6), we assess robustness of </w:t>
      </w:r>
      <w:r w:rsidR="00F134E0">
        <w:rPr>
          <w:bCs/>
        </w:rPr>
        <w:t>results</w:t>
      </w:r>
      <w:r w:rsidRPr="00C57D7F">
        <w:rPr>
          <w:bCs/>
        </w:rPr>
        <w:t xml:space="preserve"> to a country-specific rather than aggregate global measure of internet use.  Finally, in columns (7) – (9), we replace the internet </w:t>
      </w:r>
      <w:r>
        <w:rPr>
          <w:bCs/>
        </w:rPr>
        <w:t>diffusion factor</w:t>
      </w:r>
      <w:r w:rsidRPr="00C57D7F">
        <w:rPr>
          <w:bCs/>
        </w:rPr>
        <w:t xml:space="preserve"> with the first principle component of a set of country-specific development </w:t>
      </w:r>
      <w:r>
        <w:rPr>
          <w:bCs/>
        </w:rPr>
        <w:t>indices</w:t>
      </w:r>
      <w:r w:rsidRPr="00C57D7F">
        <w:rPr>
          <w:bCs/>
        </w:rPr>
        <w:t xml:space="preserve"> obtained from the World Bank World Development Index.  </w:t>
      </w:r>
    </w:p>
    <w:p w14:paraId="3BD8E4DF" w14:textId="152E9FF7" w:rsidR="000F4708" w:rsidRPr="003878D5" w:rsidRDefault="000F4708" w:rsidP="00460344">
      <w:pPr>
        <w:spacing w:after="0" w:line="480" w:lineRule="auto"/>
        <w:ind w:firstLine="357"/>
        <w:jc w:val="both"/>
        <w:rPr>
          <w:bCs/>
        </w:rPr>
      </w:pPr>
      <w:proofErr w:type="gramStart"/>
      <w:r>
        <w:rPr>
          <w:bCs/>
        </w:rPr>
        <w:t>A number of</w:t>
      </w:r>
      <w:proofErr w:type="gramEnd"/>
      <w:r>
        <w:rPr>
          <w:bCs/>
        </w:rPr>
        <w:t xml:space="preserve"> prior studies have investigated </w:t>
      </w:r>
      <w:r w:rsidR="00F134E0">
        <w:rPr>
          <w:bCs/>
        </w:rPr>
        <w:t xml:space="preserve">a </w:t>
      </w:r>
      <w:r w:rsidR="005C6283">
        <w:rPr>
          <w:bCs/>
        </w:rPr>
        <w:t>country</w:t>
      </w:r>
      <w:r w:rsidR="00F134E0">
        <w:rPr>
          <w:bCs/>
        </w:rPr>
        <w:t>’s</w:t>
      </w:r>
      <w:r w:rsidR="005C6283">
        <w:rPr>
          <w:bCs/>
        </w:rPr>
        <w:t xml:space="preserve"> </w:t>
      </w:r>
      <w:r w:rsidR="00F134E0">
        <w:rPr>
          <w:bCs/>
        </w:rPr>
        <w:t xml:space="preserve">level </w:t>
      </w:r>
      <w:r>
        <w:rPr>
          <w:bCs/>
        </w:rPr>
        <w:t xml:space="preserve">of </w:t>
      </w:r>
      <w:r w:rsidR="0042567A">
        <w:rPr>
          <w:bCs/>
        </w:rPr>
        <w:t xml:space="preserve">economic </w:t>
      </w:r>
      <w:r>
        <w:rPr>
          <w:bCs/>
        </w:rPr>
        <w:t xml:space="preserve">development and </w:t>
      </w:r>
      <w:r w:rsidR="00F134E0">
        <w:rPr>
          <w:bCs/>
        </w:rPr>
        <w:t xml:space="preserve">the </w:t>
      </w:r>
      <w:r>
        <w:rPr>
          <w:bCs/>
        </w:rPr>
        <w:t xml:space="preserve">related diffusion of technology in </w:t>
      </w:r>
      <w:r w:rsidR="0042567A">
        <w:rPr>
          <w:bCs/>
        </w:rPr>
        <w:t>analys</w:t>
      </w:r>
      <w:r w:rsidR="00F134E0">
        <w:rPr>
          <w:bCs/>
        </w:rPr>
        <w:t>e</w:t>
      </w:r>
      <w:r w:rsidR="0042567A">
        <w:rPr>
          <w:bCs/>
        </w:rPr>
        <w:t>s</w:t>
      </w:r>
      <w:r>
        <w:rPr>
          <w:bCs/>
        </w:rPr>
        <w:t xml:space="preserve"> of equity market segmentation.  </w:t>
      </w:r>
      <w:r w:rsidR="00F134E0">
        <w:rPr>
          <w:bCs/>
        </w:rPr>
        <w:t>For instance</w:t>
      </w:r>
      <w:r w:rsidR="0042567A">
        <w:rPr>
          <w:bCs/>
        </w:rPr>
        <w:t xml:space="preserve">, </w:t>
      </w:r>
      <w:r>
        <w:rPr>
          <w:bCs/>
        </w:rPr>
        <w:t xml:space="preserve">Bekaert et al (2011), </w:t>
      </w:r>
      <w:r w:rsidR="0042567A">
        <w:rPr>
          <w:bCs/>
        </w:rPr>
        <w:t>employ</w:t>
      </w:r>
      <w:r>
        <w:rPr>
          <w:bCs/>
        </w:rPr>
        <w:t xml:space="preserve"> secondar</w:t>
      </w:r>
      <w:r w:rsidRPr="00223F75">
        <w:rPr>
          <w:bCs/>
        </w:rPr>
        <w:t>y school enro</w:t>
      </w:r>
      <w:r>
        <w:rPr>
          <w:bCs/>
        </w:rPr>
        <w:t>l</w:t>
      </w:r>
      <w:r w:rsidRPr="00223F75">
        <w:rPr>
          <w:bCs/>
        </w:rPr>
        <w:t>ment, life expectancy, population growth</w:t>
      </w:r>
      <w:r>
        <w:rPr>
          <w:bCs/>
        </w:rPr>
        <w:t xml:space="preserve">, telephone lines, and internet use. </w:t>
      </w:r>
      <w:r w:rsidRPr="00223F75">
        <w:rPr>
          <w:bCs/>
        </w:rPr>
        <w:t xml:space="preserve"> </w:t>
      </w:r>
      <w:r w:rsidR="005C6283">
        <w:rPr>
          <w:bCs/>
        </w:rPr>
        <w:t>W</w:t>
      </w:r>
      <w:r w:rsidRPr="00223F75">
        <w:rPr>
          <w:bCs/>
        </w:rPr>
        <w:t xml:space="preserve">e </w:t>
      </w:r>
      <w:r w:rsidR="0042567A">
        <w:rPr>
          <w:bCs/>
        </w:rPr>
        <w:t xml:space="preserve">would </w:t>
      </w:r>
      <w:r w:rsidRPr="00223F75">
        <w:rPr>
          <w:bCs/>
        </w:rPr>
        <w:t>expect that technolog</w:t>
      </w:r>
      <w:r>
        <w:rPr>
          <w:bCs/>
        </w:rPr>
        <w:t>y</w:t>
      </w:r>
      <w:r w:rsidRPr="00223F75">
        <w:rPr>
          <w:bCs/>
        </w:rPr>
        <w:t xml:space="preserve"> innovation and </w:t>
      </w:r>
      <w:r w:rsidR="00F134E0">
        <w:rPr>
          <w:bCs/>
        </w:rPr>
        <w:t>the level</w:t>
      </w:r>
      <w:r>
        <w:rPr>
          <w:bCs/>
        </w:rPr>
        <w:t xml:space="preserve"> of development</w:t>
      </w:r>
      <w:r w:rsidRPr="00223F75">
        <w:rPr>
          <w:bCs/>
        </w:rPr>
        <w:t xml:space="preserve"> </w:t>
      </w:r>
      <w:r>
        <w:rPr>
          <w:bCs/>
        </w:rPr>
        <w:t>to</w:t>
      </w:r>
      <w:r w:rsidRPr="00223F75">
        <w:rPr>
          <w:bCs/>
        </w:rPr>
        <w:t xml:space="preserve"> be positively related to </w:t>
      </w:r>
      <w:r>
        <w:rPr>
          <w:bCs/>
        </w:rPr>
        <w:t xml:space="preserve">return </w:t>
      </w:r>
      <w:r w:rsidRPr="00223F75">
        <w:rPr>
          <w:bCs/>
        </w:rPr>
        <w:t xml:space="preserve">integration </w:t>
      </w:r>
      <w:r>
        <w:rPr>
          <w:bCs/>
        </w:rPr>
        <w:t>hence</w:t>
      </w:r>
      <w:r w:rsidRPr="00223F75">
        <w:rPr>
          <w:bCs/>
        </w:rPr>
        <w:t xml:space="preserve"> reducing diversification potential. </w:t>
      </w:r>
      <w:r>
        <w:rPr>
          <w:bCs/>
        </w:rPr>
        <w:t>Further, t</w:t>
      </w:r>
      <w:r w:rsidRPr="007E711A">
        <w:rPr>
          <w:bCs/>
        </w:rPr>
        <w:t xml:space="preserve">echnological </w:t>
      </w:r>
      <w:r w:rsidRPr="007E711A">
        <w:rPr>
          <w:bCs/>
        </w:rPr>
        <w:lastRenderedPageBreak/>
        <w:t xml:space="preserve">innovation </w:t>
      </w:r>
      <w:r>
        <w:rPr>
          <w:bCs/>
        </w:rPr>
        <w:t>has been shown to be a</w:t>
      </w:r>
      <w:r w:rsidRPr="007E711A">
        <w:rPr>
          <w:bCs/>
        </w:rPr>
        <w:t xml:space="preserve"> key determinant of investor home bias (</w:t>
      </w:r>
      <w:proofErr w:type="spellStart"/>
      <w:r w:rsidRPr="007E711A">
        <w:rPr>
          <w:bCs/>
        </w:rPr>
        <w:t>Portes</w:t>
      </w:r>
      <w:proofErr w:type="spellEnd"/>
      <w:r w:rsidRPr="007E711A">
        <w:rPr>
          <w:bCs/>
        </w:rPr>
        <w:t xml:space="preserve"> and Rey, 2005).  </w:t>
      </w:r>
      <w:r>
        <w:rPr>
          <w:bCs/>
        </w:rPr>
        <w:t xml:space="preserve">We obtain </w:t>
      </w:r>
      <w:proofErr w:type="gramStart"/>
      <w:r w:rsidR="00047801">
        <w:rPr>
          <w:bCs/>
        </w:rPr>
        <w:t>a number of</w:t>
      </w:r>
      <w:proofErr w:type="gramEnd"/>
      <w:r w:rsidR="00047801">
        <w:rPr>
          <w:bCs/>
        </w:rPr>
        <w:t xml:space="preserve"> </w:t>
      </w:r>
      <w:r>
        <w:rPr>
          <w:bCs/>
        </w:rPr>
        <w:t xml:space="preserve">country-specific development measures from the World Bank (see Table 5).   </w:t>
      </w:r>
      <w:r w:rsidRPr="003878D5">
        <w:rPr>
          <w:bCs/>
        </w:rPr>
        <w:t xml:space="preserve">The development factors include government expenditure share on education, literacy rate, prevalence of ATMs, life expectancy at birth, internet users, cellular phone subscriptions, secondary school enrolment, gender parity index, maternal mortality rate, research and development expenditures as a share of GDP, and the like.   </w:t>
      </w:r>
      <w:r>
        <w:rPr>
          <w:bCs/>
        </w:rPr>
        <w:t xml:space="preserve">However, given high levels of simple correlation among the World Bank development indices, we instead compute </w:t>
      </w:r>
      <w:r w:rsidR="005C6283">
        <w:rPr>
          <w:bCs/>
        </w:rPr>
        <w:t xml:space="preserve">and test </w:t>
      </w:r>
      <w:r>
        <w:rPr>
          <w:bCs/>
        </w:rPr>
        <w:t xml:space="preserve">their first principal component, DEVPC1.  </w:t>
      </w:r>
      <w:r w:rsidRPr="00223F75">
        <w:rPr>
          <w:bCs/>
        </w:rPr>
        <w:t>Th</w:t>
      </w:r>
      <w:r>
        <w:rPr>
          <w:bCs/>
        </w:rPr>
        <w:t xml:space="preserve">e first principal component </w:t>
      </w:r>
      <w:r w:rsidRPr="00223F75">
        <w:rPr>
          <w:bCs/>
        </w:rPr>
        <w:t>explains a very high proportion of the</w:t>
      </w:r>
      <w:r>
        <w:rPr>
          <w:bCs/>
        </w:rPr>
        <w:t xml:space="preserve"> variation among the World Bank </w:t>
      </w:r>
      <w:r w:rsidRPr="00223F75">
        <w:rPr>
          <w:bCs/>
        </w:rPr>
        <w:t xml:space="preserve">development </w:t>
      </w:r>
      <w:r>
        <w:rPr>
          <w:bCs/>
        </w:rPr>
        <w:t>terms</w:t>
      </w:r>
      <w:r w:rsidRPr="00223F75">
        <w:rPr>
          <w:bCs/>
        </w:rPr>
        <w:t xml:space="preserve">.  </w:t>
      </w:r>
      <w:r>
        <w:rPr>
          <w:bCs/>
        </w:rPr>
        <w:t>W</w:t>
      </w:r>
      <w:r w:rsidRPr="00223F75">
        <w:rPr>
          <w:bCs/>
        </w:rPr>
        <w:t>e</w:t>
      </w:r>
      <w:r>
        <w:rPr>
          <w:bCs/>
        </w:rPr>
        <w:t xml:space="preserve"> also</w:t>
      </w:r>
      <w:r w:rsidRPr="00223F75">
        <w:rPr>
          <w:bCs/>
        </w:rPr>
        <w:t xml:space="preserve"> separately </w:t>
      </w:r>
      <w:r>
        <w:rPr>
          <w:bCs/>
        </w:rPr>
        <w:t xml:space="preserve">employ the </w:t>
      </w:r>
      <w:r w:rsidRPr="00223F75">
        <w:rPr>
          <w:bCs/>
        </w:rPr>
        <w:t xml:space="preserve">Internet </w:t>
      </w:r>
      <w:r>
        <w:rPr>
          <w:bCs/>
        </w:rPr>
        <w:t>diffusion term</w:t>
      </w:r>
      <w:r w:rsidRPr="00223F75">
        <w:rPr>
          <w:bCs/>
        </w:rPr>
        <w:t xml:space="preserve"> to capture the unprecedented technological innovation associated with this </w:t>
      </w:r>
      <w:r>
        <w:rPr>
          <w:bCs/>
        </w:rPr>
        <w:t>factor over our study timeframe</w:t>
      </w:r>
      <w:r w:rsidRPr="00223F75">
        <w:rPr>
          <w:bCs/>
        </w:rPr>
        <w:t xml:space="preserve">.  </w:t>
      </w:r>
      <w:r>
        <w:rPr>
          <w:bCs/>
        </w:rPr>
        <w:t xml:space="preserve"> As suggested </w:t>
      </w:r>
      <w:r w:rsidR="00047801">
        <w:rPr>
          <w:bCs/>
        </w:rPr>
        <w:t>in Table 6</w:t>
      </w:r>
      <w:r w:rsidR="005C6283">
        <w:rPr>
          <w:bCs/>
        </w:rPr>
        <w:t>,</w:t>
      </w:r>
      <w:r w:rsidR="00047801">
        <w:rPr>
          <w:bCs/>
        </w:rPr>
        <w:t xml:space="preserve"> there is a high </w:t>
      </w:r>
      <w:r w:rsidRPr="003878D5">
        <w:rPr>
          <w:bCs/>
        </w:rPr>
        <w:t xml:space="preserve">correlation between </w:t>
      </w:r>
      <w:r>
        <w:rPr>
          <w:bCs/>
        </w:rPr>
        <w:t>the internet diffusion and DEVPC1</w:t>
      </w:r>
      <w:r w:rsidRPr="003878D5">
        <w:rPr>
          <w:bCs/>
        </w:rPr>
        <w:t xml:space="preserve"> factors</w:t>
      </w:r>
      <w:r>
        <w:rPr>
          <w:bCs/>
        </w:rPr>
        <w:t xml:space="preserve">, </w:t>
      </w:r>
      <w:r w:rsidR="00047801">
        <w:rPr>
          <w:bCs/>
        </w:rPr>
        <w:t xml:space="preserve">thus </w:t>
      </w:r>
      <w:r w:rsidRPr="003878D5">
        <w:rPr>
          <w:bCs/>
        </w:rPr>
        <w:t xml:space="preserve">we enter </w:t>
      </w:r>
      <w:r>
        <w:rPr>
          <w:bCs/>
        </w:rPr>
        <w:t xml:space="preserve">either one or the other of these factors </w:t>
      </w:r>
      <w:r w:rsidRPr="003878D5">
        <w:rPr>
          <w:bCs/>
        </w:rPr>
        <w:t>in</w:t>
      </w:r>
      <w:r>
        <w:rPr>
          <w:bCs/>
        </w:rPr>
        <w:t>to</w:t>
      </w:r>
      <w:r w:rsidRPr="003878D5">
        <w:rPr>
          <w:bCs/>
        </w:rPr>
        <w:t xml:space="preserve"> the panel analysis.  The unbalanced country panels enable substantial degrees of freedom.  All models include country-specific fixed effects.  </w:t>
      </w:r>
    </w:p>
    <w:p w14:paraId="0AD11CD3" w14:textId="71C81E5E" w:rsidR="000F4708" w:rsidRPr="00C57D7F" w:rsidRDefault="000F4708" w:rsidP="00460344">
      <w:pPr>
        <w:spacing w:after="0" w:line="480" w:lineRule="auto"/>
        <w:ind w:firstLine="357"/>
        <w:jc w:val="both"/>
        <w:rPr>
          <w:bCs/>
        </w:rPr>
      </w:pPr>
      <w:r w:rsidRPr="00C57D7F">
        <w:rPr>
          <w:bCs/>
        </w:rPr>
        <w:t xml:space="preserve">Overall, results in Table 8 indicate substantial robustness of </w:t>
      </w:r>
      <w:r w:rsidR="00F134E0">
        <w:rPr>
          <w:bCs/>
        </w:rPr>
        <w:t>results</w:t>
      </w:r>
      <w:r w:rsidRPr="00C57D7F">
        <w:rPr>
          <w:bCs/>
        </w:rPr>
        <w:t xml:space="preserve"> to country-specific panel estimation</w:t>
      </w:r>
      <w:r w:rsidR="008E5BC3">
        <w:rPr>
          <w:bCs/>
        </w:rPr>
        <w:t xml:space="preserve"> regardless of which asset class is being analysed</w:t>
      </w:r>
      <w:r w:rsidRPr="00C57D7F">
        <w:rPr>
          <w:bCs/>
        </w:rPr>
        <w:t xml:space="preserve">.  Indeed, panel findings in columns (1) – (3) are highly similar in direction and significance of modelled factors to those obtained using the global time-series (Table 7).  </w:t>
      </w:r>
      <w:r w:rsidR="00047801">
        <w:rPr>
          <w:bCs/>
        </w:rPr>
        <w:t xml:space="preserve">The key significant </w:t>
      </w:r>
      <w:r w:rsidR="005C6283">
        <w:rPr>
          <w:bCs/>
        </w:rPr>
        <w:t>terms</w:t>
      </w:r>
      <w:r w:rsidR="00047801">
        <w:rPr>
          <w:bCs/>
        </w:rPr>
        <w:t xml:space="preserve"> </w:t>
      </w:r>
      <w:r w:rsidR="005C6283">
        <w:rPr>
          <w:bCs/>
        </w:rPr>
        <w:t xml:space="preserve">throughout are </w:t>
      </w:r>
      <w:r w:rsidR="00B95012">
        <w:rPr>
          <w:bCs/>
        </w:rPr>
        <w:t>proxies</w:t>
      </w:r>
      <w:r w:rsidR="005C6283">
        <w:rPr>
          <w:bCs/>
        </w:rPr>
        <w:t xml:space="preserve"> for country </w:t>
      </w:r>
      <w:r w:rsidR="00B95012">
        <w:rPr>
          <w:bCs/>
        </w:rPr>
        <w:t>economic</w:t>
      </w:r>
      <w:r w:rsidR="005C6283">
        <w:rPr>
          <w:bCs/>
        </w:rPr>
        <w:t xml:space="preserve"> development and related internet technology diffusion.</w:t>
      </w:r>
      <w:r w:rsidR="00047801">
        <w:rPr>
          <w:bCs/>
        </w:rPr>
        <w:t xml:space="preserve"> </w:t>
      </w:r>
      <w:r w:rsidR="005C6283">
        <w:rPr>
          <w:bCs/>
        </w:rPr>
        <w:t xml:space="preserve"> </w:t>
      </w:r>
      <w:r w:rsidR="00047801">
        <w:rPr>
          <w:bCs/>
        </w:rPr>
        <w:t>Further, a</w:t>
      </w:r>
      <w:r w:rsidRPr="00C57D7F">
        <w:rPr>
          <w:bCs/>
        </w:rPr>
        <w:t>s evidenced in columns (4) – (6), findings are little changed by the substitution of country-specific internet utilization for a global measure thereof.</w:t>
      </w:r>
      <w:r w:rsidRPr="00C57D7F">
        <w:rPr>
          <w:bCs/>
          <w:vertAlign w:val="superscript"/>
        </w:rPr>
        <w:footnoteReference w:id="25"/>
      </w:r>
      <w:r w:rsidRPr="00C57D7F">
        <w:rPr>
          <w:bCs/>
        </w:rPr>
        <w:t xml:space="preserve">  As </w:t>
      </w:r>
      <w:r>
        <w:rPr>
          <w:bCs/>
        </w:rPr>
        <w:t xml:space="preserve">shown in columns (7) – (9), </w:t>
      </w:r>
      <w:r w:rsidRPr="00C57D7F">
        <w:rPr>
          <w:bCs/>
        </w:rPr>
        <w:t xml:space="preserve">the first principal component of the World Bank country development indices </w:t>
      </w:r>
      <w:r>
        <w:rPr>
          <w:bCs/>
        </w:rPr>
        <w:t xml:space="preserve">(as shown in columns (7) – (9)) </w:t>
      </w:r>
      <w:r w:rsidRPr="00C57D7F">
        <w:rPr>
          <w:bCs/>
        </w:rPr>
        <w:t xml:space="preserve">is </w:t>
      </w:r>
      <w:r>
        <w:rPr>
          <w:bCs/>
        </w:rPr>
        <w:t xml:space="preserve">similarly </w:t>
      </w:r>
      <w:r w:rsidRPr="00C57D7F">
        <w:rPr>
          <w:bCs/>
        </w:rPr>
        <w:t>negative and significant across equity, bond, and real estate asset classes</w:t>
      </w:r>
      <w:r>
        <w:rPr>
          <w:bCs/>
        </w:rPr>
        <w:t xml:space="preserve">, indicating as expected that gains in economic development are associated with reduced asset </w:t>
      </w:r>
      <w:r w:rsidRPr="00C57D7F">
        <w:rPr>
          <w:bCs/>
        </w:rPr>
        <w:t xml:space="preserve">diversification potential. </w:t>
      </w:r>
      <w:r>
        <w:rPr>
          <w:bCs/>
        </w:rPr>
        <w:t xml:space="preserve">  </w:t>
      </w:r>
      <w:r w:rsidRPr="00C57D7F">
        <w:rPr>
          <w:bCs/>
        </w:rPr>
        <w:t xml:space="preserve">As such, results are robust to the substitution of a more general proxy for country stage of development for the internet diffusion </w:t>
      </w:r>
      <w:r w:rsidRPr="00C57D7F">
        <w:rPr>
          <w:bCs/>
        </w:rPr>
        <w:lastRenderedPageBreak/>
        <w:t>measure.</w:t>
      </w:r>
      <w:r w:rsidR="00047801">
        <w:rPr>
          <w:bCs/>
        </w:rPr>
        <w:t xml:space="preserve"> </w:t>
      </w:r>
      <w:r w:rsidR="005C6283">
        <w:rPr>
          <w:bCs/>
        </w:rPr>
        <w:t xml:space="preserve"> </w:t>
      </w:r>
      <w:r w:rsidR="00047801">
        <w:rPr>
          <w:bCs/>
        </w:rPr>
        <w:t>Also note the ERM crisis is associated with diversification potential for all panels, and the Eurozone crisis is associated with a reduction for bond markets.</w:t>
      </w:r>
    </w:p>
    <w:p w14:paraId="134B8E04" w14:textId="608897E4" w:rsidR="000F4708" w:rsidRPr="00AF0096" w:rsidRDefault="000F4708" w:rsidP="00460344">
      <w:pPr>
        <w:spacing w:after="0" w:line="480" w:lineRule="auto"/>
        <w:ind w:firstLine="357"/>
        <w:jc w:val="both"/>
        <w:rPr>
          <w:bCs/>
        </w:rPr>
      </w:pPr>
      <w:r w:rsidRPr="00C57D7F">
        <w:rPr>
          <w:bCs/>
        </w:rPr>
        <w:t xml:space="preserve">In Table 9, we augment the above country </w:t>
      </w:r>
      <w:r>
        <w:rPr>
          <w:bCs/>
        </w:rPr>
        <w:t xml:space="preserve">unbalanced </w:t>
      </w:r>
      <w:r w:rsidRPr="00C57D7F">
        <w:rPr>
          <w:bCs/>
        </w:rPr>
        <w:t xml:space="preserve">panel </w:t>
      </w:r>
      <w:r>
        <w:rPr>
          <w:bCs/>
        </w:rPr>
        <w:t>models</w:t>
      </w:r>
      <w:r w:rsidRPr="00C57D7F">
        <w:rPr>
          <w:bCs/>
        </w:rPr>
        <w:t xml:space="preserve"> </w:t>
      </w:r>
      <w:r w:rsidR="008C119F">
        <w:rPr>
          <w:bCs/>
        </w:rPr>
        <w:t>to include</w:t>
      </w:r>
      <w:r w:rsidRPr="00C57D7F">
        <w:rPr>
          <w:bCs/>
        </w:rPr>
        <w:t xml:space="preserve"> controls for market liquidity and for economic, financial, and political risk</w:t>
      </w:r>
      <w:r w:rsidR="008C119F">
        <w:rPr>
          <w:bCs/>
        </w:rPr>
        <w:t xml:space="preserve"> as suggested by prior literature</w:t>
      </w:r>
      <w:r w:rsidRPr="00C57D7F">
        <w:rPr>
          <w:bCs/>
        </w:rPr>
        <w:t>.</w:t>
      </w:r>
      <w:r w:rsidRPr="00C57D7F">
        <w:rPr>
          <w:bCs/>
          <w:vertAlign w:val="superscript"/>
        </w:rPr>
        <w:footnoteReference w:id="26"/>
      </w:r>
      <w:r w:rsidRPr="00C57D7F">
        <w:rPr>
          <w:bCs/>
        </w:rPr>
        <w:t xml:space="preserve">  </w:t>
      </w:r>
      <w:r w:rsidR="00B95012">
        <w:rPr>
          <w:bCs/>
        </w:rPr>
        <w:t>T</w:t>
      </w:r>
      <w:r w:rsidR="00047801">
        <w:rPr>
          <w:bCs/>
        </w:rPr>
        <w:t xml:space="preserve">he large number of asset markets gives rise to a challenge in capturing sufficient coverage </w:t>
      </w:r>
      <w:r w:rsidR="00B95012">
        <w:rPr>
          <w:bCs/>
        </w:rPr>
        <w:t>for the</w:t>
      </w:r>
      <w:r w:rsidR="00047801">
        <w:rPr>
          <w:bCs/>
        </w:rPr>
        <w:t xml:space="preserve"> panel variables.  </w:t>
      </w:r>
      <w:r w:rsidR="00B95012">
        <w:rPr>
          <w:bCs/>
        </w:rPr>
        <w:t>Accordingly, w</w:t>
      </w:r>
      <w:r>
        <w:rPr>
          <w:bCs/>
        </w:rPr>
        <w:t>e proxy for market</w:t>
      </w:r>
      <w:r w:rsidR="00B95012">
        <w:rPr>
          <w:bCs/>
        </w:rPr>
        <w:t xml:space="preserve"> liquidity using a simple and intuitive measure that has the advantage of adequacy of coverage in small and less developed markets. Our illiquidity measure is </w:t>
      </w:r>
      <w:r>
        <w:rPr>
          <w:bCs/>
        </w:rPr>
        <w:t>t</w:t>
      </w:r>
      <w:r w:rsidRPr="00AF0096">
        <w:rPr>
          <w:bCs/>
        </w:rPr>
        <w:t>he capitali</w:t>
      </w:r>
      <w:r>
        <w:rPr>
          <w:bCs/>
        </w:rPr>
        <w:t>z</w:t>
      </w:r>
      <w:r w:rsidRPr="00AF0096">
        <w:rPr>
          <w:bCs/>
        </w:rPr>
        <w:t>ation</w:t>
      </w:r>
      <w:r>
        <w:rPr>
          <w:bCs/>
        </w:rPr>
        <w:t>-</w:t>
      </w:r>
      <w:r w:rsidRPr="00AF0096">
        <w:rPr>
          <w:bCs/>
        </w:rPr>
        <w:t xml:space="preserve">weighted proportional incidence of observed zero daily returns </w:t>
      </w:r>
      <w:r>
        <w:rPr>
          <w:bCs/>
        </w:rPr>
        <w:t xml:space="preserve">as </w:t>
      </w:r>
      <w:r w:rsidRPr="00AF0096">
        <w:rPr>
          <w:bCs/>
        </w:rPr>
        <w:t xml:space="preserve">suggested by </w:t>
      </w:r>
      <w:proofErr w:type="spellStart"/>
      <w:r w:rsidRPr="00AF0096">
        <w:rPr>
          <w:bCs/>
        </w:rPr>
        <w:t>Lesmond</w:t>
      </w:r>
      <w:proofErr w:type="spellEnd"/>
      <w:r>
        <w:rPr>
          <w:bCs/>
        </w:rPr>
        <w:t xml:space="preserve">, Ogden and </w:t>
      </w:r>
      <w:proofErr w:type="spellStart"/>
      <w:r>
        <w:rPr>
          <w:bCs/>
        </w:rPr>
        <w:t>Trzinka</w:t>
      </w:r>
      <w:proofErr w:type="spellEnd"/>
      <w:r w:rsidRPr="00AF0096">
        <w:rPr>
          <w:bCs/>
        </w:rPr>
        <w:t xml:space="preserve"> (1999) and </w:t>
      </w:r>
      <w:proofErr w:type="spellStart"/>
      <w:r w:rsidRPr="00AF0096">
        <w:rPr>
          <w:bCs/>
        </w:rPr>
        <w:t>Lesmond</w:t>
      </w:r>
      <w:proofErr w:type="spellEnd"/>
      <w:r w:rsidRPr="00AF0096">
        <w:rPr>
          <w:bCs/>
        </w:rPr>
        <w:t xml:space="preserve"> (2005). </w:t>
      </w:r>
      <w:r>
        <w:rPr>
          <w:bCs/>
        </w:rPr>
        <w:t>We compute this measure using</w:t>
      </w:r>
      <w:r w:rsidRPr="00AF0096">
        <w:rPr>
          <w:bCs/>
        </w:rPr>
        <w:t xml:space="preserve"> the constituents of the DataStream indexes</w:t>
      </w:r>
      <w:r w:rsidR="00B95012">
        <w:rPr>
          <w:bCs/>
        </w:rPr>
        <w:t>.  This measure</w:t>
      </w:r>
      <w:r w:rsidR="00047801">
        <w:rPr>
          <w:bCs/>
        </w:rPr>
        <w:t xml:space="preserve"> has been used extensively in similar studies that examine emerging markets (see </w:t>
      </w:r>
      <w:r w:rsidRPr="00AF0096">
        <w:rPr>
          <w:bCs/>
        </w:rPr>
        <w:t xml:space="preserve">Bekaert et al </w:t>
      </w:r>
      <w:r>
        <w:rPr>
          <w:bCs/>
        </w:rPr>
        <w:t>(</w:t>
      </w:r>
      <w:r w:rsidRPr="00AF0096">
        <w:rPr>
          <w:bCs/>
        </w:rPr>
        <w:t>2011</w:t>
      </w:r>
      <w:r>
        <w:rPr>
          <w:bCs/>
        </w:rPr>
        <w:t>)</w:t>
      </w:r>
      <w:r w:rsidRPr="00AF0096">
        <w:rPr>
          <w:bCs/>
        </w:rPr>
        <w:t xml:space="preserve">; </w:t>
      </w:r>
      <w:proofErr w:type="spellStart"/>
      <w:r w:rsidRPr="00AF0096">
        <w:rPr>
          <w:bCs/>
        </w:rPr>
        <w:t>Carrieri</w:t>
      </w:r>
      <w:proofErr w:type="spellEnd"/>
      <w:r w:rsidRPr="00AF0096">
        <w:rPr>
          <w:bCs/>
        </w:rPr>
        <w:t xml:space="preserve"> et al </w:t>
      </w:r>
      <w:r>
        <w:rPr>
          <w:bCs/>
        </w:rPr>
        <w:t>(</w:t>
      </w:r>
      <w:r w:rsidRPr="00AF0096">
        <w:rPr>
          <w:bCs/>
        </w:rPr>
        <w:t>2013</w:t>
      </w:r>
      <w:r>
        <w:rPr>
          <w:bCs/>
        </w:rPr>
        <w:t>)</w:t>
      </w:r>
      <w:r w:rsidRPr="00AF0096">
        <w:rPr>
          <w:bCs/>
        </w:rPr>
        <w:t xml:space="preserve">; and Bekaert et al </w:t>
      </w:r>
      <w:r>
        <w:rPr>
          <w:bCs/>
        </w:rPr>
        <w:t>(</w:t>
      </w:r>
      <w:r w:rsidRPr="00AF0096">
        <w:rPr>
          <w:bCs/>
        </w:rPr>
        <w:t>2007)</w:t>
      </w:r>
      <w:r w:rsidR="00047801">
        <w:rPr>
          <w:bCs/>
        </w:rPr>
        <w:t>)</w:t>
      </w:r>
      <w:r w:rsidRPr="00AF0096">
        <w:rPr>
          <w:bCs/>
        </w:rPr>
        <w:t xml:space="preserve">. </w:t>
      </w:r>
      <w:r w:rsidR="00881E74">
        <w:rPr>
          <w:bCs/>
        </w:rPr>
        <w:t xml:space="preserve">Diversification potential is often available but not </w:t>
      </w:r>
      <w:r w:rsidR="0042567A">
        <w:rPr>
          <w:bCs/>
        </w:rPr>
        <w:t xml:space="preserve">fully </w:t>
      </w:r>
      <w:r w:rsidR="00881E74">
        <w:rPr>
          <w:bCs/>
        </w:rPr>
        <w:t xml:space="preserve">executable in small illiquid </w:t>
      </w:r>
      <w:r w:rsidR="000130D3">
        <w:rPr>
          <w:bCs/>
        </w:rPr>
        <w:t xml:space="preserve">markets </w:t>
      </w:r>
      <w:r w:rsidR="00881E74">
        <w:rPr>
          <w:bCs/>
        </w:rPr>
        <w:t xml:space="preserve">as </w:t>
      </w:r>
      <w:r w:rsidR="00B95012">
        <w:rPr>
          <w:bCs/>
        </w:rPr>
        <w:t>i</w:t>
      </w:r>
      <w:r w:rsidRPr="00AF0096">
        <w:rPr>
          <w:bCs/>
        </w:rPr>
        <w:t>lliquidity is a barrier to foreign invest</w:t>
      </w:r>
      <w:r>
        <w:rPr>
          <w:bCs/>
        </w:rPr>
        <w:t>ment</w:t>
      </w:r>
      <w:r w:rsidR="00B95012">
        <w:rPr>
          <w:bCs/>
        </w:rPr>
        <w:t>.</w:t>
      </w:r>
    </w:p>
    <w:p w14:paraId="5493EE3E" w14:textId="2CE7B119" w:rsidR="000F4708" w:rsidRDefault="000F4708" w:rsidP="00460344">
      <w:pPr>
        <w:spacing w:after="0" w:line="480" w:lineRule="auto"/>
        <w:ind w:firstLine="357"/>
        <w:jc w:val="both"/>
        <w:rPr>
          <w:bCs/>
        </w:rPr>
      </w:pPr>
      <w:r>
        <w:rPr>
          <w:bCs/>
        </w:rPr>
        <w:t>Proxies for c</w:t>
      </w:r>
      <w:r w:rsidRPr="00A44708">
        <w:rPr>
          <w:bCs/>
        </w:rPr>
        <w:t>ountry-specific economic, political and financial market risk are obtained from the Political Risk Services International Country Risk Guide (ICRG).</w:t>
      </w:r>
      <w:r w:rsidRPr="00A44708">
        <w:rPr>
          <w:bCs/>
          <w:vertAlign w:val="superscript"/>
        </w:rPr>
        <w:footnoteReference w:id="27"/>
      </w:r>
      <w:r w:rsidRPr="00A44708">
        <w:rPr>
          <w:bCs/>
        </w:rPr>
        <w:t xml:space="preserve">  </w:t>
      </w:r>
      <w:r>
        <w:rPr>
          <w:bCs/>
        </w:rPr>
        <w:t>The</w:t>
      </w:r>
      <w:r w:rsidRPr="00A44708">
        <w:rPr>
          <w:bCs/>
        </w:rPr>
        <w:t xml:space="preserve"> financial risk </w:t>
      </w:r>
      <w:r>
        <w:rPr>
          <w:bCs/>
        </w:rPr>
        <w:t xml:space="preserve">term, for example, </w:t>
      </w:r>
      <w:r w:rsidRPr="00A44708">
        <w:rPr>
          <w:bCs/>
        </w:rPr>
        <w:t xml:space="preserve">includes </w:t>
      </w:r>
      <w:r>
        <w:rPr>
          <w:bCs/>
        </w:rPr>
        <w:t>foreign debt and exchange rate stability measures that have been</w:t>
      </w:r>
      <w:r w:rsidRPr="00A44708">
        <w:rPr>
          <w:bCs/>
        </w:rPr>
        <w:t xml:space="preserve"> used to explain bond market integration (</w:t>
      </w:r>
      <w:proofErr w:type="spellStart"/>
      <w:r w:rsidRPr="00A44708">
        <w:rPr>
          <w:bCs/>
        </w:rPr>
        <w:t>Chaieb</w:t>
      </w:r>
      <w:proofErr w:type="spellEnd"/>
      <w:r w:rsidRPr="00A44708">
        <w:rPr>
          <w:bCs/>
        </w:rPr>
        <w:t xml:space="preserve"> et al </w:t>
      </w:r>
      <w:r w:rsidR="003B1012">
        <w:rPr>
          <w:bCs/>
        </w:rPr>
        <w:t>(</w:t>
      </w:r>
      <w:r w:rsidRPr="00A44708">
        <w:rPr>
          <w:bCs/>
        </w:rPr>
        <w:t>2014)</w:t>
      </w:r>
      <w:r w:rsidR="003B1012">
        <w:rPr>
          <w:bCs/>
        </w:rPr>
        <w:t>)</w:t>
      </w:r>
      <w:r w:rsidRPr="00A44708">
        <w:rPr>
          <w:bCs/>
        </w:rPr>
        <w:t>.  Political risk and its components</w:t>
      </w:r>
      <w:r>
        <w:rPr>
          <w:bCs/>
        </w:rPr>
        <w:t xml:space="preserve">, inclusive of the presence of corruption, external or internal conflict, democratic accountability, and the like, </w:t>
      </w:r>
      <w:r w:rsidRPr="00A44708">
        <w:rPr>
          <w:bCs/>
        </w:rPr>
        <w:t xml:space="preserve">also </w:t>
      </w:r>
      <w:r>
        <w:rPr>
          <w:bCs/>
        </w:rPr>
        <w:t xml:space="preserve">have been </w:t>
      </w:r>
      <w:r>
        <w:rPr>
          <w:bCs/>
        </w:rPr>
        <w:lastRenderedPageBreak/>
        <w:t xml:space="preserve">shown to </w:t>
      </w:r>
      <w:r w:rsidRPr="00A44708">
        <w:rPr>
          <w:bCs/>
        </w:rPr>
        <w:t>limit market integration (</w:t>
      </w:r>
      <w:r w:rsidR="003B1012">
        <w:rPr>
          <w:bCs/>
        </w:rPr>
        <w:t xml:space="preserve">see </w:t>
      </w:r>
      <w:r w:rsidRPr="00A44708">
        <w:rPr>
          <w:bCs/>
        </w:rPr>
        <w:t xml:space="preserve">Bekaert et al </w:t>
      </w:r>
      <w:r w:rsidR="003B1012">
        <w:rPr>
          <w:bCs/>
        </w:rPr>
        <w:t>(</w:t>
      </w:r>
      <w:r w:rsidRPr="00A44708">
        <w:rPr>
          <w:bCs/>
        </w:rPr>
        <w:t>2011</w:t>
      </w:r>
      <w:r w:rsidR="003B1012">
        <w:rPr>
          <w:bCs/>
        </w:rPr>
        <w:t>)</w:t>
      </w:r>
      <w:r w:rsidRPr="00A44708">
        <w:rPr>
          <w:bCs/>
        </w:rPr>
        <w:t xml:space="preserve"> and </w:t>
      </w:r>
      <w:proofErr w:type="spellStart"/>
      <w:r w:rsidRPr="00A44708">
        <w:rPr>
          <w:bCs/>
        </w:rPr>
        <w:t>Carrieri</w:t>
      </w:r>
      <w:proofErr w:type="spellEnd"/>
      <w:r w:rsidRPr="00A44708">
        <w:rPr>
          <w:bCs/>
        </w:rPr>
        <w:t xml:space="preserve"> et al </w:t>
      </w:r>
      <w:r w:rsidR="003B1012">
        <w:rPr>
          <w:bCs/>
        </w:rPr>
        <w:t>(</w:t>
      </w:r>
      <w:r w:rsidRPr="00A44708">
        <w:rPr>
          <w:bCs/>
        </w:rPr>
        <w:t>2013)</w:t>
      </w:r>
      <w:r w:rsidR="003B1012">
        <w:rPr>
          <w:bCs/>
        </w:rPr>
        <w:t>)</w:t>
      </w:r>
      <w:r w:rsidRPr="00A44708">
        <w:rPr>
          <w:bCs/>
        </w:rPr>
        <w:t xml:space="preserve">.  </w:t>
      </w:r>
      <w:r>
        <w:rPr>
          <w:bCs/>
        </w:rPr>
        <w:t xml:space="preserve">The economic risk term includes proxies for price, budgetary, and other factors that characterize the macroeconomic environment.  </w:t>
      </w:r>
      <w:r w:rsidR="00DA39CB">
        <w:rPr>
          <w:bCs/>
        </w:rPr>
        <w:t xml:space="preserve">It </w:t>
      </w:r>
      <w:r w:rsidR="008A115D">
        <w:rPr>
          <w:bCs/>
        </w:rPr>
        <w:t xml:space="preserve">further </w:t>
      </w:r>
      <w:r w:rsidR="00DA39CB">
        <w:rPr>
          <w:bCs/>
        </w:rPr>
        <w:t xml:space="preserve">includes a country level current account estimate incorporating trade considerations that have been examined in </w:t>
      </w:r>
      <w:proofErr w:type="gramStart"/>
      <w:r w:rsidR="00DA39CB">
        <w:rPr>
          <w:bCs/>
        </w:rPr>
        <w:t>a number of</w:t>
      </w:r>
      <w:proofErr w:type="gramEnd"/>
      <w:r w:rsidR="00DA39CB">
        <w:rPr>
          <w:bCs/>
        </w:rPr>
        <w:t xml:space="preserve"> papers (for example, Bekaert et al, 2011). </w:t>
      </w:r>
      <w:proofErr w:type="gramStart"/>
      <w:r>
        <w:rPr>
          <w:bCs/>
        </w:rPr>
        <w:t>Similar to</w:t>
      </w:r>
      <w:proofErr w:type="gramEnd"/>
      <w:r w:rsidRPr="00A44708">
        <w:rPr>
          <w:bCs/>
        </w:rPr>
        <w:t xml:space="preserve"> </w:t>
      </w:r>
      <w:proofErr w:type="spellStart"/>
      <w:r w:rsidRPr="00A44708">
        <w:rPr>
          <w:bCs/>
        </w:rPr>
        <w:t>Carrieri</w:t>
      </w:r>
      <w:proofErr w:type="spellEnd"/>
      <w:r w:rsidRPr="00A44708">
        <w:rPr>
          <w:bCs/>
        </w:rPr>
        <w:t xml:space="preserve"> et al (2013) and </w:t>
      </w:r>
      <w:proofErr w:type="spellStart"/>
      <w:r w:rsidRPr="00A44708">
        <w:rPr>
          <w:bCs/>
        </w:rPr>
        <w:t>Chaieb</w:t>
      </w:r>
      <w:proofErr w:type="spellEnd"/>
      <w:r w:rsidRPr="00A44708">
        <w:rPr>
          <w:bCs/>
        </w:rPr>
        <w:t xml:space="preserve"> et al (2014), we use the aggregate series </w:t>
      </w:r>
      <w:r>
        <w:rPr>
          <w:bCs/>
        </w:rPr>
        <w:t xml:space="preserve">and hence </w:t>
      </w:r>
      <w:r w:rsidRPr="00A44708">
        <w:rPr>
          <w:bCs/>
        </w:rPr>
        <w:t>avoid high levels of correlation between some sub-indexes</w:t>
      </w:r>
      <w:r w:rsidR="00047801">
        <w:rPr>
          <w:bCs/>
        </w:rPr>
        <w:t xml:space="preserve"> in the panel regressions</w:t>
      </w:r>
      <w:r w:rsidRPr="00A44708">
        <w:rPr>
          <w:bCs/>
        </w:rPr>
        <w:t xml:space="preserve">.  </w:t>
      </w:r>
      <w:r w:rsidRPr="00D45AED">
        <w:rPr>
          <w:bCs/>
        </w:rPr>
        <w:t xml:space="preserve">Table </w:t>
      </w:r>
      <w:r w:rsidRPr="00F07407">
        <w:rPr>
          <w:bCs/>
        </w:rPr>
        <w:t>6</w:t>
      </w:r>
      <w:r w:rsidRPr="00471B02">
        <w:rPr>
          <w:bCs/>
        </w:rPr>
        <w:t xml:space="preserve"> provides evidence of limited correlation among the </w:t>
      </w:r>
      <w:r w:rsidR="008E5BC3">
        <w:rPr>
          <w:bCs/>
        </w:rPr>
        <w:t xml:space="preserve">aggregate </w:t>
      </w:r>
      <w:r w:rsidRPr="00471B02">
        <w:rPr>
          <w:bCs/>
        </w:rPr>
        <w:t>ICRG risk indices.</w:t>
      </w:r>
      <w:r w:rsidRPr="00C57D7F">
        <w:rPr>
          <w:bCs/>
        </w:rPr>
        <w:t xml:space="preserve">  </w:t>
      </w:r>
    </w:p>
    <w:p w14:paraId="4A27A29B" w14:textId="0FD645F8" w:rsidR="000F4708" w:rsidRPr="00C57D7F" w:rsidRDefault="000F4708" w:rsidP="00460344">
      <w:pPr>
        <w:spacing w:after="0" w:line="480" w:lineRule="auto"/>
        <w:ind w:firstLine="357"/>
        <w:jc w:val="both"/>
        <w:rPr>
          <w:bCs/>
        </w:rPr>
      </w:pPr>
      <w:r w:rsidRPr="00C57D7F">
        <w:rPr>
          <w:bCs/>
        </w:rPr>
        <w:t xml:space="preserve">As shown in columns (1) – (3) of Table 9, baseline modelled factor estimates are largely robust to the inclusion of the ICRG country risk and liquidity indices.  </w:t>
      </w:r>
      <w:r>
        <w:rPr>
          <w:bCs/>
        </w:rPr>
        <w:t xml:space="preserve">As anticipated, </w:t>
      </w:r>
      <w:r w:rsidR="00165D88">
        <w:rPr>
          <w:bCs/>
        </w:rPr>
        <w:t xml:space="preserve">while </w:t>
      </w:r>
      <w:proofErr w:type="gramStart"/>
      <w:r w:rsidR="00433A1E">
        <w:rPr>
          <w:bCs/>
        </w:rPr>
        <w:t>less</w:t>
      </w:r>
      <w:proofErr w:type="gramEnd"/>
      <w:r w:rsidR="00433A1E">
        <w:rPr>
          <w:bCs/>
        </w:rPr>
        <w:t xml:space="preserve"> liquid markets are associated with </w:t>
      </w:r>
      <w:r>
        <w:rPr>
          <w:bCs/>
        </w:rPr>
        <w:t>elevated diversification potential</w:t>
      </w:r>
      <w:r w:rsidR="00165D88">
        <w:rPr>
          <w:bCs/>
        </w:rPr>
        <w:t>,</w:t>
      </w:r>
      <w:r w:rsidR="00881E74" w:rsidRPr="00881E74">
        <w:t xml:space="preserve"> </w:t>
      </w:r>
      <w:r w:rsidR="00881E74">
        <w:rPr>
          <w:bCs/>
        </w:rPr>
        <w:t>investo</w:t>
      </w:r>
      <w:r w:rsidR="000130D3">
        <w:rPr>
          <w:bCs/>
        </w:rPr>
        <w:t>rs</w:t>
      </w:r>
      <w:r w:rsidR="00881E74">
        <w:rPr>
          <w:bCs/>
        </w:rPr>
        <w:t xml:space="preserve"> face a </w:t>
      </w:r>
      <w:r w:rsidR="003B1012">
        <w:rPr>
          <w:bCs/>
        </w:rPr>
        <w:t>challenge in accessing those markets</w:t>
      </w:r>
      <w:r>
        <w:rPr>
          <w:bCs/>
        </w:rPr>
        <w:t>.  The estimated liquidity coefficient is significant</w:t>
      </w:r>
      <w:r w:rsidR="00F527A4">
        <w:rPr>
          <w:bCs/>
        </w:rPr>
        <w:t xml:space="preserve"> across all asset classes</w:t>
      </w:r>
      <w:r>
        <w:rPr>
          <w:bCs/>
        </w:rPr>
        <w:t>.</w:t>
      </w:r>
      <w:r w:rsidR="00433A1E">
        <w:rPr>
          <w:bCs/>
        </w:rPr>
        <w:t xml:space="preserve">  </w:t>
      </w:r>
      <w:r w:rsidR="00F840DC">
        <w:rPr>
          <w:bCs/>
        </w:rPr>
        <w:t xml:space="preserve">Further, the liquidity results are largely robust to the inclusion of either internet diffusion </w:t>
      </w:r>
      <w:r w:rsidR="00341F17">
        <w:rPr>
          <w:bCs/>
        </w:rPr>
        <w:t xml:space="preserve">[columns (4) – (6)] </w:t>
      </w:r>
      <w:r w:rsidR="00F840DC">
        <w:rPr>
          <w:bCs/>
        </w:rPr>
        <w:t xml:space="preserve">or </w:t>
      </w:r>
      <w:r w:rsidR="00341F17">
        <w:rPr>
          <w:bCs/>
        </w:rPr>
        <w:t xml:space="preserve">the first principal component of the World Bank development indexes [columns (7) – (9)] as the proxy for communication technology diffusion or country stage of economic development.  </w:t>
      </w:r>
      <w:r w:rsidRPr="00C57D7F">
        <w:rPr>
          <w:bCs/>
        </w:rPr>
        <w:t xml:space="preserve">Among the ICRG risk factors, country-specific economic risk </w:t>
      </w:r>
      <w:r w:rsidR="00433A1E">
        <w:rPr>
          <w:bCs/>
        </w:rPr>
        <w:t>is</w:t>
      </w:r>
      <w:r w:rsidRPr="00C57D7F">
        <w:rPr>
          <w:bCs/>
        </w:rPr>
        <w:t xml:space="preserve"> associated with significant</w:t>
      </w:r>
      <w:r>
        <w:rPr>
          <w:bCs/>
        </w:rPr>
        <w:t>ly</w:t>
      </w:r>
      <w:r w:rsidRPr="00C57D7F">
        <w:rPr>
          <w:bCs/>
        </w:rPr>
        <w:t xml:space="preserve"> reduced diversification potential among </w:t>
      </w:r>
      <w:r w:rsidR="00F840DC">
        <w:rPr>
          <w:bCs/>
        </w:rPr>
        <w:t>all asset classes.  Similar findings are reported for equity and debt asset classes for political risk.  As shown in columns (4) – (</w:t>
      </w:r>
      <w:r w:rsidR="006F3F65">
        <w:rPr>
          <w:bCs/>
        </w:rPr>
        <w:t>5</w:t>
      </w:r>
      <w:r w:rsidR="00F840DC">
        <w:rPr>
          <w:bCs/>
        </w:rPr>
        <w:t>)</w:t>
      </w:r>
      <w:r w:rsidR="006F3F65">
        <w:rPr>
          <w:bCs/>
        </w:rPr>
        <w:t xml:space="preserve"> and (7) – (8)</w:t>
      </w:r>
      <w:r w:rsidR="00F840DC">
        <w:rPr>
          <w:bCs/>
        </w:rPr>
        <w:t xml:space="preserve">, </w:t>
      </w:r>
      <w:r w:rsidR="006F3F65">
        <w:rPr>
          <w:bCs/>
        </w:rPr>
        <w:t xml:space="preserve">for equity and debt asset classes, </w:t>
      </w:r>
      <w:r w:rsidR="00F840DC">
        <w:rPr>
          <w:bCs/>
        </w:rPr>
        <w:t xml:space="preserve">results for economic </w:t>
      </w:r>
      <w:r w:rsidR="006F3F65">
        <w:rPr>
          <w:bCs/>
        </w:rPr>
        <w:t xml:space="preserve">and political </w:t>
      </w:r>
      <w:r w:rsidR="00F840DC">
        <w:rPr>
          <w:bCs/>
        </w:rPr>
        <w:t xml:space="preserve">risk are largely robust to the inclusion of either internet diffusion of the first principal component of the World Bank development indexes as the development factor.  </w:t>
      </w:r>
      <w:r w:rsidRPr="00C57D7F">
        <w:rPr>
          <w:bCs/>
        </w:rPr>
        <w:t>As</w:t>
      </w:r>
      <w:r>
        <w:rPr>
          <w:bCs/>
        </w:rPr>
        <w:t xml:space="preserve"> anticipated and </w:t>
      </w:r>
      <w:proofErr w:type="gramStart"/>
      <w:r>
        <w:rPr>
          <w:bCs/>
        </w:rPr>
        <w:t>similar to</w:t>
      </w:r>
      <w:proofErr w:type="gramEnd"/>
      <w:r>
        <w:rPr>
          <w:bCs/>
        </w:rPr>
        <w:t xml:space="preserve"> </w:t>
      </w:r>
      <w:r w:rsidRPr="00C57D7F">
        <w:rPr>
          <w:bCs/>
        </w:rPr>
        <w:t xml:space="preserve">Table 8, </w:t>
      </w:r>
      <w:r w:rsidR="00341F17">
        <w:rPr>
          <w:bCs/>
        </w:rPr>
        <w:t xml:space="preserve">in the context of full model specification, </w:t>
      </w:r>
      <w:r>
        <w:rPr>
          <w:bCs/>
        </w:rPr>
        <w:t xml:space="preserve">both </w:t>
      </w:r>
      <w:r w:rsidRPr="00C57D7F">
        <w:rPr>
          <w:bCs/>
        </w:rPr>
        <w:t xml:space="preserve">internet diffusion and stage of country development </w:t>
      </w:r>
      <w:r>
        <w:rPr>
          <w:bCs/>
        </w:rPr>
        <w:t>are associated with</w:t>
      </w:r>
      <w:r w:rsidRPr="00C57D7F">
        <w:rPr>
          <w:bCs/>
        </w:rPr>
        <w:t xml:space="preserve"> significantly damp</w:t>
      </w:r>
      <w:r>
        <w:rPr>
          <w:bCs/>
        </w:rPr>
        <w:t>ed</w:t>
      </w:r>
      <w:r w:rsidRPr="00C57D7F">
        <w:rPr>
          <w:bCs/>
        </w:rPr>
        <w:t xml:space="preserve"> </w:t>
      </w:r>
      <w:r w:rsidR="00707324">
        <w:rPr>
          <w:bCs/>
        </w:rPr>
        <w:t>investment</w:t>
      </w:r>
      <w:r w:rsidRPr="00C57D7F">
        <w:rPr>
          <w:bCs/>
        </w:rPr>
        <w:t xml:space="preserve"> diversification opportunity across asset classes. </w:t>
      </w:r>
    </w:p>
    <w:p w14:paraId="6D95E53B" w14:textId="569AFDB3" w:rsidR="000F4708" w:rsidRPr="00C57D7F" w:rsidRDefault="000F4708" w:rsidP="00460344">
      <w:pPr>
        <w:spacing w:after="0" w:line="480" w:lineRule="auto"/>
        <w:ind w:firstLine="357"/>
        <w:jc w:val="both"/>
        <w:rPr>
          <w:bCs/>
        </w:rPr>
      </w:pPr>
      <w:r w:rsidRPr="00C57D7F">
        <w:rPr>
          <w:bCs/>
        </w:rPr>
        <w:t xml:space="preserve">In Table 10, </w:t>
      </w:r>
      <w:r w:rsidR="004972A4">
        <w:rPr>
          <w:bCs/>
        </w:rPr>
        <w:t>our large sample of equity markets allows us to</w:t>
      </w:r>
      <w:r w:rsidRPr="00C57D7F">
        <w:rPr>
          <w:bCs/>
        </w:rPr>
        <w:t xml:space="preserve"> assess </w:t>
      </w:r>
      <w:r w:rsidR="004972A4">
        <w:rPr>
          <w:bCs/>
        </w:rPr>
        <w:t>drivers of</w:t>
      </w:r>
      <w:r w:rsidRPr="00C57D7F">
        <w:rPr>
          <w:bCs/>
        </w:rPr>
        <w:t xml:space="preserve"> diversification </w:t>
      </w:r>
      <w:r w:rsidR="004972A4">
        <w:rPr>
          <w:bCs/>
        </w:rPr>
        <w:t>potential</w:t>
      </w:r>
      <w:r w:rsidRPr="00C57D7F">
        <w:rPr>
          <w:bCs/>
        </w:rPr>
        <w:t xml:space="preserve"> across developed, emerging, and frontier </w:t>
      </w:r>
      <w:r w:rsidR="004972A4">
        <w:rPr>
          <w:bCs/>
        </w:rPr>
        <w:t xml:space="preserve">equity </w:t>
      </w:r>
      <w:r w:rsidRPr="00C57D7F">
        <w:rPr>
          <w:bCs/>
        </w:rPr>
        <w:t xml:space="preserve">markets. </w:t>
      </w:r>
      <w:r w:rsidR="00707324">
        <w:rPr>
          <w:bCs/>
        </w:rPr>
        <w:t>While the</w:t>
      </w:r>
      <w:r w:rsidR="006A14F1">
        <w:rPr>
          <w:bCs/>
        </w:rPr>
        <w:t xml:space="preserve"> latter have not been </w:t>
      </w:r>
      <w:r w:rsidR="00707324">
        <w:rPr>
          <w:bCs/>
        </w:rPr>
        <w:t xml:space="preserve">previously </w:t>
      </w:r>
      <w:r w:rsidR="006A14F1">
        <w:rPr>
          <w:bCs/>
        </w:rPr>
        <w:t xml:space="preserve">examined </w:t>
      </w:r>
      <w:r w:rsidR="00890912">
        <w:rPr>
          <w:bCs/>
        </w:rPr>
        <w:t>for</w:t>
      </w:r>
      <w:r w:rsidR="00F83D80">
        <w:rPr>
          <w:bCs/>
        </w:rPr>
        <w:t xml:space="preserve"> </w:t>
      </w:r>
      <w:r w:rsidR="006A14F1">
        <w:rPr>
          <w:bCs/>
        </w:rPr>
        <w:t>diversification trends</w:t>
      </w:r>
      <w:r w:rsidR="00707324">
        <w:rPr>
          <w:bCs/>
        </w:rPr>
        <w:t xml:space="preserve">, </w:t>
      </w:r>
      <w:r w:rsidR="006A14F1">
        <w:rPr>
          <w:bCs/>
        </w:rPr>
        <w:t xml:space="preserve">Berger et al (2011) have documented lower integration in these markets.  </w:t>
      </w:r>
      <w:r w:rsidRPr="00C57D7F">
        <w:rPr>
          <w:bCs/>
        </w:rPr>
        <w:t xml:space="preserve">The table </w:t>
      </w:r>
      <w:r>
        <w:rPr>
          <w:bCs/>
        </w:rPr>
        <w:t>reports</w:t>
      </w:r>
      <w:r w:rsidRPr="00C57D7F">
        <w:rPr>
          <w:bCs/>
        </w:rPr>
        <w:t xml:space="preserve"> </w:t>
      </w:r>
      <w:proofErr w:type="gramStart"/>
      <w:r w:rsidRPr="00C57D7F">
        <w:rPr>
          <w:bCs/>
        </w:rPr>
        <w:t>results</w:t>
      </w:r>
      <w:proofErr w:type="gramEnd"/>
      <w:r w:rsidRPr="00C57D7F">
        <w:rPr>
          <w:bCs/>
        </w:rPr>
        <w:t xml:space="preserve"> of full model specification inclusive of the proxies for </w:t>
      </w:r>
      <w:r w:rsidRPr="00C57D7F">
        <w:rPr>
          <w:bCs/>
        </w:rPr>
        <w:lastRenderedPageBreak/>
        <w:t>market liquidity, ICRG risk controls, and internet diffusion.</w:t>
      </w:r>
      <w:r w:rsidRPr="00C57D7F">
        <w:rPr>
          <w:bCs/>
          <w:vertAlign w:val="superscript"/>
        </w:rPr>
        <w:footnoteReference w:id="28"/>
      </w:r>
      <w:r w:rsidRPr="00C57D7F">
        <w:rPr>
          <w:bCs/>
        </w:rPr>
        <w:t xml:space="preserve">  Similar to above, all models include country-specific fixed effects.  </w:t>
      </w:r>
    </w:p>
    <w:p w14:paraId="2A87E8DE" w14:textId="01EF469C" w:rsidR="000F4708" w:rsidRPr="00C57D7F" w:rsidRDefault="000F4708" w:rsidP="00890912">
      <w:pPr>
        <w:spacing w:after="0" w:line="480" w:lineRule="auto"/>
        <w:ind w:firstLine="357"/>
        <w:jc w:val="both"/>
        <w:rPr>
          <w:bCs/>
        </w:rPr>
      </w:pPr>
      <w:r w:rsidRPr="00C57D7F">
        <w:rPr>
          <w:bCs/>
        </w:rPr>
        <w:t xml:space="preserve">As would be expected, </w:t>
      </w:r>
      <w:r>
        <w:rPr>
          <w:bCs/>
        </w:rPr>
        <w:t xml:space="preserve">columns (1) – (3) of </w:t>
      </w:r>
      <w:r w:rsidRPr="00C57D7F">
        <w:rPr>
          <w:bCs/>
        </w:rPr>
        <w:t xml:space="preserve">Table 10 </w:t>
      </w:r>
      <w:r w:rsidR="004972A4">
        <w:rPr>
          <w:bCs/>
        </w:rPr>
        <w:t>shows substantial</w:t>
      </w:r>
      <w:r w:rsidRPr="00C57D7F">
        <w:rPr>
          <w:bCs/>
        </w:rPr>
        <w:t xml:space="preserve"> variation in the effect of diversification drivers across developed, emerging, and frontier equity markets.  The </w:t>
      </w:r>
      <w:r w:rsidR="00B61D3E">
        <w:rPr>
          <w:bCs/>
        </w:rPr>
        <w:t xml:space="preserve">1992 </w:t>
      </w:r>
      <w:r w:rsidRPr="00C57D7F">
        <w:rPr>
          <w:bCs/>
        </w:rPr>
        <w:t xml:space="preserve">ERM </w:t>
      </w:r>
      <w:r w:rsidR="005A5B51">
        <w:rPr>
          <w:bCs/>
        </w:rPr>
        <w:t xml:space="preserve">and 2009-2010 European sovereign debt crisis </w:t>
      </w:r>
      <w:r w:rsidRPr="00C57D7F">
        <w:rPr>
          <w:bCs/>
        </w:rPr>
        <w:t>period</w:t>
      </w:r>
      <w:r w:rsidR="005A5B51">
        <w:rPr>
          <w:bCs/>
        </w:rPr>
        <w:t>s</w:t>
      </w:r>
      <w:r w:rsidRPr="00C57D7F">
        <w:rPr>
          <w:bCs/>
        </w:rPr>
        <w:t xml:space="preserve"> </w:t>
      </w:r>
      <w:r w:rsidR="005A5B51">
        <w:rPr>
          <w:bCs/>
        </w:rPr>
        <w:t>both are</w:t>
      </w:r>
      <w:r w:rsidRPr="00C57D7F">
        <w:rPr>
          <w:bCs/>
        </w:rPr>
        <w:t xml:space="preserve"> associated with significantly damped equity diversification opportunity in developed</w:t>
      </w:r>
      <w:r w:rsidR="008C0499">
        <w:rPr>
          <w:bCs/>
        </w:rPr>
        <w:t xml:space="preserve"> </w:t>
      </w:r>
      <w:r w:rsidR="005A5B51">
        <w:rPr>
          <w:bCs/>
        </w:rPr>
        <w:t xml:space="preserve">and emerging </w:t>
      </w:r>
      <w:r w:rsidR="008C0499">
        <w:rPr>
          <w:bCs/>
        </w:rPr>
        <w:t>markets</w:t>
      </w:r>
      <w:r w:rsidR="005A5B51">
        <w:rPr>
          <w:bCs/>
        </w:rPr>
        <w:t>.  However, both those periods were associated with significantly elevated diversification opportunities among frontier markets.</w:t>
      </w:r>
      <w:r w:rsidRPr="00C57D7F">
        <w:rPr>
          <w:bCs/>
        </w:rPr>
        <w:t xml:space="preserve"> Among the ICRG risk factors, higher levels of country economic risk are associated with statistically damped equity diversification only in developed and emerging markets.  Similarly, higher levels of country political risk are associated with statistically damped equity diversification opportunity only in emerging and frontier markets.   </w:t>
      </w:r>
      <w:r w:rsidR="00B61D3E" w:rsidRPr="00B61D3E">
        <w:rPr>
          <w:bCs/>
        </w:rPr>
        <w:t xml:space="preserve">As above, an increase in internet diffusion is associated with sizable and significant declines in diversification opportunity throughout. </w:t>
      </w:r>
      <w:proofErr w:type="gramStart"/>
      <w:r w:rsidRPr="00C57D7F">
        <w:rPr>
          <w:bCs/>
        </w:rPr>
        <w:t>Overall,  model</w:t>
      </w:r>
      <w:proofErr w:type="gramEnd"/>
      <w:r w:rsidRPr="00C57D7F">
        <w:rPr>
          <w:bCs/>
        </w:rPr>
        <w:t xml:space="preserve"> fit is relatively higher for developed equity markets.</w:t>
      </w:r>
    </w:p>
    <w:p w14:paraId="1B17282D" w14:textId="5374884A" w:rsidR="000F4708" w:rsidRDefault="000F4708" w:rsidP="00460344">
      <w:pPr>
        <w:spacing w:after="0" w:line="480" w:lineRule="auto"/>
        <w:ind w:firstLine="357"/>
        <w:jc w:val="both"/>
        <w:rPr>
          <w:bCs/>
        </w:rPr>
      </w:pPr>
      <w:r>
        <w:rPr>
          <w:bCs/>
        </w:rPr>
        <w:t xml:space="preserve">In Table 10, </w:t>
      </w:r>
      <w:r w:rsidRPr="00C57D7F">
        <w:rPr>
          <w:rFonts w:ascii="Calibri" w:eastAsia="Times New Roman" w:hAnsi="Calibri" w:cs="Times New Roman"/>
          <w:color w:val="000000"/>
          <w:lang w:eastAsia="en-IE"/>
        </w:rPr>
        <w:t xml:space="preserve">we </w:t>
      </w:r>
      <w:r>
        <w:rPr>
          <w:rFonts w:ascii="Calibri" w:eastAsia="Times New Roman" w:hAnsi="Calibri" w:cs="Times New Roman"/>
          <w:color w:val="000000"/>
          <w:lang w:eastAsia="en-IE"/>
        </w:rPr>
        <w:t xml:space="preserve">also </w:t>
      </w:r>
      <w:r w:rsidRPr="00C57D7F">
        <w:rPr>
          <w:rFonts w:ascii="Calibri" w:eastAsia="Times New Roman" w:hAnsi="Calibri" w:cs="Times New Roman"/>
          <w:color w:val="000000"/>
          <w:lang w:eastAsia="en-IE"/>
        </w:rPr>
        <w:t xml:space="preserve">assess variation in estimation results among </w:t>
      </w:r>
      <w:proofErr w:type="gramStart"/>
      <w:r w:rsidRPr="00C57D7F">
        <w:rPr>
          <w:rFonts w:ascii="Calibri" w:eastAsia="Times New Roman" w:hAnsi="Calibri" w:cs="Times New Roman"/>
          <w:color w:val="000000"/>
          <w:lang w:eastAsia="en-IE"/>
        </w:rPr>
        <w:t>temporally</w:t>
      </w:r>
      <w:r w:rsidR="005A5B51">
        <w:rPr>
          <w:rFonts w:ascii="Calibri" w:eastAsia="Times New Roman" w:hAnsi="Calibri" w:cs="Times New Roman"/>
          <w:color w:val="000000"/>
          <w:lang w:eastAsia="en-IE"/>
        </w:rPr>
        <w:t>-</w:t>
      </w:r>
      <w:r w:rsidRPr="00C57D7F">
        <w:rPr>
          <w:rFonts w:ascii="Calibri" w:eastAsia="Times New Roman" w:hAnsi="Calibri" w:cs="Times New Roman"/>
          <w:color w:val="000000"/>
          <w:lang w:eastAsia="en-IE"/>
        </w:rPr>
        <w:t>stratified</w:t>
      </w:r>
      <w:proofErr w:type="gramEnd"/>
      <w:r w:rsidRPr="00C57D7F">
        <w:rPr>
          <w:rFonts w:ascii="Calibri" w:eastAsia="Times New Roman" w:hAnsi="Calibri" w:cs="Times New Roman"/>
          <w:color w:val="000000"/>
          <w:lang w:eastAsia="en-IE"/>
        </w:rPr>
        <w:t xml:space="preserve"> panels.  </w:t>
      </w:r>
      <w:r w:rsidRPr="00C57D7F">
        <w:rPr>
          <w:bCs/>
        </w:rPr>
        <w:t xml:space="preserve">Specifically, using the full </w:t>
      </w:r>
      <w:r>
        <w:rPr>
          <w:bCs/>
        </w:rPr>
        <w:t xml:space="preserve">set of modelled factors, </w:t>
      </w:r>
      <w:r w:rsidRPr="00C57D7F">
        <w:rPr>
          <w:bCs/>
        </w:rPr>
        <w:t>we stratify the unbalanced panel into 1986-1999 and 2000-2012 sub-samples.  We estimate models for each of the asset classes and timeframes.   By definition, the ERM control is relevant only to the early panels</w:t>
      </w:r>
      <w:r>
        <w:rPr>
          <w:bCs/>
        </w:rPr>
        <w:t xml:space="preserve"> (columns (4) – (6))</w:t>
      </w:r>
      <w:r w:rsidRPr="00C57D7F">
        <w:rPr>
          <w:bCs/>
        </w:rPr>
        <w:t xml:space="preserve">, whereas </w:t>
      </w:r>
      <w:r w:rsidR="00890912">
        <w:rPr>
          <w:bCs/>
        </w:rPr>
        <w:t xml:space="preserve">the </w:t>
      </w:r>
      <w:r w:rsidRPr="00C57D7F">
        <w:rPr>
          <w:bCs/>
        </w:rPr>
        <w:t>European sovereign debt crisis period control appears only in the case of the later panels</w:t>
      </w:r>
      <w:r>
        <w:rPr>
          <w:bCs/>
        </w:rPr>
        <w:t xml:space="preserve"> (columns (7) – (9))</w:t>
      </w:r>
      <w:r w:rsidRPr="00C57D7F">
        <w:rPr>
          <w:bCs/>
        </w:rPr>
        <w:t xml:space="preserve">. </w:t>
      </w:r>
    </w:p>
    <w:p w14:paraId="6B3610D8" w14:textId="6885D269" w:rsidR="000F4708" w:rsidRDefault="008C0499" w:rsidP="00460344">
      <w:pPr>
        <w:spacing w:after="0" w:line="480" w:lineRule="auto"/>
        <w:ind w:firstLine="357"/>
        <w:jc w:val="both"/>
        <w:rPr>
          <w:bCs/>
        </w:rPr>
      </w:pPr>
      <w:r w:rsidRPr="008C0499">
        <w:rPr>
          <w:bCs/>
        </w:rPr>
        <w:t>Internet diffusion</w:t>
      </w:r>
      <w:r w:rsidR="00890912">
        <w:rPr>
          <w:bCs/>
        </w:rPr>
        <w:t xml:space="preserve"> is</w:t>
      </w:r>
      <w:r w:rsidRPr="008C0499">
        <w:rPr>
          <w:bCs/>
        </w:rPr>
        <w:t xml:space="preserve"> associated with significantly damped diversification potential in the case of both equity and REIT assets classes in both the pre- and post-2000 periods.  As would be expected, the estimated internet effects </w:t>
      </w:r>
      <w:r w:rsidR="00890912">
        <w:rPr>
          <w:bCs/>
        </w:rPr>
        <w:t>a</w:t>
      </w:r>
      <w:r w:rsidR="00B61D3E">
        <w:rPr>
          <w:bCs/>
        </w:rPr>
        <w:t>re more pronounced</w:t>
      </w:r>
      <w:r w:rsidRPr="008C0499">
        <w:rPr>
          <w:bCs/>
        </w:rPr>
        <w:t xml:space="preserve"> in the more recent period in the wake </w:t>
      </w:r>
      <w:r w:rsidR="00890912">
        <w:rPr>
          <w:bCs/>
        </w:rPr>
        <w:t>of</w:t>
      </w:r>
      <w:r w:rsidRPr="008C0499">
        <w:rPr>
          <w:bCs/>
        </w:rPr>
        <w:t xml:space="preserve"> </w:t>
      </w:r>
      <w:r w:rsidR="00890912">
        <w:rPr>
          <w:bCs/>
        </w:rPr>
        <w:t>increased</w:t>
      </w:r>
      <w:r w:rsidRPr="008C0499">
        <w:rPr>
          <w:bCs/>
        </w:rPr>
        <w:t xml:space="preserve"> internet diffusion.</w:t>
      </w:r>
      <w:r>
        <w:rPr>
          <w:bCs/>
        </w:rPr>
        <w:t xml:space="preserve"> </w:t>
      </w:r>
      <w:r w:rsidR="005A5B51">
        <w:rPr>
          <w:bCs/>
        </w:rPr>
        <w:t>Among other diversification drivers</w:t>
      </w:r>
      <w:r w:rsidR="000F4708" w:rsidRPr="00C57D7F">
        <w:rPr>
          <w:bCs/>
        </w:rPr>
        <w:t xml:space="preserve">, our proxy for credit risk, the TED spread, is associated with positive and significant diversification opportunities in both debt and real </w:t>
      </w:r>
      <w:r w:rsidR="000F4708" w:rsidRPr="00C57D7F">
        <w:rPr>
          <w:bCs/>
        </w:rPr>
        <w:lastRenderedPageBreak/>
        <w:t xml:space="preserve">estate </w:t>
      </w:r>
      <w:r w:rsidR="005A5B51">
        <w:rPr>
          <w:bCs/>
        </w:rPr>
        <w:t xml:space="preserve">asset classes </w:t>
      </w:r>
      <w:r w:rsidR="000F4708" w:rsidRPr="00C57D7F">
        <w:rPr>
          <w:bCs/>
        </w:rPr>
        <w:t xml:space="preserve">in the </w:t>
      </w:r>
      <w:r w:rsidR="005A5B51">
        <w:rPr>
          <w:bCs/>
        </w:rPr>
        <w:t xml:space="preserve">earlier </w:t>
      </w:r>
      <w:r w:rsidR="000F4708" w:rsidRPr="00C57D7F">
        <w:rPr>
          <w:bCs/>
        </w:rPr>
        <w:t xml:space="preserve">1986-1999 panels.  </w:t>
      </w:r>
      <w:r w:rsidR="005A5B51">
        <w:rPr>
          <w:bCs/>
        </w:rPr>
        <w:t>However</w:t>
      </w:r>
      <w:r w:rsidR="000F4708" w:rsidRPr="00C57D7F">
        <w:rPr>
          <w:bCs/>
        </w:rPr>
        <w:t xml:space="preserve">, in the more recent 2000-2012 panels, credit risk has a negative influence on diversification opportunity across asset classes.  Similarly, while equity market volatility as proxied by the VIX is associated early on with significantly depressed diversification opportunity in both equity and debt markets, those effects are reversed in the 2000-2012 panels for </w:t>
      </w:r>
      <w:r>
        <w:rPr>
          <w:bCs/>
        </w:rPr>
        <w:t>bonds</w:t>
      </w:r>
      <w:r w:rsidR="000F4708" w:rsidRPr="00C57D7F">
        <w:rPr>
          <w:bCs/>
        </w:rPr>
        <w:t xml:space="preserve">.    </w:t>
      </w:r>
    </w:p>
    <w:p w14:paraId="7758F6CA" w14:textId="3E375148" w:rsidR="004C69E0" w:rsidRDefault="00623AE6" w:rsidP="000F4708">
      <w:pPr>
        <w:spacing w:before="240" w:after="0" w:line="480" w:lineRule="auto"/>
        <w:ind w:firstLine="357"/>
        <w:rPr>
          <w:b/>
          <w:bCs/>
        </w:rPr>
      </w:pPr>
      <w:r>
        <w:rPr>
          <w:b/>
          <w:bCs/>
        </w:rPr>
        <w:t>VIII.</w:t>
      </w:r>
      <w:r>
        <w:rPr>
          <w:b/>
          <w:bCs/>
        </w:rPr>
        <w:tab/>
      </w:r>
      <w:r w:rsidR="004C69E0">
        <w:rPr>
          <w:b/>
          <w:bCs/>
        </w:rPr>
        <w:t>Conclusion</w:t>
      </w:r>
    </w:p>
    <w:p w14:paraId="70814CB7" w14:textId="26B5DE7A" w:rsidR="00077834" w:rsidRDefault="00B476F8" w:rsidP="00BB37C3">
      <w:pPr>
        <w:spacing w:after="0" w:line="480" w:lineRule="auto"/>
        <w:ind w:firstLine="357"/>
        <w:jc w:val="both"/>
        <w:rPr>
          <w:bCs/>
        </w:rPr>
      </w:pPr>
      <w:r w:rsidRPr="00B476F8">
        <w:rPr>
          <w:bCs/>
        </w:rPr>
        <w:t xml:space="preserve">Diversification </w:t>
      </w:r>
      <w:r>
        <w:rPr>
          <w:bCs/>
        </w:rPr>
        <w:t xml:space="preserve">has long been </w:t>
      </w:r>
      <w:r w:rsidRPr="00B476F8">
        <w:rPr>
          <w:bCs/>
        </w:rPr>
        <w:t xml:space="preserve">fundamental </w:t>
      </w:r>
      <w:r w:rsidR="002F1C9B">
        <w:rPr>
          <w:bCs/>
        </w:rPr>
        <w:t>to</w:t>
      </w:r>
      <w:r w:rsidRPr="00B476F8">
        <w:rPr>
          <w:bCs/>
        </w:rPr>
        <w:t xml:space="preserve"> risk mitigation.   </w:t>
      </w:r>
      <w:r w:rsidR="004D395E">
        <w:rPr>
          <w:bCs/>
        </w:rPr>
        <w:t xml:space="preserve">Recent anecdotal evidence, however, suggests </w:t>
      </w:r>
      <w:r w:rsidR="00637B3D">
        <w:rPr>
          <w:bCs/>
        </w:rPr>
        <w:t>that the increasing integration of the world economy is reducing the benefit of</w:t>
      </w:r>
      <w:r w:rsidR="004D395E">
        <w:rPr>
          <w:bCs/>
        </w:rPr>
        <w:t xml:space="preserve"> diversification.   </w:t>
      </w:r>
      <w:r w:rsidRPr="00B476F8">
        <w:rPr>
          <w:bCs/>
        </w:rPr>
        <w:t>This paper</w:t>
      </w:r>
      <w:r w:rsidR="00345EE3">
        <w:rPr>
          <w:bCs/>
        </w:rPr>
        <w:t xml:space="preserve"> provid</w:t>
      </w:r>
      <w:r w:rsidR="009D4BAF">
        <w:rPr>
          <w:bCs/>
        </w:rPr>
        <w:t>es</w:t>
      </w:r>
      <w:r w:rsidR="00345EE3">
        <w:rPr>
          <w:bCs/>
        </w:rPr>
        <w:t xml:space="preserve"> confirming empirical evidence using</w:t>
      </w:r>
      <w:r w:rsidR="00E85A86">
        <w:rPr>
          <w:bCs/>
        </w:rPr>
        <w:t xml:space="preserve"> </w:t>
      </w:r>
      <w:r w:rsidR="002F1C9B">
        <w:rPr>
          <w:bCs/>
        </w:rPr>
        <w:t xml:space="preserve">new </w:t>
      </w:r>
      <w:r w:rsidR="0065388F">
        <w:rPr>
          <w:bCs/>
        </w:rPr>
        <w:t>indexes</w:t>
      </w:r>
      <w:r w:rsidR="002F1C9B">
        <w:rPr>
          <w:bCs/>
        </w:rPr>
        <w:t xml:space="preserve"> of investment diversification potential</w:t>
      </w:r>
      <w:r w:rsidR="00E85A86">
        <w:rPr>
          <w:bCs/>
        </w:rPr>
        <w:t xml:space="preserve">.  </w:t>
      </w:r>
      <w:r w:rsidR="002F1C9B">
        <w:rPr>
          <w:bCs/>
        </w:rPr>
        <w:t xml:space="preserve"> </w:t>
      </w:r>
      <w:r w:rsidR="00EB69F9">
        <w:rPr>
          <w:bCs/>
        </w:rPr>
        <w:t xml:space="preserve">Our </w:t>
      </w:r>
      <w:r w:rsidR="00345EE3">
        <w:rPr>
          <w:bCs/>
        </w:rPr>
        <w:t xml:space="preserve">diversification </w:t>
      </w:r>
      <w:proofErr w:type="gramStart"/>
      <w:r w:rsidR="00345EE3">
        <w:rPr>
          <w:bCs/>
        </w:rPr>
        <w:t>indexes</w:t>
      </w:r>
      <w:r w:rsidR="00EB69F9">
        <w:rPr>
          <w:bCs/>
        </w:rPr>
        <w:t>,</w:t>
      </w:r>
      <w:r w:rsidR="00345EE3">
        <w:rPr>
          <w:bCs/>
        </w:rPr>
        <w:t xml:space="preserve">  based</w:t>
      </w:r>
      <w:proofErr w:type="gramEnd"/>
      <w:r w:rsidR="00345EE3">
        <w:rPr>
          <w:bCs/>
        </w:rPr>
        <w:t xml:space="preserve"> on common global factors</w:t>
      </w:r>
      <w:r w:rsidR="00EB69F9">
        <w:rPr>
          <w:bCs/>
        </w:rPr>
        <w:t>,</w:t>
      </w:r>
      <w:r w:rsidR="00E85A86">
        <w:rPr>
          <w:bCs/>
        </w:rPr>
        <w:t xml:space="preserve"> are computed </w:t>
      </w:r>
      <w:r w:rsidR="002F1C9B">
        <w:rPr>
          <w:bCs/>
        </w:rPr>
        <w:t>w</w:t>
      </w:r>
      <w:r w:rsidR="000D71F7">
        <w:rPr>
          <w:bCs/>
        </w:rPr>
        <w:t>ithin and a</w:t>
      </w:r>
      <w:r w:rsidR="002F1C9B">
        <w:rPr>
          <w:bCs/>
        </w:rPr>
        <w:t>mong</w:t>
      </w:r>
      <w:r w:rsidR="000D71F7">
        <w:rPr>
          <w:bCs/>
        </w:rPr>
        <w:t xml:space="preserve"> </w:t>
      </w:r>
      <w:r w:rsidR="004D395E">
        <w:rPr>
          <w:bCs/>
        </w:rPr>
        <w:t>equity, sovereign debt, and real estate</w:t>
      </w:r>
      <w:r w:rsidR="007D494F">
        <w:rPr>
          <w:bCs/>
        </w:rPr>
        <w:t xml:space="preserve"> </w:t>
      </w:r>
      <w:r w:rsidR="004D395E">
        <w:rPr>
          <w:bCs/>
        </w:rPr>
        <w:t xml:space="preserve">asset classes </w:t>
      </w:r>
      <w:r w:rsidR="002F1C9B">
        <w:rPr>
          <w:bCs/>
        </w:rPr>
        <w:t xml:space="preserve">and </w:t>
      </w:r>
      <w:r w:rsidR="001902FB">
        <w:rPr>
          <w:bCs/>
        </w:rPr>
        <w:t xml:space="preserve">for </w:t>
      </w:r>
      <w:r w:rsidR="009D4BAF">
        <w:rPr>
          <w:bCs/>
        </w:rPr>
        <w:t>89</w:t>
      </w:r>
      <w:r w:rsidR="001902FB">
        <w:rPr>
          <w:bCs/>
        </w:rPr>
        <w:t xml:space="preserve"> </w:t>
      </w:r>
      <w:r w:rsidR="00077834">
        <w:rPr>
          <w:bCs/>
        </w:rPr>
        <w:t>countries</w:t>
      </w:r>
      <w:r w:rsidR="000D71F7">
        <w:rPr>
          <w:bCs/>
        </w:rPr>
        <w:t xml:space="preserve">.  </w:t>
      </w:r>
    </w:p>
    <w:p w14:paraId="4DB89954" w14:textId="089A9969" w:rsidR="00077834" w:rsidRDefault="00345EE3" w:rsidP="00D53BF4">
      <w:pPr>
        <w:spacing w:after="0" w:line="480" w:lineRule="auto"/>
        <w:ind w:firstLine="357"/>
        <w:jc w:val="both"/>
        <w:rPr>
          <w:bCs/>
        </w:rPr>
      </w:pPr>
      <w:r>
        <w:rPr>
          <w:bCs/>
        </w:rPr>
        <w:t xml:space="preserve">The most striking result is </w:t>
      </w:r>
      <w:r w:rsidR="000D71F7">
        <w:rPr>
          <w:bCs/>
        </w:rPr>
        <w:t xml:space="preserve">a large decline </w:t>
      </w:r>
      <w:r>
        <w:rPr>
          <w:bCs/>
        </w:rPr>
        <w:t xml:space="preserve">in diversification potential </w:t>
      </w:r>
      <w:r w:rsidR="00077834">
        <w:rPr>
          <w:bCs/>
        </w:rPr>
        <w:t>across</w:t>
      </w:r>
      <w:r w:rsidR="00B476F8" w:rsidRPr="00B476F8">
        <w:rPr>
          <w:bCs/>
        </w:rPr>
        <w:t xml:space="preserve"> country cohorts </w:t>
      </w:r>
      <w:r w:rsidR="001902FB">
        <w:rPr>
          <w:bCs/>
        </w:rPr>
        <w:t>that</w:t>
      </w:r>
      <w:r w:rsidR="00B476F8" w:rsidRPr="00B476F8">
        <w:rPr>
          <w:bCs/>
        </w:rPr>
        <w:t xml:space="preserve"> </w:t>
      </w:r>
      <w:r w:rsidR="00077834">
        <w:rPr>
          <w:bCs/>
        </w:rPr>
        <w:t xml:space="preserve">is </w:t>
      </w:r>
      <w:r>
        <w:rPr>
          <w:bCs/>
        </w:rPr>
        <w:t xml:space="preserve">becomes </w:t>
      </w:r>
      <w:r w:rsidR="00B476F8" w:rsidRPr="00B476F8">
        <w:rPr>
          <w:bCs/>
        </w:rPr>
        <w:t xml:space="preserve">precipitous in the post-2000 period.  </w:t>
      </w:r>
      <w:r w:rsidR="00DA1355">
        <w:rPr>
          <w:bCs/>
        </w:rPr>
        <w:t xml:space="preserve">For example, we estimate </w:t>
      </w:r>
      <w:r w:rsidR="00B476F8" w:rsidRPr="00B476F8">
        <w:rPr>
          <w:bCs/>
        </w:rPr>
        <w:t xml:space="preserve">declines in diversification </w:t>
      </w:r>
      <w:r w:rsidR="008C119F">
        <w:rPr>
          <w:bCs/>
        </w:rPr>
        <w:t>potential</w:t>
      </w:r>
      <w:r w:rsidR="00B476F8" w:rsidRPr="00B476F8">
        <w:rPr>
          <w:bCs/>
        </w:rPr>
        <w:t xml:space="preserve"> for each of the equity, sovereign debt, and REIT asset classes from a maximum </w:t>
      </w:r>
      <w:r w:rsidR="008C119F">
        <w:rPr>
          <w:bCs/>
        </w:rPr>
        <w:t xml:space="preserve">index </w:t>
      </w:r>
      <w:r w:rsidR="00B476F8" w:rsidRPr="00B476F8">
        <w:rPr>
          <w:bCs/>
        </w:rPr>
        <w:t xml:space="preserve">level of 100 in the late-1990s to roughly half that level by 2012!  </w:t>
      </w:r>
      <w:r w:rsidR="00E60256">
        <w:rPr>
          <w:bCs/>
        </w:rPr>
        <w:t>The</w:t>
      </w:r>
      <w:r>
        <w:rPr>
          <w:bCs/>
        </w:rPr>
        <w:t>se</w:t>
      </w:r>
      <w:r w:rsidR="00E60256">
        <w:rPr>
          <w:bCs/>
        </w:rPr>
        <w:t xml:space="preserve"> diversification trends</w:t>
      </w:r>
      <w:r w:rsidR="00E60256" w:rsidRPr="00E60256">
        <w:rPr>
          <w:bCs/>
        </w:rPr>
        <w:t xml:space="preserve"> are robust to </w:t>
      </w:r>
      <w:r>
        <w:rPr>
          <w:bCs/>
        </w:rPr>
        <w:t xml:space="preserve">the </w:t>
      </w:r>
      <w:r w:rsidR="00E60256" w:rsidRPr="00E60256">
        <w:rPr>
          <w:bCs/>
        </w:rPr>
        <w:t xml:space="preserve">state of the </w:t>
      </w:r>
      <w:r w:rsidR="00DA1355">
        <w:rPr>
          <w:bCs/>
        </w:rPr>
        <w:t>economy</w:t>
      </w:r>
      <w:r w:rsidR="00E60256" w:rsidRPr="00E60256">
        <w:rPr>
          <w:bCs/>
        </w:rPr>
        <w:t xml:space="preserve"> and </w:t>
      </w:r>
      <w:r w:rsidR="00DA1355">
        <w:rPr>
          <w:bCs/>
        </w:rPr>
        <w:t xml:space="preserve">to </w:t>
      </w:r>
      <w:r w:rsidR="00E60256" w:rsidRPr="00E60256">
        <w:rPr>
          <w:bCs/>
        </w:rPr>
        <w:t xml:space="preserve">other </w:t>
      </w:r>
      <w:r w:rsidR="00077834">
        <w:rPr>
          <w:bCs/>
        </w:rPr>
        <w:t>influences</w:t>
      </w:r>
      <w:r w:rsidR="00E60256" w:rsidRPr="00E60256">
        <w:rPr>
          <w:bCs/>
        </w:rPr>
        <w:t>.</w:t>
      </w:r>
      <w:r w:rsidR="00E60256">
        <w:rPr>
          <w:bCs/>
        </w:rPr>
        <w:t xml:space="preserve">  </w:t>
      </w:r>
    </w:p>
    <w:p w14:paraId="4B59413E" w14:textId="5B0C5905" w:rsidR="000D71F7" w:rsidRDefault="00345EE3" w:rsidP="00D53BF4">
      <w:pPr>
        <w:spacing w:after="0" w:line="480" w:lineRule="auto"/>
        <w:ind w:firstLine="357"/>
        <w:jc w:val="both"/>
        <w:rPr>
          <w:bCs/>
        </w:rPr>
      </w:pPr>
      <w:r>
        <w:rPr>
          <w:bCs/>
        </w:rPr>
        <w:t xml:space="preserve">Our </w:t>
      </w:r>
      <w:r w:rsidR="00E60256">
        <w:rPr>
          <w:bCs/>
        </w:rPr>
        <w:t xml:space="preserve">analysis suggests </w:t>
      </w:r>
      <w:r>
        <w:rPr>
          <w:bCs/>
        </w:rPr>
        <w:t xml:space="preserve">further </w:t>
      </w:r>
      <w:r w:rsidR="00E60256">
        <w:rPr>
          <w:bCs/>
        </w:rPr>
        <w:t xml:space="preserve">that declines in diversification </w:t>
      </w:r>
      <w:r>
        <w:rPr>
          <w:bCs/>
        </w:rPr>
        <w:t xml:space="preserve">potential </w:t>
      </w:r>
      <w:r w:rsidR="00E60256">
        <w:rPr>
          <w:bCs/>
        </w:rPr>
        <w:t xml:space="preserve">are associated with numerous factors, notably including </w:t>
      </w:r>
      <w:r w:rsidR="00EB69F9">
        <w:rPr>
          <w:bCs/>
        </w:rPr>
        <w:t xml:space="preserve">the level </w:t>
      </w:r>
      <w:r w:rsidR="009D4BAF">
        <w:rPr>
          <w:bCs/>
        </w:rPr>
        <w:t xml:space="preserve">of </w:t>
      </w:r>
      <w:r w:rsidR="00EB69F9">
        <w:rPr>
          <w:bCs/>
        </w:rPr>
        <w:t xml:space="preserve">a </w:t>
      </w:r>
      <w:r w:rsidR="001902FB">
        <w:rPr>
          <w:bCs/>
        </w:rPr>
        <w:t>country</w:t>
      </w:r>
      <w:r w:rsidR="00EB69F9">
        <w:rPr>
          <w:bCs/>
        </w:rPr>
        <w:t>’s</w:t>
      </w:r>
      <w:r w:rsidR="001902FB">
        <w:rPr>
          <w:bCs/>
        </w:rPr>
        <w:t xml:space="preserve"> economic development </w:t>
      </w:r>
      <w:r w:rsidR="00EB69F9">
        <w:rPr>
          <w:bCs/>
        </w:rPr>
        <w:t>along with</w:t>
      </w:r>
      <w:r w:rsidR="001902FB">
        <w:rPr>
          <w:bCs/>
        </w:rPr>
        <w:t xml:space="preserve"> </w:t>
      </w:r>
      <w:r w:rsidR="009D4BAF">
        <w:rPr>
          <w:bCs/>
        </w:rPr>
        <w:t xml:space="preserve">technology adoption as proxied by </w:t>
      </w:r>
      <w:r w:rsidR="001902FB">
        <w:rPr>
          <w:bCs/>
        </w:rPr>
        <w:t>internet diffusion.  Declines in diversification potential also are associated with</w:t>
      </w:r>
      <w:r w:rsidR="009D4BAF">
        <w:rPr>
          <w:bCs/>
        </w:rPr>
        <w:t xml:space="preserve"> improvements in market liquidity and with the</w:t>
      </w:r>
      <w:r w:rsidR="001902FB">
        <w:rPr>
          <w:bCs/>
        </w:rPr>
        <w:t xml:space="preserve"> 1999 ERM and 2009-2010 European sovereign debt crisis periods.   </w:t>
      </w:r>
      <w:r w:rsidR="002F311B">
        <w:rPr>
          <w:bCs/>
        </w:rPr>
        <w:t>These findings are r</w:t>
      </w:r>
      <w:r w:rsidR="001902FB">
        <w:rPr>
          <w:bCs/>
        </w:rPr>
        <w:t>o</w:t>
      </w:r>
      <w:r w:rsidR="002F311B">
        <w:rPr>
          <w:bCs/>
        </w:rPr>
        <w:t xml:space="preserve">bust to the inclusion of </w:t>
      </w:r>
      <w:r w:rsidR="00E31B45">
        <w:rPr>
          <w:bCs/>
        </w:rPr>
        <w:t>numerous controls for</w:t>
      </w:r>
      <w:r w:rsidR="002F311B">
        <w:rPr>
          <w:bCs/>
        </w:rPr>
        <w:t xml:space="preserve"> market</w:t>
      </w:r>
      <w:r w:rsidR="00E31B45">
        <w:rPr>
          <w:bCs/>
        </w:rPr>
        <w:t xml:space="preserve"> volatility</w:t>
      </w:r>
      <w:r w:rsidR="002F311B">
        <w:rPr>
          <w:bCs/>
        </w:rPr>
        <w:t xml:space="preserve">, credit, economic, and </w:t>
      </w:r>
      <w:r w:rsidR="00AA6367" w:rsidRPr="00AA6367">
        <w:rPr>
          <w:bCs/>
        </w:rPr>
        <w:t>portfolio risk</w:t>
      </w:r>
      <w:r w:rsidR="002F311B">
        <w:rPr>
          <w:bCs/>
        </w:rPr>
        <w:t>s</w:t>
      </w:r>
      <w:r w:rsidR="00AA6367" w:rsidRPr="00AA6367">
        <w:rPr>
          <w:bCs/>
        </w:rPr>
        <w:t>.</w:t>
      </w:r>
      <w:r w:rsidR="00AA6367">
        <w:rPr>
          <w:bCs/>
        </w:rPr>
        <w:t xml:space="preserve"> </w:t>
      </w:r>
      <w:r>
        <w:rPr>
          <w:bCs/>
        </w:rPr>
        <w:t xml:space="preserve"> The res</w:t>
      </w:r>
      <w:r w:rsidR="005222AA">
        <w:rPr>
          <w:bCs/>
        </w:rPr>
        <w:t>u</w:t>
      </w:r>
      <w:r>
        <w:rPr>
          <w:bCs/>
        </w:rPr>
        <w:t>lts</w:t>
      </w:r>
      <w:r w:rsidR="004D395E">
        <w:rPr>
          <w:bCs/>
        </w:rPr>
        <w:t xml:space="preserve"> offer a cautionary note regarding asset class and geographic diversification of investment risk in an increasingly flat world.</w:t>
      </w:r>
    </w:p>
    <w:p w14:paraId="6B6C4DED" w14:textId="363E458C" w:rsidR="006F3D60" w:rsidRDefault="006F3D60">
      <w:pPr>
        <w:rPr>
          <w:b/>
          <w:bCs/>
        </w:rPr>
      </w:pPr>
    </w:p>
    <w:p w14:paraId="1287F463" w14:textId="77777777" w:rsidR="007F276C" w:rsidRDefault="007F276C" w:rsidP="00B50CE4">
      <w:pPr>
        <w:rPr>
          <w:b/>
          <w:bCs/>
        </w:rPr>
      </w:pPr>
    </w:p>
    <w:p w14:paraId="04B87E4F" w14:textId="77777777" w:rsidR="007F276C" w:rsidRDefault="007F276C" w:rsidP="00B50CE4">
      <w:pPr>
        <w:rPr>
          <w:b/>
          <w:bCs/>
        </w:rPr>
      </w:pPr>
    </w:p>
    <w:p w14:paraId="34F65DD5" w14:textId="04B73D54" w:rsidR="00470883" w:rsidRDefault="00470883" w:rsidP="00B50CE4">
      <w:pPr>
        <w:rPr>
          <w:b/>
          <w:bCs/>
        </w:rPr>
      </w:pPr>
      <w:r w:rsidRPr="00B50CE4">
        <w:rPr>
          <w:b/>
          <w:bCs/>
        </w:rPr>
        <w:lastRenderedPageBreak/>
        <w:t>References</w:t>
      </w:r>
    </w:p>
    <w:p w14:paraId="6A7A7B09" w14:textId="77777777" w:rsidR="00B50CE4" w:rsidRPr="00B50CE4" w:rsidRDefault="00B50CE4" w:rsidP="00FD4A57">
      <w:pPr>
        <w:spacing w:after="0"/>
        <w:ind w:left="360"/>
        <w:jc w:val="both"/>
        <w:rPr>
          <w:rFonts w:eastAsia="Cambria" w:cs="Cambria"/>
          <w:lang w:val="en-US"/>
        </w:rPr>
      </w:pPr>
      <w:proofErr w:type="spellStart"/>
      <w:r w:rsidRPr="00B50CE4">
        <w:rPr>
          <w:rFonts w:eastAsia="Cambria" w:cs="Cambria"/>
          <w:lang w:val="en-US"/>
        </w:rPr>
        <w:t>Ammer</w:t>
      </w:r>
      <w:proofErr w:type="spellEnd"/>
      <w:r w:rsidRPr="00B50CE4">
        <w:rPr>
          <w:rFonts w:eastAsia="Cambria" w:cs="Cambria"/>
          <w:lang w:val="en-US"/>
        </w:rPr>
        <w:t xml:space="preserve">, J. and Mei., J., 1996, Measuring International Economic Linkages with Stock Market Data, </w:t>
      </w:r>
      <w:r w:rsidRPr="00B50CE4">
        <w:rPr>
          <w:rFonts w:eastAsia="Cambria" w:cs="Cambria"/>
          <w:i/>
          <w:lang w:val="en-US"/>
        </w:rPr>
        <w:t>Journal of Finance</w:t>
      </w:r>
      <w:r w:rsidRPr="00B50CE4">
        <w:rPr>
          <w:rFonts w:eastAsia="Cambria" w:cs="Cambria"/>
          <w:lang w:val="en-US"/>
        </w:rPr>
        <w:t xml:space="preserve"> 51, 1743–1763.</w:t>
      </w:r>
    </w:p>
    <w:p w14:paraId="77CEED1F" w14:textId="77777777" w:rsidR="00B50CE4" w:rsidRPr="00911E37" w:rsidRDefault="00B50CE4">
      <w:pPr>
        <w:spacing w:after="0"/>
        <w:ind w:left="360"/>
        <w:jc w:val="both"/>
        <w:rPr>
          <w:rFonts w:eastAsia="Cambria" w:cs="Cambria"/>
          <w:lang w:val="en-US"/>
        </w:rPr>
      </w:pPr>
    </w:p>
    <w:p w14:paraId="1F856FB9" w14:textId="74DA7A00" w:rsidR="00B93C42" w:rsidRDefault="00B93C42">
      <w:pPr>
        <w:spacing w:after="0"/>
        <w:ind w:left="360"/>
        <w:jc w:val="both"/>
        <w:rPr>
          <w:rFonts w:eastAsia="Cambria" w:cs="Cambria"/>
          <w:lang w:val="en-US"/>
        </w:rPr>
      </w:pPr>
      <w:r w:rsidRPr="00B93C42">
        <w:rPr>
          <w:rFonts w:eastAsia="Cambria" w:cs="Cambria"/>
          <w:lang w:val="en-US"/>
        </w:rPr>
        <w:t>Baker</w:t>
      </w:r>
      <w:r>
        <w:rPr>
          <w:rFonts w:eastAsia="Cambria" w:cs="Cambria"/>
          <w:lang w:val="en-US"/>
        </w:rPr>
        <w:t xml:space="preserve">, </w:t>
      </w:r>
      <w:proofErr w:type="gramStart"/>
      <w:r>
        <w:rPr>
          <w:rFonts w:eastAsia="Cambria" w:cs="Cambria"/>
          <w:lang w:val="en-US"/>
        </w:rPr>
        <w:t>M.</w:t>
      </w:r>
      <w:proofErr w:type="gramEnd"/>
      <w:r>
        <w:rPr>
          <w:rFonts w:eastAsia="Cambria" w:cs="Cambria"/>
          <w:lang w:val="en-US"/>
        </w:rPr>
        <w:t xml:space="preserve"> </w:t>
      </w:r>
      <w:r w:rsidRPr="00B93C42">
        <w:rPr>
          <w:rFonts w:eastAsia="Cambria" w:cs="Cambria"/>
          <w:lang w:val="en-US"/>
        </w:rPr>
        <w:t xml:space="preserve">and </w:t>
      </w:r>
      <w:r>
        <w:rPr>
          <w:rFonts w:eastAsia="Cambria" w:cs="Cambria"/>
          <w:lang w:val="en-US"/>
        </w:rPr>
        <w:t xml:space="preserve">J. </w:t>
      </w:r>
      <w:proofErr w:type="spellStart"/>
      <w:r w:rsidRPr="00B93C42">
        <w:rPr>
          <w:rFonts w:eastAsia="Cambria" w:cs="Cambria"/>
          <w:lang w:val="en-US"/>
        </w:rPr>
        <w:t>Wurgler</w:t>
      </w:r>
      <w:proofErr w:type="spellEnd"/>
      <w:r>
        <w:rPr>
          <w:rFonts w:eastAsia="Cambria" w:cs="Cambria"/>
          <w:lang w:val="en-US"/>
        </w:rPr>
        <w:t xml:space="preserve">, </w:t>
      </w:r>
      <w:r w:rsidRPr="00B93C42">
        <w:rPr>
          <w:rFonts w:eastAsia="Cambria" w:cs="Cambria"/>
          <w:lang w:val="en-US"/>
        </w:rPr>
        <w:t xml:space="preserve">2006, Investor Sentiment and the </w:t>
      </w:r>
      <w:r>
        <w:rPr>
          <w:rFonts w:eastAsia="Cambria" w:cs="Cambria"/>
          <w:lang w:val="en-US"/>
        </w:rPr>
        <w:t xml:space="preserve">Cross-Section of Stock Returns, </w:t>
      </w:r>
      <w:r w:rsidRPr="00B93C42">
        <w:rPr>
          <w:rFonts w:eastAsia="Cambria" w:cs="Cambria"/>
          <w:i/>
          <w:lang w:val="en-US"/>
        </w:rPr>
        <w:t>Journal of Finance</w:t>
      </w:r>
      <w:r>
        <w:rPr>
          <w:rFonts w:eastAsia="Cambria" w:cs="Cambria"/>
          <w:lang w:val="en-US"/>
        </w:rPr>
        <w:t xml:space="preserve">, </w:t>
      </w:r>
      <w:r w:rsidRPr="00B93C42">
        <w:rPr>
          <w:rFonts w:eastAsia="Cambria" w:cs="Cambria"/>
          <w:lang w:val="en-US"/>
        </w:rPr>
        <w:t>61, 645-1680.</w:t>
      </w:r>
    </w:p>
    <w:p w14:paraId="7C874E3A" w14:textId="1DA6C433" w:rsidR="00A759C2" w:rsidRDefault="00A759C2">
      <w:pPr>
        <w:spacing w:after="0"/>
        <w:ind w:left="360"/>
        <w:jc w:val="both"/>
        <w:rPr>
          <w:rFonts w:eastAsia="Cambria" w:cs="Cambria"/>
          <w:lang w:val="en-US"/>
        </w:rPr>
      </w:pPr>
    </w:p>
    <w:p w14:paraId="21C1899C" w14:textId="00105FFA" w:rsidR="00A759C2" w:rsidRDefault="00A759C2" w:rsidP="00A759C2">
      <w:pPr>
        <w:spacing w:after="0"/>
        <w:ind w:left="360"/>
        <w:jc w:val="both"/>
        <w:rPr>
          <w:rFonts w:eastAsia="Cambria" w:cs="Cambria"/>
          <w:lang w:val="en-US"/>
        </w:rPr>
      </w:pPr>
      <w:r w:rsidRPr="00A759C2">
        <w:rPr>
          <w:rFonts w:eastAsia="Cambria" w:cs="Cambria"/>
          <w:lang w:val="en-US"/>
        </w:rPr>
        <w:t xml:space="preserve">Baker, </w:t>
      </w:r>
      <w:proofErr w:type="gramStart"/>
      <w:r w:rsidRPr="00A759C2">
        <w:rPr>
          <w:rFonts w:eastAsia="Cambria" w:cs="Cambria"/>
          <w:lang w:val="en-US"/>
        </w:rPr>
        <w:t>M.</w:t>
      </w:r>
      <w:proofErr w:type="gramEnd"/>
      <w:r w:rsidRPr="00A759C2">
        <w:rPr>
          <w:rFonts w:eastAsia="Cambria" w:cs="Cambria"/>
          <w:lang w:val="en-US"/>
        </w:rPr>
        <w:t xml:space="preserve"> and J. </w:t>
      </w:r>
      <w:proofErr w:type="spellStart"/>
      <w:r w:rsidRPr="00A759C2">
        <w:rPr>
          <w:rFonts w:eastAsia="Cambria" w:cs="Cambria"/>
          <w:lang w:val="en-US"/>
        </w:rPr>
        <w:t>Wurgler</w:t>
      </w:r>
      <w:proofErr w:type="spellEnd"/>
      <w:r w:rsidRPr="00A759C2">
        <w:rPr>
          <w:rFonts w:eastAsia="Cambria" w:cs="Cambria"/>
          <w:lang w:val="en-US"/>
        </w:rPr>
        <w:t>, 2006</w:t>
      </w:r>
      <w:r>
        <w:rPr>
          <w:rFonts w:eastAsia="Cambria" w:cs="Cambria"/>
          <w:lang w:val="en-US"/>
        </w:rPr>
        <w:t xml:space="preserve">, </w:t>
      </w:r>
      <w:proofErr w:type="spellStart"/>
      <w:r w:rsidRPr="00A759C2">
        <w:rPr>
          <w:rFonts w:eastAsia="Cambria" w:cs="Cambria"/>
          <w:lang w:val="en-US"/>
        </w:rPr>
        <w:t>Comovement</w:t>
      </w:r>
      <w:proofErr w:type="spellEnd"/>
      <w:r w:rsidRPr="00A759C2">
        <w:rPr>
          <w:rFonts w:eastAsia="Cambria" w:cs="Cambria"/>
          <w:lang w:val="en-US"/>
        </w:rPr>
        <w:t xml:space="preserve"> and Predictability</w:t>
      </w:r>
      <w:r>
        <w:rPr>
          <w:rFonts w:eastAsia="Cambria" w:cs="Cambria"/>
          <w:lang w:val="en-US"/>
        </w:rPr>
        <w:t xml:space="preserve"> </w:t>
      </w:r>
      <w:r w:rsidRPr="00A759C2">
        <w:rPr>
          <w:rFonts w:eastAsia="Cambria" w:cs="Cambria"/>
          <w:lang w:val="en-US"/>
        </w:rPr>
        <w:t>Relationships Between Bonds and the</w:t>
      </w:r>
      <w:r>
        <w:rPr>
          <w:rFonts w:eastAsia="Cambria" w:cs="Cambria"/>
          <w:lang w:val="en-US"/>
        </w:rPr>
        <w:t xml:space="preserve"> </w:t>
      </w:r>
      <w:r w:rsidRPr="00A759C2">
        <w:rPr>
          <w:rFonts w:eastAsia="Cambria" w:cs="Cambria"/>
          <w:lang w:val="en-US"/>
        </w:rPr>
        <w:t>Cross-section of Stocks</w:t>
      </w:r>
      <w:r>
        <w:rPr>
          <w:rFonts w:eastAsia="Cambria" w:cs="Cambria"/>
          <w:lang w:val="en-US"/>
        </w:rPr>
        <w:t xml:space="preserve">, </w:t>
      </w:r>
      <w:r w:rsidRPr="001708C1">
        <w:rPr>
          <w:rFonts w:eastAsia="Cambria" w:cs="Cambria"/>
          <w:i/>
          <w:lang w:val="en-US"/>
        </w:rPr>
        <w:t>Review of Asset Pricing Studies</w:t>
      </w:r>
      <w:r>
        <w:rPr>
          <w:rFonts w:eastAsia="Cambria" w:cs="Cambria"/>
          <w:lang w:val="en-US"/>
        </w:rPr>
        <w:t xml:space="preserve">, </w:t>
      </w:r>
      <w:r w:rsidR="005963DE" w:rsidRPr="005963DE">
        <w:rPr>
          <w:rFonts w:eastAsia="Cambria" w:cs="Cambria"/>
          <w:lang w:val="en-US"/>
        </w:rPr>
        <w:t>2, 57–87</w:t>
      </w:r>
    </w:p>
    <w:p w14:paraId="2EFCD491" w14:textId="77777777" w:rsidR="00B93C42" w:rsidRDefault="00B93C42" w:rsidP="00513BD1">
      <w:pPr>
        <w:spacing w:after="0"/>
        <w:ind w:left="360"/>
        <w:jc w:val="both"/>
        <w:rPr>
          <w:rFonts w:eastAsia="Cambria" w:cs="Cambria"/>
          <w:lang w:val="en-US"/>
        </w:rPr>
      </w:pPr>
    </w:p>
    <w:p w14:paraId="505D7FD3" w14:textId="77777777" w:rsidR="0086659C" w:rsidRDefault="0086659C" w:rsidP="0086659C">
      <w:pPr>
        <w:spacing w:after="0"/>
        <w:ind w:left="360"/>
        <w:jc w:val="both"/>
        <w:rPr>
          <w:rFonts w:eastAsia="Cambria" w:cs="Cambria"/>
          <w:lang w:val="en-US"/>
        </w:rPr>
      </w:pPr>
      <w:proofErr w:type="spellStart"/>
      <w:r w:rsidRPr="0086659C">
        <w:rPr>
          <w:rFonts w:eastAsia="Cambria" w:cs="Cambria"/>
          <w:lang w:val="en-US"/>
        </w:rPr>
        <w:t>Baele</w:t>
      </w:r>
      <w:proofErr w:type="spellEnd"/>
      <w:r w:rsidRPr="0086659C">
        <w:rPr>
          <w:rFonts w:eastAsia="Cambria" w:cs="Cambria"/>
          <w:lang w:val="en-US"/>
        </w:rPr>
        <w:t xml:space="preserve">, L, G. Bekaert and K. </w:t>
      </w:r>
      <w:proofErr w:type="spellStart"/>
      <w:r w:rsidRPr="0086659C">
        <w:rPr>
          <w:rFonts w:eastAsia="Cambria" w:cs="Cambria"/>
          <w:lang w:val="en-US"/>
        </w:rPr>
        <w:t>Inghelbrecht</w:t>
      </w:r>
      <w:proofErr w:type="spellEnd"/>
      <w:r w:rsidRPr="0086659C">
        <w:rPr>
          <w:rFonts w:eastAsia="Cambria" w:cs="Cambria"/>
          <w:lang w:val="en-US"/>
        </w:rPr>
        <w:t xml:space="preserve">., 2009, The Determinants of Stock and Bond Return </w:t>
      </w:r>
      <w:proofErr w:type="spellStart"/>
      <w:r w:rsidRPr="0086659C">
        <w:rPr>
          <w:rFonts w:eastAsia="Cambria" w:cs="Cambria"/>
          <w:lang w:val="en-US"/>
        </w:rPr>
        <w:t>Comovements</w:t>
      </w:r>
      <w:proofErr w:type="spellEnd"/>
      <w:r w:rsidRPr="0086659C">
        <w:rPr>
          <w:rFonts w:eastAsia="Cambria" w:cs="Cambria"/>
          <w:lang w:val="en-US"/>
        </w:rPr>
        <w:t xml:space="preserve">, </w:t>
      </w:r>
      <w:r w:rsidRPr="0086659C">
        <w:rPr>
          <w:rFonts w:eastAsia="Cambria" w:cs="Cambria"/>
          <w:i/>
          <w:lang w:val="en-US"/>
        </w:rPr>
        <w:t>Review of Financial Studies</w:t>
      </w:r>
      <w:r w:rsidRPr="0086659C">
        <w:rPr>
          <w:rFonts w:eastAsia="Cambria" w:cs="Cambria"/>
          <w:lang w:val="en-US"/>
        </w:rPr>
        <w:t>, Vol. 23, No. 6, 2374-2428.</w:t>
      </w:r>
    </w:p>
    <w:p w14:paraId="658FFC8E" w14:textId="77777777" w:rsidR="0086659C" w:rsidRPr="0086659C" w:rsidRDefault="0086659C" w:rsidP="0086659C">
      <w:pPr>
        <w:spacing w:after="0"/>
        <w:ind w:left="360"/>
        <w:jc w:val="both"/>
        <w:rPr>
          <w:rFonts w:eastAsia="Cambria" w:cs="Cambria"/>
          <w:lang w:val="en-US"/>
        </w:rPr>
      </w:pPr>
    </w:p>
    <w:p w14:paraId="2DFDA3E2" w14:textId="77777777" w:rsidR="0086659C" w:rsidRPr="0086659C" w:rsidRDefault="0086659C" w:rsidP="0086659C">
      <w:pPr>
        <w:spacing w:after="0"/>
        <w:ind w:left="360"/>
        <w:jc w:val="both"/>
        <w:rPr>
          <w:rFonts w:eastAsia="Cambria" w:cs="Cambria"/>
          <w:lang w:val="en-US"/>
        </w:rPr>
      </w:pPr>
      <w:r w:rsidRPr="0086659C">
        <w:rPr>
          <w:rFonts w:eastAsia="Cambria" w:cs="Cambria"/>
          <w:lang w:val="en-US"/>
        </w:rPr>
        <w:t xml:space="preserve">Bekaert, Geert, Campbell R. Harvey, Christian Lundblad, and Stephan Siegel, 2011, What Segments Equity </w:t>
      </w:r>
      <w:proofErr w:type="gramStart"/>
      <w:r w:rsidRPr="0086659C">
        <w:rPr>
          <w:rFonts w:eastAsia="Cambria" w:cs="Cambria"/>
          <w:lang w:val="en-US"/>
        </w:rPr>
        <w:t>Markets?,</w:t>
      </w:r>
      <w:proofErr w:type="gramEnd"/>
      <w:r w:rsidRPr="0086659C">
        <w:rPr>
          <w:rFonts w:eastAsia="Cambria" w:cs="Cambria"/>
          <w:lang w:val="en-US"/>
        </w:rPr>
        <w:t xml:space="preserve"> </w:t>
      </w:r>
      <w:r w:rsidRPr="0086659C">
        <w:rPr>
          <w:rFonts w:eastAsia="Cambria" w:cs="Cambria"/>
          <w:i/>
          <w:lang w:val="en-US"/>
        </w:rPr>
        <w:t>Review of Financial Studies</w:t>
      </w:r>
      <w:r w:rsidRPr="0086659C">
        <w:rPr>
          <w:rFonts w:eastAsia="Cambria" w:cs="Cambria"/>
          <w:lang w:val="en-US"/>
        </w:rPr>
        <w:t>, 24, 3841-3890.</w:t>
      </w:r>
    </w:p>
    <w:p w14:paraId="3C391FB8" w14:textId="77777777" w:rsidR="0086659C" w:rsidRDefault="0086659C" w:rsidP="0086659C">
      <w:pPr>
        <w:spacing w:after="0"/>
        <w:ind w:left="360"/>
        <w:jc w:val="both"/>
        <w:rPr>
          <w:rFonts w:eastAsia="Cambria" w:cs="Cambria"/>
          <w:lang w:val="en-US"/>
        </w:rPr>
      </w:pPr>
    </w:p>
    <w:p w14:paraId="08308C50" w14:textId="6E548539" w:rsidR="0086659C" w:rsidRDefault="0086659C" w:rsidP="0086659C">
      <w:pPr>
        <w:spacing w:after="0"/>
        <w:ind w:left="360"/>
        <w:jc w:val="both"/>
        <w:rPr>
          <w:rFonts w:eastAsia="Cambria" w:cs="Cambria"/>
          <w:lang w:val="en-US"/>
        </w:rPr>
      </w:pPr>
      <w:r w:rsidRPr="0086659C">
        <w:rPr>
          <w:rFonts w:eastAsia="Cambria" w:cs="Cambria"/>
          <w:lang w:val="en-US"/>
        </w:rPr>
        <w:t xml:space="preserve">Bekaert, Geert, Campbell R. Harvey, Christian Lundblad, 2007, Liquidity and Expected Returns: Lessons from Emerging Markets, </w:t>
      </w:r>
      <w:r w:rsidRPr="0086659C">
        <w:rPr>
          <w:rFonts w:eastAsia="Cambria" w:cs="Cambria"/>
          <w:i/>
          <w:lang w:val="en-US"/>
        </w:rPr>
        <w:t>Review of Financial Studies</w:t>
      </w:r>
      <w:r w:rsidRPr="0086659C">
        <w:rPr>
          <w:rFonts w:eastAsia="Cambria" w:cs="Cambria"/>
          <w:lang w:val="en-US"/>
        </w:rPr>
        <w:t>, 20, 1783-1831.</w:t>
      </w:r>
    </w:p>
    <w:p w14:paraId="542F78C6" w14:textId="77777777" w:rsidR="0086659C" w:rsidRDefault="0086659C" w:rsidP="0086659C">
      <w:pPr>
        <w:spacing w:after="0"/>
        <w:ind w:left="360"/>
        <w:jc w:val="both"/>
        <w:rPr>
          <w:rFonts w:eastAsia="Cambria" w:cs="Cambria"/>
          <w:lang w:val="en-US"/>
        </w:rPr>
      </w:pPr>
    </w:p>
    <w:p w14:paraId="586BAAD5" w14:textId="0BC91EB6" w:rsidR="00A30F72" w:rsidRPr="00911E37" w:rsidRDefault="009D76A0" w:rsidP="0086659C">
      <w:pPr>
        <w:spacing w:after="0"/>
        <w:ind w:left="360"/>
        <w:jc w:val="both"/>
        <w:rPr>
          <w:rFonts w:eastAsia="Cambria" w:cs="Cambria"/>
          <w:lang w:val="en-US"/>
        </w:rPr>
      </w:pPr>
      <w:r w:rsidRPr="00911E37">
        <w:rPr>
          <w:rFonts w:eastAsia="Cambria" w:cs="Cambria"/>
          <w:lang w:val="en-US"/>
        </w:rPr>
        <w:t>Bekaert</w:t>
      </w:r>
      <w:r w:rsidR="00A30F72" w:rsidRPr="00911E37">
        <w:rPr>
          <w:rFonts w:eastAsia="Cambria" w:cs="Cambria"/>
          <w:lang w:val="en-US"/>
        </w:rPr>
        <w:t xml:space="preserve">. G. and </w:t>
      </w:r>
      <w:r w:rsidR="0086659C">
        <w:rPr>
          <w:rFonts w:eastAsia="Cambria" w:cs="Cambria"/>
          <w:lang w:val="en-US"/>
        </w:rPr>
        <w:t>Harvey, C.</w:t>
      </w:r>
      <w:r w:rsidR="00A30F72" w:rsidRPr="00911E37">
        <w:rPr>
          <w:rFonts w:eastAsia="Cambria" w:cs="Cambria"/>
          <w:lang w:val="en-US"/>
        </w:rPr>
        <w:t>, 2014, Emerging Equity Markets in a Globalizing World, working paper.</w:t>
      </w:r>
    </w:p>
    <w:p w14:paraId="35858EDD" w14:textId="77777777" w:rsidR="009D76A0" w:rsidRPr="00911E37" w:rsidRDefault="009D76A0" w:rsidP="00FD4A57">
      <w:pPr>
        <w:spacing w:after="0"/>
        <w:ind w:left="360"/>
        <w:jc w:val="both"/>
        <w:rPr>
          <w:rFonts w:eastAsia="Cambria" w:cs="Cambria"/>
          <w:lang w:val="en-US"/>
        </w:rPr>
      </w:pPr>
    </w:p>
    <w:p w14:paraId="5FC673D3" w14:textId="77777777" w:rsidR="00B50CE4" w:rsidRPr="00B50CE4" w:rsidRDefault="00B50CE4">
      <w:pPr>
        <w:spacing w:after="0"/>
        <w:ind w:left="360"/>
        <w:jc w:val="both"/>
        <w:rPr>
          <w:rFonts w:eastAsia="Cambria" w:cs="Cambria"/>
          <w:lang w:val="en-US"/>
        </w:rPr>
      </w:pPr>
      <w:r w:rsidRPr="00B50CE4">
        <w:rPr>
          <w:rFonts w:eastAsia="Cambria" w:cs="Cambria"/>
          <w:lang w:val="en-US"/>
        </w:rPr>
        <w:t xml:space="preserve">Bekaert, G., and Harvey, C., 1995, Time-Varying World Market Integration, </w:t>
      </w:r>
      <w:r w:rsidRPr="00B50CE4">
        <w:rPr>
          <w:rFonts w:eastAsia="Cambria" w:cs="Cambria"/>
          <w:i/>
          <w:lang w:val="en-US"/>
        </w:rPr>
        <w:t xml:space="preserve">Journal of Finance </w:t>
      </w:r>
      <w:r w:rsidRPr="00B50CE4">
        <w:rPr>
          <w:rFonts w:eastAsia="Cambria" w:cs="Cambria"/>
          <w:lang w:val="en-US"/>
        </w:rPr>
        <w:t>50, 403-444.</w:t>
      </w:r>
    </w:p>
    <w:p w14:paraId="5B5640B0" w14:textId="77777777" w:rsidR="00B50CE4" w:rsidRPr="00B50CE4" w:rsidRDefault="00B50CE4">
      <w:pPr>
        <w:spacing w:after="0"/>
        <w:ind w:left="360"/>
        <w:jc w:val="both"/>
        <w:rPr>
          <w:rFonts w:eastAsia="Cambria" w:cs="Cambria"/>
          <w:lang w:val="en-US"/>
        </w:rPr>
      </w:pPr>
    </w:p>
    <w:p w14:paraId="16FC9461" w14:textId="77777777" w:rsidR="00B50CE4" w:rsidRDefault="00B50CE4">
      <w:pPr>
        <w:autoSpaceDE w:val="0"/>
        <w:autoSpaceDN w:val="0"/>
        <w:adjustRightInd w:val="0"/>
        <w:spacing w:after="0" w:line="240" w:lineRule="auto"/>
        <w:ind w:left="360"/>
        <w:jc w:val="both"/>
        <w:rPr>
          <w:rFonts w:eastAsia="Cambria" w:cs="Times New Roman"/>
        </w:rPr>
      </w:pPr>
      <w:r w:rsidRPr="00B50CE4">
        <w:rPr>
          <w:rFonts w:eastAsia="Cambria" w:cs="Times New Roman"/>
        </w:rPr>
        <w:t>Bekaert, G., Harvey,</w:t>
      </w:r>
      <w:r w:rsidRPr="00B50CE4">
        <w:rPr>
          <w:rFonts w:eastAsia="Cambria" w:cs="Arial"/>
          <w:lang w:val="en-US"/>
        </w:rPr>
        <w:t xml:space="preserve"> </w:t>
      </w:r>
      <w:r w:rsidRPr="00B50CE4">
        <w:rPr>
          <w:rFonts w:eastAsia="Cambria" w:cs="Times New Roman"/>
        </w:rPr>
        <w:t xml:space="preserve">C., and Ng, A., Ng, 2005, Market Integration and Contagion, </w:t>
      </w:r>
      <w:r w:rsidRPr="00B50CE4">
        <w:rPr>
          <w:rFonts w:eastAsia="Cambria" w:cs="Times New Roman"/>
          <w:i/>
        </w:rPr>
        <w:t>Journal of Business</w:t>
      </w:r>
      <w:r w:rsidRPr="00B50CE4">
        <w:rPr>
          <w:rFonts w:eastAsia="Cambria" w:cs="Times New Roman"/>
        </w:rPr>
        <w:t xml:space="preserve"> 78, 39–69.</w:t>
      </w:r>
    </w:p>
    <w:p w14:paraId="72D50B0D" w14:textId="77777777" w:rsidR="00B50CE4" w:rsidRDefault="00B50CE4">
      <w:pPr>
        <w:autoSpaceDE w:val="0"/>
        <w:autoSpaceDN w:val="0"/>
        <w:adjustRightInd w:val="0"/>
        <w:spacing w:after="0" w:line="240" w:lineRule="auto"/>
        <w:ind w:left="360"/>
        <w:jc w:val="both"/>
        <w:rPr>
          <w:rFonts w:eastAsia="Cambria" w:cs="Times New Roman"/>
        </w:rPr>
      </w:pPr>
    </w:p>
    <w:p w14:paraId="7215EC4D" w14:textId="77777777" w:rsidR="00554135" w:rsidRDefault="00554135">
      <w:pPr>
        <w:autoSpaceDE w:val="0"/>
        <w:autoSpaceDN w:val="0"/>
        <w:adjustRightInd w:val="0"/>
        <w:spacing w:after="0" w:line="240" w:lineRule="auto"/>
        <w:ind w:left="360"/>
        <w:jc w:val="both"/>
        <w:rPr>
          <w:rFonts w:eastAsia="Cambria" w:cs="Times New Roman"/>
        </w:rPr>
      </w:pPr>
      <w:r w:rsidRPr="00911E37">
        <w:rPr>
          <w:rFonts w:eastAsia="Cambria" w:cs="Times New Roman"/>
        </w:rPr>
        <w:t xml:space="preserve">Bekaert, G., </w:t>
      </w:r>
      <w:proofErr w:type="spellStart"/>
      <w:r w:rsidRPr="00911E37">
        <w:rPr>
          <w:rFonts w:eastAsia="Cambria" w:cs="Times New Roman"/>
        </w:rPr>
        <w:t>Hodrick</w:t>
      </w:r>
      <w:proofErr w:type="spellEnd"/>
      <w:r w:rsidRPr="00911E37">
        <w:rPr>
          <w:rFonts w:eastAsia="Cambria" w:cs="Times New Roman"/>
        </w:rPr>
        <w:t xml:space="preserve">, R., and Zhang, X., 2009, International Stock Return </w:t>
      </w:r>
      <w:proofErr w:type="spellStart"/>
      <w:r w:rsidRPr="00911E37">
        <w:rPr>
          <w:rFonts w:eastAsia="Cambria" w:cs="Times New Roman"/>
        </w:rPr>
        <w:t>Comovements</w:t>
      </w:r>
      <w:proofErr w:type="spellEnd"/>
      <w:r w:rsidRPr="00911E37">
        <w:rPr>
          <w:rFonts w:eastAsia="Cambria" w:cs="Times New Roman"/>
        </w:rPr>
        <w:t xml:space="preserve">, Vol. LXIV, No. 6. </w:t>
      </w:r>
      <w:r w:rsidRPr="00B20739">
        <w:rPr>
          <w:rFonts w:eastAsia="Cambria" w:cs="Times New Roman"/>
          <w:i/>
        </w:rPr>
        <w:t>Journal of Finance</w:t>
      </w:r>
      <w:r w:rsidRPr="00911E37">
        <w:rPr>
          <w:rFonts w:eastAsia="Cambria" w:cs="Times New Roman"/>
        </w:rPr>
        <w:t>, 2591 – 2626</w:t>
      </w:r>
    </w:p>
    <w:p w14:paraId="3AF68523" w14:textId="77777777" w:rsidR="00AF46D0" w:rsidRPr="00911E37" w:rsidRDefault="00AF46D0">
      <w:pPr>
        <w:autoSpaceDE w:val="0"/>
        <w:autoSpaceDN w:val="0"/>
        <w:adjustRightInd w:val="0"/>
        <w:spacing w:after="0" w:line="240" w:lineRule="auto"/>
        <w:ind w:left="360"/>
        <w:jc w:val="both"/>
        <w:rPr>
          <w:rFonts w:eastAsia="Cambria" w:cs="Times New Roman"/>
        </w:rPr>
      </w:pPr>
    </w:p>
    <w:p w14:paraId="6EDD733B" w14:textId="67AFF831" w:rsidR="00274788" w:rsidRDefault="00274788">
      <w:pPr>
        <w:autoSpaceDE w:val="0"/>
        <w:autoSpaceDN w:val="0"/>
        <w:adjustRightInd w:val="0"/>
        <w:spacing w:after="0" w:line="240" w:lineRule="auto"/>
        <w:ind w:left="360"/>
        <w:jc w:val="both"/>
        <w:rPr>
          <w:rFonts w:eastAsia="Cambria" w:cs="Times New Roman"/>
        </w:rPr>
      </w:pPr>
      <w:r w:rsidRPr="00274788">
        <w:rPr>
          <w:rFonts w:eastAsia="Cambria" w:cs="Times New Roman"/>
        </w:rPr>
        <w:t xml:space="preserve">Berger, D., </w:t>
      </w:r>
      <w:proofErr w:type="spellStart"/>
      <w:r w:rsidRPr="00274788">
        <w:rPr>
          <w:rFonts w:eastAsia="Cambria" w:cs="Times New Roman"/>
        </w:rPr>
        <w:t>Pukthuanthong</w:t>
      </w:r>
      <w:proofErr w:type="spellEnd"/>
      <w:r w:rsidRPr="00274788">
        <w:rPr>
          <w:rFonts w:eastAsia="Cambria" w:cs="Times New Roman"/>
        </w:rPr>
        <w:t>, K., and Yang, J.J., 2011, Internationa</w:t>
      </w:r>
      <w:r w:rsidR="008A16EF">
        <w:rPr>
          <w:rFonts w:eastAsia="Cambria" w:cs="Times New Roman"/>
        </w:rPr>
        <w:t>l</w:t>
      </w:r>
      <w:r w:rsidRPr="00274788">
        <w:rPr>
          <w:rFonts w:eastAsia="Cambria" w:cs="Times New Roman"/>
        </w:rPr>
        <w:t xml:space="preserve"> Diversification with Frontier Markets, </w:t>
      </w:r>
      <w:r w:rsidRPr="00B20739">
        <w:rPr>
          <w:rFonts w:eastAsia="Cambria" w:cs="Times New Roman"/>
          <w:i/>
        </w:rPr>
        <w:t>Journal of Financial Economics</w:t>
      </w:r>
      <w:r w:rsidRPr="00274788">
        <w:rPr>
          <w:rFonts w:eastAsia="Cambria" w:cs="Times New Roman"/>
        </w:rPr>
        <w:t>, 101, 227-242.</w:t>
      </w:r>
    </w:p>
    <w:p w14:paraId="528AEEA0" w14:textId="19C2013F" w:rsidR="005A5FD2" w:rsidRDefault="005A5FD2">
      <w:pPr>
        <w:autoSpaceDE w:val="0"/>
        <w:autoSpaceDN w:val="0"/>
        <w:adjustRightInd w:val="0"/>
        <w:spacing w:after="0" w:line="240" w:lineRule="auto"/>
        <w:ind w:left="360"/>
        <w:jc w:val="both"/>
        <w:rPr>
          <w:rFonts w:eastAsia="Cambria" w:cs="Times New Roman"/>
        </w:rPr>
      </w:pPr>
    </w:p>
    <w:p w14:paraId="42B67DB1" w14:textId="3E83D41E" w:rsidR="005A5FD2" w:rsidRDefault="005A5FD2">
      <w:pPr>
        <w:autoSpaceDE w:val="0"/>
        <w:autoSpaceDN w:val="0"/>
        <w:adjustRightInd w:val="0"/>
        <w:spacing w:after="0" w:line="240" w:lineRule="auto"/>
        <w:ind w:left="360"/>
        <w:jc w:val="both"/>
        <w:rPr>
          <w:rFonts w:eastAsia="Cambria" w:cs="Times New Roman"/>
        </w:rPr>
      </w:pPr>
      <w:proofErr w:type="spellStart"/>
      <w:r w:rsidRPr="005A5FD2">
        <w:rPr>
          <w:rFonts w:eastAsia="Cambria" w:cs="Times New Roman"/>
        </w:rPr>
        <w:t>Cappiello</w:t>
      </w:r>
      <w:proofErr w:type="spellEnd"/>
      <w:r w:rsidRPr="005A5FD2">
        <w:rPr>
          <w:rFonts w:eastAsia="Cambria" w:cs="Times New Roman"/>
        </w:rPr>
        <w:t xml:space="preserve">, L., </w:t>
      </w:r>
      <w:r>
        <w:rPr>
          <w:rFonts w:eastAsia="Cambria" w:cs="Times New Roman"/>
        </w:rPr>
        <w:t xml:space="preserve">Engle, R.F., Sheppard, K., 2006, </w:t>
      </w:r>
      <w:r w:rsidRPr="005A5FD2">
        <w:rPr>
          <w:rFonts w:eastAsia="Cambria" w:cs="Times New Roman"/>
        </w:rPr>
        <w:t>Asymmetric dynamics in the correlations of</w:t>
      </w:r>
      <w:r>
        <w:rPr>
          <w:rFonts w:eastAsia="Cambria" w:cs="Times New Roman"/>
        </w:rPr>
        <w:t xml:space="preserve"> global equity and bond returns, </w:t>
      </w:r>
      <w:r w:rsidRPr="00B20739">
        <w:rPr>
          <w:rFonts w:eastAsia="Cambria" w:cs="Times New Roman"/>
          <w:i/>
        </w:rPr>
        <w:t>Journal of Financial Econometrics</w:t>
      </w:r>
      <w:r w:rsidRPr="005A5FD2">
        <w:rPr>
          <w:rFonts w:eastAsia="Cambria" w:cs="Times New Roman"/>
        </w:rPr>
        <w:t>, 4, 537-572.</w:t>
      </w:r>
    </w:p>
    <w:p w14:paraId="409A7DE4" w14:textId="77777777" w:rsidR="00274788" w:rsidRPr="00274788" w:rsidRDefault="00274788">
      <w:pPr>
        <w:autoSpaceDE w:val="0"/>
        <w:autoSpaceDN w:val="0"/>
        <w:adjustRightInd w:val="0"/>
        <w:spacing w:after="0" w:line="240" w:lineRule="auto"/>
        <w:ind w:left="360"/>
        <w:jc w:val="both"/>
        <w:rPr>
          <w:rFonts w:eastAsia="Cambria" w:cs="Times New Roman"/>
        </w:rPr>
      </w:pPr>
    </w:p>
    <w:p w14:paraId="01DC7D8E" w14:textId="1E03E8B4" w:rsidR="00B50CE4" w:rsidRDefault="00B50CE4" w:rsidP="00513BD1">
      <w:pPr>
        <w:autoSpaceDE w:val="0"/>
        <w:autoSpaceDN w:val="0"/>
        <w:adjustRightInd w:val="0"/>
        <w:spacing w:after="0" w:line="240" w:lineRule="auto"/>
        <w:ind w:left="360"/>
        <w:jc w:val="both"/>
        <w:rPr>
          <w:rFonts w:eastAsia="Cambria" w:cs="Times New Roman"/>
        </w:rPr>
      </w:pPr>
      <w:proofErr w:type="spellStart"/>
      <w:r w:rsidRPr="00B50CE4">
        <w:rPr>
          <w:rFonts w:eastAsia="Cambria" w:cs="Times New Roman"/>
        </w:rPr>
        <w:t>Carrieri</w:t>
      </w:r>
      <w:proofErr w:type="spellEnd"/>
      <w:r w:rsidRPr="00B50CE4">
        <w:rPr>
          <w:rFonts w:eastAsia="Cambria" w:cs="Times New Roman"/>
        </w:rPr>
        <w:t xml:space="preserve">, F., </w:t>
      </w:r>
      <w:proofErr w:type="spellStart"/>
      <w:r w:rsidRPr="00B50CE4">
        <w:rPr>
          <w:rFonts w:eastAsia="Cambria" w:cs="Times New Roman"/>
        </w:rPr>
        <w:t>Errunza</w:t>
      </w:r>
      <w:proofErr w:type="spellEnd"/>
      <w:r w:rsidRPr="00B50CE4">
        <w:rPr>
          <w:rFonts w:eastAsia="Cambria" w:cs="Times New Roman"/>
        </w:rPr>
        <w:t xml:space="preserve">, V., and Hogan, K., 2007, Characterizing World Market Integration Through Time, </w:t>
      </w:r>
      <w:r w:rsidRPr="00652D80">
        <w:rPr>
          <w:rFonts w:eastAsia="Cambria" w:cs="Times New Roman"/>
          <w:i/>
          <w:iCs/>
        </w:rPr>
        <w:t>Journal of Financial and Quantitative Analysis</w:t>
      </w:r>
      <w:r w:rsidRPr="00B50CE4">
        <w:rPr>
          <w:rFonts w:eastAsia="Cambria" w:cs="Times New Roman"/>
        </w:rPr>
        <w:t>, 42, 915-940.</w:t>
      </w:r>
    </w:p>
    <w:p w14:paraId="1702F4CB" w14:textId="75CDC11D" w:rsidR="005A5FD2" w:rsidRDefault="005A5FD2" w:rsidP="00513BD1">
      <w:pPr>
        <w:autoSpaceDE w:val="0"/>
        <w:autoSpaceDN w:val="0"/>
        <w:adjustRightInd w:val="0"/>
        <w:spacing w:after="0" w:line="240" w:lineRule="auto"/>
        <w:ind w:left="360"/>
        <w:jc w:val="both"/>
        <w:rPr>
          <w:rFonts w:eastAsia="Cambria" w:cs="Times New Roman"/>
        </w:rPr>
      </w:pPr>
    </w:p>
    <w:p w14:paraId="43F1AC52" w14:textId="5B0B0683" w:rsidR="00A16822" w:rsidRDefault="00A16822" w:rsidP="00513BD1">
      <w:pPr>
        <w:autoSpaceDE w:val="0"/>
        <w:autoSpaceDN w:val="0"/>
        <w:adjustRightInd w:val="0"/>
        <w:spacing w:after="0" w:line="240" w:lineRule="auto"/>
        <w:ind w:left="360"/>
        <w:jc w:val="both"/>
        <w:rPr>
          <w:rFonts w:eastAsia="Cambria" w:cs="Times New Roman"/>
        </w:rPr>
      </w:pPr>
      <w:proofErr w:type="spellStart"/>
      <w:r w:rsidRPr="00A16822">
        <w:rPr>
          <w:rFonts w:eastAsia="Cambria" w:cs="Times New Roman"/>
        </w:rPr>
        <w:t>Carrieri</w:t>
      </w:r>
      <w:proofErr w:type="spellEnd"/>
      <w:r w:rsidRPr="00A16822">
        <w:rPr>
          <w:rFonts w:eastAsia="Cambria" w:cs="Times New Roman"/>
        </w:rPr>
        <w:t xml:space="preserve">, </w:t>
      </w:r>
      <w:proofErr w:type="spellStart"/>
      <w:r w:rsidRPr="00A16822">
        <w:rPr>
          <w:rFonts w:eastAsia="Cambria" w:cs="Times New Roman"/>
        </w:rPr>
        <w:t>F.l.</w:t>
      </w:r>
      <w:proofErr w:type="spellEnd"/>
      <w:r w:rsidRPr="00A16822">
        <w:rPr>
          <w:rFonts w:eastAsia="Cambria" w:cs="Times New Roman"/>
        </w:rPr>
        <w:t xml:space="preserve">, I. </w:t>
      </w:r>
      <w:proofErr w:type="spellStart"/>
      <w:r w:rsidRPr="00A16822">
        <w:rPr>
          <w:rFonts w:eastAsia="Cambria" w:cs="Times New Roman"/>
        </w:rPr>
        <w:t>Chaieb</w:t>
      </w:r>
      <w:proofErr w:type="spellEnd"/>
      <w:r w:rsidRPr="00A16822">
        <w:rPr>
          <w:rFonts w:eastAsia="Cambria" w:cs="Times New Roman"/>
        </w:rPr>
        <w:t xml:space="preserve">, V. </w:t>
      </w:r>
      <w:proofErr w:type="spellStart"/>
      <w:r w:rsidRPr="00A16822">
        <w:rPr>
          <w:rFonts w:eastAsia="Cambria" w:cs="Times New Roman"/>
        </w:rPr>
        <w:t>Errunza</w:t>
      </w:r>
      <w:proofErr w:type="spellEnd"/>
      <w:r w:rsidRPr="00A16822">
        <w:rPr>
          <w:rFonts w:eastAsia="Cambria" w:cs="Times New Roman"/>
        </w:rPr>
        <w:t xml:space="preserve">, 2013, Do implicit barriers matter for </w:t>
      </w:r>
      <w:proofErr w:type="gramStart"/>
      <w:r w:rsidRPr="00A16822">
        <w:rPr>
          <w:rFonts w:eastAsia="Cambria" w:cs="Times New Roman"/>
        </w:rPr>
        <w:t>globalization?,</w:t>
      </w:r>
      <w:proofErr w:type="gramEnd"/>
      <w:r w:rsidRPr="00A16822">
        <w:rPr>
          <w:rFonts w:eastAsia="Cambria" w:cs="Times New Roman"/>
        </w:rPr>
        <w:t xml:space="preserve"> </w:t>
      </w:r>
      <w:r w:rsidRPr="00A16822">
        <w:rPr>
          <w:rFonts w:eastAsia="Cambria" w:cs="Times New Roman"/>
          <w:i/>
        </w:rPr>
        <w:t>The Review of Financial Studies</w:t>
      </w:r>
      <w:r>
        <w:rPr>
          <w:rFonts w:eastAsia="Cambria" w:cs="Times New Roman"/>
        </w:rPr>
        <w:t xml:space="preserve">, </w:t>
      </w:r>
      <w:r w:rsidRPr="00A16822">
        <w:rPr>
          <w:rFonts w:eastAsia="Cambria" w:cs="Times New Roman"/>
        </w:rPr>
        <w:t>26, 1694-1739.</w:t>
      </w:r>
    </w:p>
    <w:p w14:paraId="6B8B23F0" w14:textId="77777777" w:rsidR="00A16822" w:rsidRDefault="00A16822" w:rsidP="00513BD1">
      <w:pPr>
        <w:autoSpaceDE w:val="0"/>
        <w:autoSpaceDN w:val="0"/>
        <w:adjustRightInd w:val="0"/>
        <w:spacing w:after="0" w:line="240" w:lineRule="auto"/>
        <w:ind w:left="360"/>
        <w:jc w:val="both"/>
        <w:rPr>
          <w:rFonts w:eastAsia="Cambria" w:cs="Times New Roman"/>
        </w:rPr>
      </w:pPr>
    </w:p>
    <w:p w14:paraId="02C96F61" w14:textId="7F3512C2" w:rsidR="00B50CE4" w:rsidRDefault="006B725C" w:rsidP="00513BD1">
      <w:pPr>
        <w:autoSpaceDE w:val="0"/>
        <w:autoSpaceDN w:val="0"/>
        <w:adjustRightInd w:val="0"/>
        <w:spacing w:after="0" w:line="240" w:lineRule="auto"/>
        <w:ind w:left="360"/>
        <w:jc w:val="both"/>
        <w:rPr>
          <w:rFonts w:eastAsia="Cambria" w:cs="Times New Roman"/>
        </w:rPr>
      </w:pPr>
      <w:proofErr w:type="spellStart"/>
      <w:r w:rsidRPr="006B725C">
        <w:rPr>
          <w:rFonts w:eastAsia="Cambria" w:cs="Times New Roman"/>
        </w:rPr>
        <w:t>Chaieb</w:t>
      </w:r>
      <w:proofErr w:type="spellEnd"/>
      <w:r w:rsidRPr="006B725C">
        <w:rPr>
          <w:rFonts w:eastAsia="Cambria" w:cs="Times New Roman"/>
        </w:rPr>
        <w:t>, I, V</w:t>
      </w:r>
      <w:r>
        <w:rPr>
          <w:rFonts w:eastAsia="Cambria" w:cs="Times New Roman"/>
        </w:rPr>
        <w:t>.</w:t>
      </w:r>
      <w:r w:rsidRPr="006B725C">
        <w:rPr>
          <w:rFonts w:eastAsia="Cambria" w:cs="Times New Roman"/>
        </w:rPr>
        <w:t xml:space="preserve"> R. </w:t>
      </w:r>
      <w:proofErr w:type="spellStart"/>
      <w:r w:rsidRPr="006B725C">
        <w:rPr>
          <w:rFonts w:eastAsia="Cambria" w:cs="Times New Roman"/>
        </w:rPr>
        <w:t>Errunza</w:t>
      </w:r>
      <w:proofErr w:type="spellEnd"/>
      <w:r w:rsidRPr="006B725C">
        <w:rPr>
          <w:rFonts w:eastAsia="Cambria" w:cs="Times New Roman"/>
        </w:rPr>
        <w:t>, and R</w:t>
      </w:r>
      <w:r>
        <w:rPr>
          <w:rFonts w:eastAsia="Cambria" w:cs="Times New Roman"/>
        </w:rPr>
        <w:t xml:space="preserve">. </w:t>
      </w:r>
      <w:r w:rsidRPr="006B725C">
        <w:rPr>
          <w:rFonts w:eastAsia="Cambria" w:cs="Times New Roman"/>
        </w:rPr>
        <w:t>Gibson</w:t>
      </w:r>
      <w:r>
        <w:rPr>
          <w:rFonts w:eastAsia="Cambria" w:cs="Times New Roman"/>
        </w:rPr>
        <w:t xml:space="preserve"> Brandon, 2014, </w:t>
      </w:r>
      <w:r w:rsidRPr="006B725C">
        <w:rPr>
          <w:rFonts w:eastAsia="Cambria" w:cs="Times New Roman"/>
        </w:rPr>
        <w:t>Integration of Sovereign Bonds Markets: Time Variation and Maturity Effects</w:t>
      </w:r>
      <w:r>
        <w:rPr>
          <w:rFonts w:eastAsia="Cambria" w:cs="Times New Roman"/>
        </w:rPr>
        <w:t xml:space="preserve">, </w:t>
      </w:r>
      <w:r w:rsidRPr="006B725C">
        <w:rPr>
          <w:rFonts w:eastAsia="Cambria" w:cs="Times New Roman"/>
        </w:rPr>
        <w:t>Swiss Finance Institute Research Paper 14-47</w:t>
      </w:r>
      <w:r>
        <w:rPr>
          <w:rFonts w:eastAsia="Cambria" w:cs="Times New Roman"/>
        </w:rPr>
        <w:t>.</w:t>
      </w:r>
    </w:p>
    <w:p w14:paraId="321D89F3" w14:textId="77777777" w:rsidR="00982A99" w:rsidRPr="00B50CE4" w:rsidRDefault="00982A99" w:rsidP="00513BD1">
      <w:pPr>
        <w:autoSpaceDE w:val="0"/>
        <w:autoSpaceDN w:val="0"/>
        <w:adjustRightInd w:val="0"/>
        <w:spacing w:after="0" w:line="240" w:lineRule="auto"/>
        <w:ind w:left="360"/>
        <w:jc w:val="both"/>
        <w:rPr>
          <w:rFonts w:eastAsia="Cambria" w:cs="Times New Roman"/>
        </w:rPr>
      </w:pPr>
    </w:p>
    <w:p w14:paraId="04C297F6" w14:textId="77777777" w:rsidR="00B50CE4" w:rsidRPr="00B50CE4" w:rsidRDefault="00B50CE4" w:rsidP="00513BD1">
      <w:pPr>
        <w:autoSpaceDE w:val="0"/>
        <w:autoSpaceDN w:val="0"/>
        <w:adjustRightInd w:val="0"/>
        <w:spacing w:after="0" w:line="240" w:lineRule="auto"/>
        <w:ind w:left="360"/>
        <w:jc w:val="both"/>
        <w:rPr>
          <w:rFonts w:eastAsia="Cambria" w:cs="Times New Roman"/>
        </w:rPr>
      </w:pPr>
      <w:proofErr w:type="spellStart"/>
      <w:r w:rsidRPr="00B50CE4">
        <w:rPr>
          <w:rFonts w:eastAsia="Cambria" w:cs="Times New Roman"/>
        </w:rPr>
        <w:t>Chambet</w:t>
      </w:r>
      <w:proofErr w:type="spellEnd"/>
      <w:r w:rsidRPr="00B50CE4">
        <w:rPr>
          <w:rFonts w:eastAsia="Cambria" w:cs="Times New Roman"/>
        </w:rPr>
        <w:t xml:space="preserve">, A., and Gibson, R., 2008, Financial Integration, Economic Instability, and Trade Structure in Emerging Markets, </w:t>
      </w:r>
      <w:r w:rsidRPr="00652D80">
        <w:rPr>
          <w:rFonts w:eastAsia="Cambria" w:cs="Times New Roman"/>
          <w:i/>
          <w:iCs/>
        </w:rPr>
        <w:t xml:space="preserve">Journal of International </w:t>
      </w:r>
      <w:proofErr w:type="gramStart"/>
      <w:r w:rsidRPr="00652D80">
        <w:rPr>
          <w:rFonts w:eastAsia="Cambria" w:cs="Times New Roman"/>
          <w:i/>
          <w:iCs/>
        </w:rPr>
        <w:t>Money</w:t>
      </w:r>
      <w:proofErr w:type="gramEnd"/>
      <w:r w:rsidRPr="00652D80">
        <w:rPr>
          <w:rFonts w:eastAsia="Cambria" w:cs="Times New Roman"/>
          <w:i/>
          <w:iCs/>
        </w:rPr>
        <w:t xml:space="preserve"> and Finance</w:t>
      </w:r>
      <w:r w:rsidRPr="00B50CE4">
        <w:rPr>
          <w:rFonts w:eastAsia="Cambria" w:cs="Times New Roman"/>
        </w:rPr>
        <w:t xml:space="preserve"> 27, 654-675. </w:t>
      </w:r>
    </w:p>
    <w:p w14:paraId="68EE48D5" w14:textId="77777777" w:rsidR="00B50CE4" w:rsidRDefault="00B50CE4" w:rsidP="00FD4A57">
      <w:pPr>
        <w:autoSpaceDE w:val="0"/>
        <w:autoSpaceDN w:val="0"/>
        <w:adjustRightInd w:val="0"/>
        <w:spacing w:after="0" w:line="240" w:lineRule="auto"/>
        <w:ind w:left="360"/>
        <w:jc w:val="both"/>
        <w:rPr>
          <w:rFonts w:eastAsia="Cambria" w:cs="Times New Roman"/>
        </w:rPr>
      </w:pPr>
      <w:r w:rsidRPr="00B50CE4">
        <w:rPr>
          <w:rFonts w:eastAsia="Cambria" w:cs="Times New Roman"/>
        </w:rPr>
        <w:lastRenderedPageBreak/>
        <w:t xml:space="preserve">Chan, K. C., G. A. Karolyi, and R. M. </w:t>
      </w:r>
      <w:proofErr w:type="spellStart"/>
      <w:r w:rsidRPr="00B50CE4">
        <w:rPr>
          <w:rFonts w:eastAsia="Cambria" w:cs="Times New Roman"/>
        </w:rPr>
        <w:t>Stulz</w:t>
      </w:r>
      <w:proofErr w:type="spellEnd"/>
      <w:r w:rsidRPr="00B50CE4">
        <w:rPr>
          <w:rFonts w:eastAsia="Cambria" w:cs="Times New Roman"/>
        </w:rPr>
        <w:t xml:space="preserve">, 1992, Global Financial Markets and the Risk Premium on U.S. Equity, </w:t>
      </w:r>
      <w:r w:rsidRPr="00652D80">
        <w:rPr>
          <w:rFonts w:eastAsia="Cambria" w:cs="Times New Roman"/>
          <w:i/>
          <w:iCs/>
        </w:rPr>
        <w:t>Journal of Financial Economics</w:t>
      </w:r>
      <w:r w:rsidRPr="00B50CE4">
        <w:rPr>
          <w:rFonts w:eastAsia="Cambria" w:cs="Times New Roman"/>
        </w:rPr>
        <w:t xml:space="preserve"> 32, 137-167.</w:t>
      </w:r>
    </w:p>
    <w:p w14:paraId="186D0E44" w14:textId="77777777" w:rsidR="00274788" w:rsidRDefault="00274788">
      <w:pPr>
        <w:autoSpaceDE w:val="0"/>
        <w:autoSpaceDN w:val="0"/>
        <w:adjustRightInd w:val="0"/>
        <w:spacing w:after="0" w:line="240" w:lineRule="auto"/>
        <w:ind w:left="360"/>
        <w:jc w:val="both"/>
        <w:rPr>
          <w:rFonts w:eastAsia="Cambria" w:cs="Times New Roman"/>
        </w:rPr>
      </w:pPr>
    </w:p>
    <w:p w14:paraId="2AC8F5FC" w14:textId="77777777" w:rsidR="00274788" w:rsidRPr="00274788" w:rsidRDefault="00274788">
      <w:pPr>
        <w:autoSpaceDE w:val="0"/>
        <w:autoSpaceDN w:val="0"/>
        <w:adjustRightInd w:val="0"/>
        <w:spacing w:after="0" w:line="240" w:lineRule="auto"/>
        <w:ind w:left="360"/>
        <w:jc w:val="both"/>
        <w:rPr>
          <w:rFonts w:eastAsia="Cambria" w:cs="Times New Roman"/>
        </w:rPr>
      </w:pPr>
      <w:proofErr w:type="spellStart"/>
      <w:r w:rsidRPr="00274788">
        <w:rPr>
          <w:rFonts w:eastAsia="Cambria" w:cs="Times New Roman"/>
        </w:rPr>
        <w:t>Christofersen</w:t>
      </w:r>
      <w:proofErr w:type="spellEnd"/>
      <w:r w:rsidRPr="00274788">
        <w:rPr>
          <w:rFonts w:eastAsia="Cambria" w:cs="Times New Roman"/>
        </w:rPr>
        <w:t xml:space="preserve">, P., </w:t>
      </w:r>
      <w:proofErr w:type="spellStart"/>
      <w:r w:rsidRPr="00274788">
        <w:rPr>
          <w:rFonts w:eastAsia="Cambria" w:cs="Times New Roman"/>
        </w:rPr>
        <w:t>Errunza</w:t>
      </w:r>
      <w:proofErr w:type="spellEnd"/>
      <w:r w:rsidRPr="00274788">
        <w:rPr>
          <w:rFonts w:eastAsia="Cambria" w:cs="Times New Roman"/>
        </w:rPr>
        <w:t xml:space="preserve">, V., Jacobs, K., and Langlois, H., 2012, Is the Potential for International Diversification Disappearing? A Dynamic Copula Approach. </w:t>
      </w:r>
      <w:r w:rsidRPr="00B20739">
        <w:rPr>
          <w:rFonts w:eastAsia="Cambria" w:cs="Times New Roman"/>
          <w:i/>
        </w:rPr>
        <w:t>Review of Financial Studies</w:t>
      </w:r>
      <w:r w:rsidRPr="00274788">
        <w:rPr>
          <w:rFonts w:eastAsia="Cambria" w:cs="Times New Roman"/>
        </w:rPr>
        <w:t>, 25, 3711-3751.</w:t>
      </w:r>
    </w:p>
    <w:p w14:paraId="3D3FC71D" w14:textId="44C8139D" w:rsidR="00E86700" w:rsidRDefault="00E86700">
      <w:pPr>
        <w:autoSpaceDE w:val="0"/>
        <w:autoSpaceDN w:val="0"/>
        <w:adjustRightInd w:val="0"/>
        <w:spacing w:after="0" w:line="240" w:lineRule="auto"/>
        <w:ind w:left="360"/>
        <w:jc w:val="both"/>
        <w:rPr>
          <w:rFonts w:eastAsia="Cambria" w:cs="Times New Roman"/>
        </w:rPr>
      </w:pPr>
    </w:p>
    <w:p w14:paraId="4AA5519D" w14:textId="6A5C99FC" w:rsidR="0024695E" w:rsidRDefault="0024695E">
      <w:pPr>
        <w:autoSpaceDE w:val="0"/>
        <w:autoSpaceDN w:val="0"/>
        <w:adjustRightInd w:val="0"/>
        <w:spacing w:after="0" w:line="240" w:lineRule="auto"/>
        <w:ind w:left="360"/>
        <w:jc w:val="both"/>
        <w:rPr>
          <w:rFonts w:eastAsia="Cambria" w:cs="Times New Roman"/>
        </w:rPr>
      </w:pPr>
      <w:proofErr w:type="spellStart"/>
      <w:r w:rsidRPr="0024695E">
        <w:rPr>
          <w:rFonts w:eastAsia="Cambria" w:cs="Times New Roman"/>
        </w:rPr>
        <w:t>Christoffersen</w:t>
      </w:r>
      <w:proofErr w:type="spellEnd"/>
      <w:r w:rsidRPr="0024695E">
        <w:rPr>
          <w:rFonts w:eastAsia="Cambria" w:cs="Times New Roman"/>
        </w:rPr>
        <w:t>, P</w:t>
      </w:r>
      <w:r>
        <w:rPr>
          <w:rFonts w:eastAsia="Cambria" w:cs="Times New Roman"/>
        </w:rPr>
        <w:t xml:space="preserve">. </w:t>
      </w:r>
      <w:r w:rsidRPr="0024695E">
        <w:rPr>
          <w:rFonts w:eastAsia="Cambria" w:cs="Times New Roman"/>
        </w:rPr>
        <w:t xml:space="preserve">F.; </w:t>
      </w:r>
      <w:proofErr w:type="spellStart"/>
      <w:r w:rsidRPr="0024695E">
        <w:rPr>
          <w:rFonts w:eastAsia="Cambria" w:cs="Times New Roman"/>
        </w:rPr>
        <w:t>Errunza</w:t>
      </w:r>
      <w:proofErr w:type="spellEnd"/>
      <w:r w:rsidRPr="0024695E">
        <w:rPr>
          <w:rFonts w:eastAsia="Cambria" w:cs="Times New Roman"/>
        </w:rPr>
        <w:t>, V</w:t>
      </w:r>
      <w:r>
        <w:rPr>
          <w:rFonts w:eastAsia="Cambria" w:cs="Times New Roman"/>
        </w:rPr>
        <w:t xml:space="preserve">. </w:t>
      </w:r>
      <w:r w:rsidRPr="0024695E">
        <w:rPr>
          <w:rFonts w:eastAsia="Cambria" w:cs="Times New Roman"/>
        </w:rPr>
        <w:t>Jacobs, K</w:t>
      </w:r>
      <w:r>
        <w:rPr>
          <w:rFonts w:eastAsia="Cambria" w:cs="Times New Roman"/>
        </w:rPr>
        <w:t xml:space="preserve">., and </w:t>
      </w:r>
      <w:r w:rsidRPr="0024695E">
        <w:rPr>
          <w:rFonts w:eastAsia="Cambria" w:cs="Times New Roman"/>
        </w:rPr>
        <w:t>J</w:t>
      </w:r>
      <w:r>
        <w:rPr>
          <w:rFonts w:eastAsia="Cambria" w:cs="Times New Roman"/>
        </w:rPr>
        <w:t>.</w:t>
      </w:r>
      <w:r w:rsidRPr="0024695E">
        <w:rPr>
          <w:rFonts w:eastAsia="Cambria" w:cs="Times New Roman"/>
        </w:rPr>
        <w:t xml:space="preserve"> </w:t>
      </w:r>
      <w:proofErr w:type="spellStart"/>
      <w:r w:rsidRPr="0024695E">
        <w:rPr>
          <w:rFonts w:eastAsia="Cambria" w:cs="Times New Roman"/>
        </w:rPr>
        <w:t>Xiso</w:t>
      </w:r>
      <w:r>
        <w:rPr>
          <w:rFonts w:eastAsia="Cambria" w:cs="Times New Roman"/>
        </w:rPr>
        <w:t>ng</w:t>
      </w:r>
      <w:proofErr w:type="spellEnd"/>
      <w:r>
        <w:rPr>
          <w:rFonts w:eastAsia="Cambria" w:cs="Times New Roman"/>
        </w:rPr>
        <w:t xml:space="preserve">, 2014, </w:t>
      </w:r>
      <w:r w:rsidRPr="0024695E">
        <w:rPr>
          <w:rFonts w:eastAsia="Cambria" w:cs="Times New Roman"/>
        </w:rPr>
        <w:t>Correlation Dynamics and International Diversification Benefits</w:t>
      </w:r>
      <w:r>
        <w:rPr>
          <w:rFonts w:eastAsia="Cambria" w:cs="Times New Roman"/>
        </w:rPr>
        <w:t xml:space="preserve">, </w:t>
      </w:r>
      <w:r w:rsidRPr="0086659C">
        <w:rPr>
          <w:rFonts w:eastAsia="Cambria" w:cs="Times New Roman"/>
          <w:i/>
        </w:rPr>
        <w:t>International Journal of Forecasting</w:t>
      </w:r>
      <w:r w:rsidRPr="0024695E">
        <w:rPr>
          <w:rFonts w:eastAsia="Cambria" w:cs="Times New Roman"/>
        </w:rPr>
        <w:t>, 30</w:t>
      </w:r>
      <w:r>
        <w:rPr>
          <w:rFonts w:eastAsia="Cambria" w:cs="Times New Roman"/>
        </w:rPr>
        <w:t>,</w:t>
      </w:r>
      <w:r w:rsidRPr="0024695E">
        <w:rPr>
          <w:rFonts w:eastAsia="Cambria" w:cs="Times New Roman"/>
        </w:rPr>
        <w:t xml:space="preserve"> 807-824.</w:t>
      </w:r>
    </w:p>
    <w:p w14:paraId="52B91EF0" w14:textId="2CF90609" w:rsidR="00AA2D64" w:rsidRDefault="00AA2D64">
      <w:pPr>
        <w:autoSpaceDE w:val="0"/>
        <w:autoSpaceDN w:val="0"/>
        <w:adjustRightInd w:val="0"/>
        <w:spacing w:after="0" w:line="240" w:lineRule="auto"/>
        <w:ind w:left="360"/>
        <w:jc w:val="both"/>
        <w:rPr>
          <w:rFonts w:eastAsia="Cambria" w:cs="Times New Roman"/>
        </w:rPr>
      </w:pPr>
    </w:p>
    <w:p w14:paraId="0087D0F1" w14:textId="2A0A871A" w:rsidR="0086659C" w:rsidRDefault="0086659C">
      <w:pPr>
        <w:autoSpaceDE w:val="0"/>
        <w:autoSpaceDN w:val="0"/>
        <w:adjustRightInd w:val="0"/>
        <w:spacing w:after="0" w:line="240" w:lineRule="auto"/>
        <w:ind w:left="360"/>
        <w:jc w:val="both"/>
        <w:rPr>
          <w:rFonts w:eastAsia="Cambria" w:cs="Times New Roman"/>
        </w:rPr>
      </w:pPr>
      <w:proofErr w:type="spellStart"/>
      <w:r w:rsidRPr="0086659C">
        <w:rPr>
          <w:rFonts w:eastAsia="Cambria" w:cs="Times New Roman"/>
        </w:rPr>
        <w:t>Christofersen</w:t>
      </w:r>
      <w:proofErr w:type="spellEnd"/>
      <w:r w:rsidRPr="0086659C">
        <w:rPr>
          <w:rFonts w:eastAsia="Cambria" w:cs="Times New Roman"/>
        </w:rPr>
        <w:t xml:space="preserve">, P., </w:t>
      </w:r>
      <w:proofErr w:type="spellStart"/>
      <w:proofErr w:type="gramStart"/>
      <w:r w:rsidRPr="0086659C">
        <w:rPr>
          <w:rFonts w:eastAsia="Cambria" w:cs="Times New Roman"/>
        </w:rPr>
        <w:t>Errunza</w:t>
      </w:r>
      <w:proofErr w:type="spellEnd"/>
      <w:r w:rsidRPr="0086659C">
        <w:rPr>
          <w:rFonts w:eastAsia="Cambria" w:cs="Times New Roman"/>
        </w:rPr>
        <w:t xml:space="preserve"> ,</w:t>
      </w:r>
      <w:proofErr w:type="gramEnd"/>
      <w:r w:rsidRPr="0086659C">
        <w:rPr>
          <w:rFonts w:eastAsia="Cambria" w:cs="Times New Roman"/>
        </w:rPr>
        <w:t xml:space="preserve"> V., Jacobs, K., and Langlois, H., 2017, </w:t>
      </w:r>
      <w:r w:rsidRPr="0086659C">
        <w:rPr>
          <w:rFonts w:eastAsia="Cambria" w:cs="Times New Roman"/>
          <w:i/>
        </w:rPr>
        <w:t>Review of Finance</w:t>
      </w:r>
      <w:r w:rsidRPr="0086659C">
        <w:rPr>
          <w:rFonts w:eastAsia="Cambria" w:cs="Times New Roman"/>
        </w:rPr>
        <w:t>, Dynamic Dependence and Diversification in Corporate Credit,</w:t>
      </w:r>
      <w:r>
        <w:rPr>
          <w:rFonts w:eastAsia="Cambria" w:cs="Times New Roman"/>
        </w:rPr>
        <w:t xml:space="preserve"> Forthcoming</w:t>
      </w:r>
    </w:p>
    <w:p w14:paraId="45BFDA22" w14:textId="77777777" w:rsidR="0086659C" w:rsidRDefault="0086659C">
      <w:pPr>
        <w:autoSpaceDE w:val="0"/>
        <w:autoSpaceDN w:val="0"/>
        <w:adjustRightInd w:val="0"/>
        <w:spacing w:after="0" w:line="240" w:lineRule="auto"/>
        <w:ind w:left="360"/>
        <w:jc w:val="both"/>
        <w:rPr>
          <w:rFonts w:eastAsia="Cambria" w:cs="Times New Roman"/>
        </w:rPr>
      </w:pPr>
    </w:p>
    <w:p w14:paraId="686964EE" w14:textId="3879B9BA" w:rsidR="00AA2D64" w:rsidRDefault="00AA2D64">
      <w:pPr>
        <w:autoSpaceDE w:val="0"/>
        <w:autoSpaceDN w:val="0"/>
        <w:adjustRightInd w:val="0"/>
        <w:spacing w:after="0" w:line="240" w:lineRule="auto"/>
        <w:ind w:left="360"/>
        <w:jc w:val="both"/>
        <w:rPr>
          <w:rFonts w:eastAsia="Cambria" w:cs="Times New Roman"/>
        </w:rPr>
      </w:pPr>
      <w:r w:rsidRPr="00AA2D64">
        <w:rPr>
          <w:rFonts w:eastAsia="Cambria" w:cs="Times New Roman"/>
        </w:rPr>
        <w:t xml:space="preserve">Conlon, T., Cotter, J., and R. </w:t>
      </w:r>
      <w:proofErr w:type="spellStart"/>
      <w:r w:rsidRPr="00AA2D64">
        <w:rPr>
          <w:rFonts w:eastAsia="Cambria" w:cs="Times New Roman"/>
        </w:rPr>
        <w:t>Gencay</w:t>
      </w:r>
      <w:proofErr w:type="spellEnd"/>
      <w:r w:rsidRPr="00AA2D64">
        <w:rPr>
          <w:rFonts w:eastAsia="Cambria" w:cs="Times New Roman"/>
        </w:rPr>
        <w:t>, 2015, Long-Run International Diversification, Working Paper</w:t>
      </w:r>
      <w:r>
        <w:rPr>
          <w:rFonts w:eastAsia="Cambria" w:cs="Times New Roman"/>
        </w:rPr>
        <w:t>.</w:t>
      </w:r>
    </w:p>
    <w:p w14:paraId="27BE2DAA" w14:textId="77777777" w:rsidR="0024695E" w:rsidRDefault="0024695E">
      <w:pPr>
        <w:autoSpaceDE w:val="0"/>
        <w:autoSpaceDN w:val="0"/>
        <w:adjustRightInd w:val="0"/>
        <w:spacing w:after="0" w:line="240" w:lineRule="auto"/>
        <w:ind w:left="360"/>
        <w:jc w:val="both"/>
        <w:rPr>
          <w:rFonts w:eastAsia="Cambria" w:cs="Times New Roman"/>
        </w:rPr>
      </w:pPr>
    </w:p>
    <w:p w14:paraId="52C68338" w14:textId="3B87D0D2" w:rsidR="002F3369" w:rsidRDefault="002F3369" w:rsidP="00513BD1">
      <w:pPr>
        <w:autoSpaceDE w:val="0"/>
        <w:autoSpaceDN w:val="0"/>
        <w:adjustRightInd w:val="0"/>
        <w:spacing w:after="0" w:line="240" w:lineRule="auto"/>
        <w:ind w:left="360"/>
        <w:jc w:val="both"/>
        <w:rPr>
          <w:rFonts w:eastAsia="Cambria" w:cs="Times New Roman"/>
        </w:rPr>
      </w:pPr>
      <w:r>
        <w:rPr>
          <w:rFonts w:eastAsia="Cambria" w:cs="Times New Roman"/>
        </w:rPr>
        <w:t xml:space="preserve">Cotter, J., S. A. Gabriel, and R. Roll, </w:t>
      </w:r>
      <w:r w:rsidR="00523805">
        <w:rPr>
          <w:rFonts w:eastAsia="Cambria" w:cs="Times New Roman"/>
        </w:rPr>
        <w:t>2015</w:t>
      </w:r>
      <w:r>
        <w:rPr>
          <w:rFonts w:eastAsia="Cambria" w:cs="Times New Roman"/>
        </w:rPr>
        <w:t xml:space="preserve">, </w:t>
      </w:r>
      <w:r w:rsidRPr="002F3369">
        <w:rPr>
          <w:rFonts w:eastAsia="Cambria" w:cs="Times New Roman"/>
        </w:rPr>
        <w:t>Can Housing Risk be Diversified? A Cautionary Tale from the Housing Boom and Bust</w:t>
      </w:r>
      <w:r>
        <w:rPr>
          <w:rFonts w:eastAsia="Cambria" w:cs="Times New Roman"/>
        </w:rPr>
        <w:t>,</w:t>
      </w:r>
      <w:r w:rsidRPr="002F3369">
        <w:rPr>
          <w:rFonts w:eastAsia="Cambria" w:cs="Times New Roman"/>
        </w:rPr>
        <w:t xml:space="preserve"> </w:t>
      </w:r>
      <w:r w:rsidRPr="00652D80">
        <w:rPr>
          <w:rFonts w:eastAsia="Cambria" w:cs="Times New Roman"/>
          <w:i/>
          <w:iCs/>
        </w:rPr>
        <w:t>Review of Financial Studies</w:t>
      </w:r>
      <w:r w:rsidRPr="002F3369">
        <w:rPr>
          <w:rFonts w:eastAsia="Cambria" w:cs="Times New Roman"/>
        </w:rPr>
        <w:t xml:space="preserve"> 28, 913-936</w:t>
      </w:r>
    </w:p>
    <w:p w14:paraId="24A4D376" w14:textId="77777777" w:rsidR="002F3369" w:rsidRDefault="002F3369" w:rsidP="00513BD1">
      <w:pPr>
        <w:autoSpaceDE w:val="0"/>
        <w:autoSpaceDN w:val="0"/>
        <w:adjustRightInd w:val="0"/>
        <w:spacing w:after="0" w:line="240" w:lineRule="auto"/>
        <w:ind w:left="360"/>
        <w:jc w:val="both"/>
        <w:rPr>
          <w:rFonts w:eastAsia="Cambria" w:cs="Times New Roman"/>
        </w:rPr>
      </w:pPr>
    </w:p>
    <w:p w14:paraId="625120B8" w14:textId="5B05A636" w:rsidR="00274788" w:rsidRPr="00274788" w:rsidRDefault="00274788" w:rsidP="00FD4A57">
      <w:pPr>
        <w:autoSpaceDE w:val="0"/>
        <w:autoSpaceDN w:val="0"/>
        <w:adjustRightInd w:val="0"/>
        <w:spacing w:after="0" w:line="240" w:lineRule="auto"/>
        <w:ind w:left="360"/>
        <w:jc w:val="both"/>
        <w:rPr>
          <w:rFonts w:eastAsia="Cambria" w:cs="Times New Roman"/>
        </w:rPr>
      </w:pPr>
      <w:proofErr w:type="spellStart"/>
      <w:r w:rsidRPr="00274788">
        <w:rPr>
          <w:rFonts w:eastAsia="Cambria" w:cs="Times New Roman"/>
        </w:rPr>
        <w:t>Eiling</w:t>
      </w:r>
      <w:proofErr w:type="spellEnd"/>
      <w:r w:rsidRPr="00274788">
        <w:rPr>
          <w:rFonts w:eastAsia="Cambria" w:cs="Times New Roman"/>
        </w:rPr>
        <w:t xml:space="preserve">, E and B. Gerard, </w:t>
      </w:r>
      <w:r w:rsidR="005A5FD2" w:rsidRPr="00274788">
        <w:rPr>
          <w:rFonts w:eastAsia="Cambria" w:cs="Times New Roman"/>
        </w:rPr>
        <w:t>201</w:t>
      </w:r>
      <w:r w:rsidR="005A5FD2">
        <w:rPr>
          <w:rFonts w:eastAsia="Cambria" w:cs="Times New Roman"/>
        </w:rPr>
        <w:t>4</w:t>
      </w:r>
      <w:r w:rsidRPr="00274788">
        <w:rPr>
          <w:rFonts w:eastAsia="Cambria" w:cs="Times New Roman"/>
        </w:rPr>
        <w:t xml:space="preserve">, Emerging Equity Market </w:t>
      </w:r>
      <w:proofErr w:type="spellStart"/>
      <w:r w:rsidRPr="00274788">
        <w:rPr>
          <w:rFonts w:eastAsia="Cambria" w:cs="Times New Roman"/>
        </w:rPr>
        <w:t>Comovements</w:t>
      </w:r>
      <w:proofErr w:type="spellEnd"/>
      <w:r w:rsidRPr="00274788">
        <w:rPr>
          <w:rFonts w:eastAsia="Cambria" w:cs="Times New Roman"/>
        </w:rPr>
        <w:t xml:space="preserve">: Trends and </w:t>
      </w:r>
      <w:proofErr w:type="gramStart"/>
      <w:r w:rsidRPr="00274788">
        <w:rPr>
          <w:rFonts w:eastAsia="Cambria" w:cs="Times New Roman"/>
        </w:rPr>
        <w:t xml:space="preserve">Macroeconomic </w:t>
      </w:r>
      <w:r>
        <w:rPr>
          <w:rFonts w:eastAsia="Cambria" w:cs="Times New Roman"/>
        </w:rPr>
        <w:t xml:space="preserve"> </w:t>
      </w:r>
      <w:r w:rsidRPr="00274788">
        <w:rPr>
          <w:rFonts w:eastAsia="Cambria" w:cs="Times New Roman"/>
        </w:rPr>
        <w:t>Fundamentals</w:t>
      </w:r>
      <w:proofErr w:type="gramEnd"/>
      <w:r w:rsidRPr="00274788">
        <w:rPr>
          <w:rFonts w:eastAsia="Cambria" w:cs="Times New Roman"/>
        </w:rPr>
        <w:t xml:space="preserve">, </w:t>
      </w:r>
      <w:r w:rsidRPr="00B20739">
        <w:rPr>
          <w:rFonts w:eastAsia="Cambria" w:cs="Times New Roman"/>
          <w:i/>
        </w:rPr>
        <w:t>Review of Finance</w:t>
      </w:r>
      <w:r w:rsidRPr="00274788">
        <w:rPr>
          <w:rFonts w:eastAsia="Cambria" w:cs="Times New Roman"/>
        </w:rPr>
        <w:t>, 19, 1543-1585.</w:t>
      </w:r>
    </w:p>
    <w:p w14:paraId="5D611E4A" w14:textId="77777777" w:rsidR="00274788" w:rsidRDefault="00274788" w:rsidP="00513BD1">
      <w:pPr>
        <w:autoSpaceDE w:val="0"/>
        <w:autoSpaceDN w:val="0"/>
        <w:adjustRightInd w:val="0"/>
        <w:spacing w:after="0" w:line="240" w:lineRule="auto"/>
        <w:ind w:left="360"/>
        <w:jc w:val="both"/>
        <w:rPr>
          <w:rFonts w:eastAsia="Cambria" w:cs="Times New Roman"/>
        </w:rPr>
      </w:pPr>
    </w:p>
    <w:p w14:paraId="71D3E8DA" w14:textId="2A4741EB" w:rsidR="00E86700" w:rsidRDefault="00E86700" w:rsidP="00513BD1">
      <w:pPr>
        <w:autoSpaceDE w:val="0"/>
        <w:autoSpaceDN w:val="0"/>
        <w:adjustRightInd w:val="0"/>
        <w:spacing w:after="0" w:line="240" w:lineRule="auto"/>
        <w:ind w:left="360"/>
        <w:jc w:val="both"/>
        <w:rPr>
          <w:rFonts w:eastAsia="Cambria" w:cs="Times New Roman"/>
        </w:rPr>
      </w:pPr>
      <w:r w:rsidRPr="00E86700">
        <w:rPr>
          <w:rFonts w:eastAsia="Cambria" w:cs="Times New Roman"/>
        </w:rPr>
        <w:t xml:space="preserve">Engle, </w:t>
      </w:r>
      <w:proofErr w:type="gramStart"/>
      <w:r w:rsidRPr="00E86700">
        <w:rPr>
          <w:rFonts w:eastAsia="Cambria" w:cs="Times New Roman"/>
        </w:rPr>
        <w:t>R.</w:t>
      </w:r>
      <w:proofErr w:type="gramEnd"/>
      <w:r w:rsidRPr="00E86700">
        <w:rPr>
          <w:rFonts w:eastAsia="Cambria" w:cs="Times New Roman"/>
        </w:rPr>
        <w:t xml:space="preserve"> and R. </w:t>
      </w:r>
      <w:proofErr w:type="spellStart"/>
      <w:r w:rsidRPr="00E86700">
        <w:rPr>
          <w:rFonts w:eastAsia="Cambria" w:cs="Times New Roman"/>
        </w:rPr>
        <w:t>Susmel</w:t>
      </w:r>
      <w:proofErr w:type="spellEnd"/>
      <w:r w:rsidRPr="00E86700">
        <w:rPr>
          <w:rFonts w:eastAsia="Cambria" w:cs="Times New Roman"/>
        </w:rPr>
        <w:t xml:space="preserve">, 1993, Common Volatility in International Equity Markets, </w:t>
      </w:r>
      <w:r w:rsidRPr="00652D80">
        <w:rPr>
          <w:rFonts w:eastAsia="Cambria" w:cs="Times New Roman"/>
          <w:i/>
          <w:iCs/>
        </w:rPr>
        <w:t xml:space="preserve">Journal of Business and Economic Statistics </w:t>
      </w:r>
      <w:r w:rsidRPr="00E86700">
        <w:rPr>
          <w:rFonts w:eastAsia="Cambria" w:cs="Times New Roman"/>
        </w:rPr>
        <w:t>11, 167-176.</w:t>
      </w:r>
    </w:p>
    <w:p w14:paraId="0AB8A11A" w14:textId="253CC1C7" w:rsidR="00AC7439" w:rsidRDefault="00AC7439" w:rsidP="00513BD1">
      <w:pPr>
        <w:autoSpaceDE w:val="0"/>
        <w:autoSpaceDN w:val="0"/>
        <w:adjustRightInd w:val="0"/>
        <w:spacing w:after="0" w:line="240" w:lineRule="auto"/>
        <w:ind w:left="360"/>
        <w:jc w:val="both"/>
        <w:rPr>
          <w:rFonts w:eastAsia="Cambria" w:cs="Times New Roman"/>
        </w:rPr>
      </w:pPr>
    </w:p>
    <w:p w14:paraId="53234567" w14:textId="77777777" w:rsidR="00525D50" w:rsidRDefault="00525D50" w:rsidP="00525D50">
      <w:pPr>
        <w:autoSpaceDE w:val="0"/>
        <w:autoSpaceDN w:val="0"/>
        <w:adjustRightInd w:val="0"/>
        <w:spacing w:after="0" w:line="240" w:lineRule="auto"/>
        <w:ind w:left="360"/>
        <w:jc w:val="both"/>
        <w:rPr>
          <w:rFonts w:eastAsia="Cambria" w:cs="Times New Roman"/>
        </w:rPr>
      </w:pPr>
      <w:r w:rsidRPr="00F0124C">
        <w:rPr>
          <w:rFonts w:eastAsia="Cambria" w:cs="Times New Roman"/>
        </w:rPr>
        <w:t>Engle, R</w:t>
      </w:r>
      <w:r>
        <w:rPr>
          <w:rFonts w:eastAsia="Cambria" w:cs="Times New Roman"/>
        </w:rPr>
        <w:t>.</w:t>
      </w:r>
      <w:r w:rsidRPr="00F0124C">
        <w:rPr>
          <w:rFonts w:eastAsia="Cambria" w:cs="Times New Roman"/>
        </w:rPr>
        <w:t>, 2002</w:t>
      </w:r>
      <w:r>
        <w:rPr>
          <w:rFonts w:eastAsia="Cambria" w:cs="Times New Roman"/>
        </w:rPr>
        <w:t xml:space="preserve">, </w:t>
      </w:r>
      <w:r w:rsidRPr="00F0124C">
        <w:rPr>
          <w:rFonts w:eastAsia="Cambria" w:cs="Times New Roman"/>
        </w:rPr>
        <w:t xml:space="preserve">Dynamic Conditional Correlation: A Simple Class of Multivariate Generalized Autoregressive Conditional Heteroskedasticity Models, </w:t>
      </w:r>
      <w:r w:rsidRPr="00D87285">
        <w:rPr>
          <w:rFonts w:eastAsia="Cambria" w:cs="Times New Roman"/>
          <w:i/>
        </w:rPr>
        <w:t>Journal of Business &amp; Economic Statistics</w:t>
      </w:r>
      <w:r w:rsidRPr="00F0124C">
        <w:rPr>
          <w:rFonts w:eastAsia="Cambria" w:cs="Times New Roman"/>
        </w:rPr>
        <w:t>,</w:t>
      </w:r>
      <w:r>
        <w:rPr>
          <w:rFonts w:eastAsia="Cambria" w:cs="Times New Roman"/>
        </w:rPr>
        <w:t xml:space="preserve"> </w:t>
      </w:r>
      <w:r w:rsidRPr="00F0124C">
        <w:rPr>
          <w:rFonts w:eastAsia="Cambria" w:cs="Times New Roman"/>
        </w:rPr>
        <w:t>20, 339-350.</w:t>
      </w:r>
    </w:p>
    <w:p w14:paraId="26E2BA39" w14:textId="77777777" w:rsidR="00AC7439" w:rsidRPr="00E86700" w:rsidRDefault="00AC7439" w:rsidP="00513BD1">
      <w:pPr>
        <w:autoSpaceDE w:val="0"/>
        <w:autoSpaceDN w:val="0"/>
        <w:adjustRightInd w:val="0"/>
        <w:spacing w:after="0" w:line="240" w:lineRule="auto"/>
        <w:ind w:left="360"/>
        <w:jc w:val="both"/>
        <w:rPr>
          <w:rFonts w:eastAsia="Cambria" w:cs="Times New Roman"/>
        </w:rPr>
      </w:pPr>
    </w:p>
    <w:p w14:paraId="2A45D2AB" w14:textId="77777777" w:rsidR="00E86700" w:rsidRPr="00E86700" w:rsidRDefault="00E86700" w:rsidP="00513BD1">
      <w:pPr>
        <w:autoSpaceDE w:val="0"/>
        <w:autoSpaceDN w:val="0"/>
        <w:adjustRightInd w:val="0"/>
        <w:spacing w:after="0" w:line="240" w:lineRule="auto"/>
        <w:ind w:left="360"/>
        <w:jc w:val="both"/>
        <w:rPr>
          <w:rFonts w:eastAsia="Cambria" w:cs="Times New Roman"/>
        </w:rPr>
      </w:pPr>
      <w:proofErr w:type="spellStart"/>
      <w:r w:rsidRPr="00E86700">
        <w:rPr>
          <w:rFonts w:eastAsia="Cambria" w:cs="Times New Roman"/>
        </w:rPr>
        <w:t>Errunza</w:t>
      </w:r>
      <w:proofErr w:type="spellEnd"/>
      <w:r w:rsidRPr="00E86700">
        <w:rPr>
          <w:rFonts w:eastAsia="Cambria" w:cs="Times New Roman"/>
        </w:rPr>
        <w:t xml:space="preserve">, V., and </w:t>
      </w:r>
      <w:proofErr w:type="spellStart"/>
      <w:r w:rsidRPr="00E86700">
        <w:rPr>
          <w:rFonts w:eastAsia="Cambria" w:cs="Times New Roman"/>
        </w:rPr>
        <w:t>Losq</w:t>
      </w:r>
      <w:proofErr w:type="spellEnd"/>
      <w:r w:rsidRPr="00E86700">
        <w:rPr>
          <w:rFonts w:eastAsia="Cambria" w:cs="Times New Roman"/>
        </w:rPr>
        <w:t>, E., 1985, International asset pricing under mild segmentation: Theory and test</w:t>
      </w:r>
      <w:r w:rsidR="00652D80">
        <w:rPr>
          <w:rFonts w:eastAsia="Cambria" w:cs="Times New Roman"/>
        </w:rPr>
        <w:t>,</w:t>
      </w:r>
      <w:r w:rsidRPr="00E86700">
        <w:rPr>
          <w:rFonts w:eastAsia="Cambria" w:cs="Times New Roman"/>
        </w:rPr>
        <w:t xml:space="preserve"> </w:t>
      </w:r>
      <w:r w:rsidRPr="00652D80">
        <w:rPr>
          <w:rFonts w:eastAsia="Cambria" w:cs="Times New Roman"/>
          <w:i/>
          <w:iCs/>
        </w:rPr>
        <w:t>Journal of Finance</w:t>
      </w:r>
      <w:r w:rsidRPr="00E86700">
        <w:rPr>
          <w:rFonts w:eastAsia="Cambria" w:cs="Times New Roman"/>
        </w:rPr>
        <w:t xml:space="preserve"> 40, 105-124.</w:t>
      </w:r>
    </w:p>
    <w:p w14:paraId="53AFC648" w14:textId="77777777" w:rsidR="00E86700" w:rsidRPr="00E86700" w:rsidRDefault="00E86700" w:rsidP="00513BD1">
      <w:pPr>
        <w:autoSpaceDE w:val="0"/>
        <w:autoSpaceDN w:val="0"/>
        <w:adjustRightInd w:val="0"/>
        <w:spacing w:after="0" w:line="240" w:lineRule="auto"/>
        <w:ind w:left="360"/>
        <w:jc w:val="both"/>
        <w:rPr>
          <w:rFonts w:eastAsia="Cambria" w:cs="Times New Roman"/>
        </w:rPr>
      </w:pPr>
    </w:p>
    <w:p w14:paraId="1956A208" w14:textId="3AB5A1DC" w:rsidR="00E86700" w:rsidRDefault="00E86700" w:rsidP="00FD4A57">
      <w:pPr>
        <w:autoSpaceDE w:val="0"/>
        <w:autoSpaceDN w:val="0"/>
        <w:adjustRightInd w:val="0"/>
        <w:spacing w:after="0" w:line="240" w:lineRule="auto"/>
        <w:ind w:left="360"/>
        <w:jc w:val="both"/>
        <w:rPr>
          <w:rFonts w:eastAsia="Cambria" w:cs="Times New Roman"/>
        </w:rPr>
      </w:pPr>
      <w:proofErr w:type="spellStart"/>
      <w:r w:rsidRPr="00E86700">
        <w:rPr>
          <w:rFonts w:eastAsia="Cambria" w:cs="Times New Roman"/>
        </w:rPr>
        <w:t>Errunza</w:t>
      </w:r>
      <w:proofErr w:type="spellEnd"/>
      <w:r w:rsidRPr="00E86700">
        <w:rPr>
          <w:rFonts w:eastAsia="Cambria" w:cs="Times New Roman"/>
        </w:rPr>
        <w:t xml:space="preserve">, V., K. Hogan, and M.-W. Hung, 2007, Characterizing World Market Integration through Time, </w:t>
      </w:r>
      <w:r w:rsidRPr="00652D80">
        <w:rPr>
          <w:rFonts w:eastAsia="Cambria" w:cs="Times New Roman"/>
          <w:i/>
          <w:iCs/>
        </w:rPr>
        <w:t>Journal of Financial and Quantitative Analysis</w:t>
      </w:r>
      <w:r w:rsidRPr="00E86700">
        <w:rPr>
          <w:rFonts w:eastAsia="Cambria" w:cs="Times New Roman"/>
        </w:rPr>
        <w:t>, 42, 915-940.</w:t>
      </w:r>
    </w:p>
    <w:p w14:paraId="650F4492" w14:textId="5812E7F3" w:rsidR="00DE413D" w:rsidRDefault="00DE413D" w:rsidP="00FD4A57">
      <w:pPr>
        <w:autoSpaceDE w:val="0"/>
        <w:autoSpaceDN w:val="0"/>
        <w:adjustRightInd w:val="0"/>
        <w:spacing w:after="0" w:line="240" w:lineRule="auto"/>
        <w:ind w:left="360"/>
        <w:jc w:val="both"/>
        <w:rPr>
          <w:rFonts w:eastAsia="Cambria" w:cs="Times New Roman"/>
        </w:rPr>
      </w:pPr>
    </w:p>
    <w:p w14:paraId="685933C3" w14:textId="503D15B7" w:rsidR="00DE413D" w:rsidRDefault="00DE413D" w:rsidP="00DE413D">
      <w:pPr>
        <w:autoSpaceDE w:val="0"/>
        <w:autoSpaceDN w:val="0"/>
        <w:adjustRightInd w:val="0"/>
        <w:spacing w:after="0" w:line="240" w:lineRule="auto"/>
        <w:ind w:left="360"/>
        <w:jc w:val="both"/>
        <w:rPr>
          <w:rFonts w:eastAsia="Cambria" w:cs="Times New Roman"/>
        </w:rPr>
      </w:pPr>
      <w:proofErr w:type="spellStart"/>
      <w:r>
        <w:rPr>
          <w:rFonts w:eastAsia="Cambria" w:cs="Times New Roman"/>
        </w:rPr>
        <w:t>Eun</w:t>
      </w:r>
      <w:proofErr w:type="spellEnd"/>
      <w:r>
        <w:rPr>
          <w:rFonts w:eastAsia="Cambria" w:cs="Times New Roman"/>
        </w:rPr>
        <w:t xml:space="preserve">, C. S., </w:t>
      </w:r>
      <w:r w:rsidRPr="00DE413D">
        <w:rPr>
          <w:rFonts w:eastAsia="Cambria" w:cs="Times New Roman"/>
        </w:rPr>
        <w:t>Huang</w:t>
      </w:r>
      <w:r>
        <w:rPr>
          <w:rFonts w:eastAsia="Cambria" w:cs="Times New Roman"/>
        </w:rPr>
        <w:t>, W., and S.</w:t>
      </w:r>
      <w:r w:rsidRPr="00DE413D">
        <w:rPr>
          <w:rFonts w:eastAsia="Cambria" w:cs="Times New Roman"/>
        </w:rPr>
        <w:t xml:space="preserve"> Lai</w:t>
      </w:r>
      <w:r>
        <w:rPr>
          <w:rFonts w:eastAsia="Cambria" w:cs="Times New Roman"/>
        </w:rPr>
        <w:t xml:space="preserve">, 2008, </w:t>
      </w:r>
      <w:r w:rsidRPr="00DE413D">
        <w:rPr>
          <w:rFonts w:eastAsia="Cambria" w:cs="Times New Roman"/>
        </w:rPr>
        <w:t>International Diversification with Large- and Small-Cap Stocks</w:t>
      </w:r>
      <w:r>
        <w:rPr>
          <w:rFonts w:eastAsia="Cambria" w:cs="Times New Roman"/>
        </w:rPr>
        <w:t xml:space="preserve">, </w:t>
      </w:r>
      <w:r w:rsidRPr="00DE413D">
        <w:rPr>
          <w:rFonts w:eastAsia="Cambria" w:cs="Times New Roman"/>
        </w:rPr>
        <w:t>The Journal of Financial and Quantitative Analysis, 43, 489-523</w:t>
      </w:r>
    </w:p>
    <w:p w14:paraId="633837BC" w14:textId="57BED3F7" w:rsidR="009C1662" w:rsidRDefault="009C1662">
      <w:pPr>
        <w:autoSpaceDE w:val="0"/>
        <w:autoSpaceDN w:val="0"/>
        <w:adjustRightInd w:val="0"/>
        <w:spacing w:after="0" w:line="240" w:lineRule="auto"/>
        <w:ind w:left="360"/>
        <w:jc w:val="both"/>
        <w:rPr>
          <w:rFonts w:eastAsia="Cambria" w:cs="Times New Roman"/>
        </w:rPr>
      </w:pPr>
    </w:p>
    <w:p w14:paraId="4ED698BA" w14:textId="2E925582" w:rsidR="009C1662" w:rsidRDefault="009C1662">
      <w:pPr>
        <w:autoSpaceDE w:val="0"/>
        <w:autoSpaceDN w:val="0"/>
        <w:adjustRightInd w:val="0"/>
        <w:spacing w:after="0" w:line="240" w:lineRule="auto"/>
        <w:ind w:left="360"/>
        <w:jc w:val="both"/>
        <w:rPr>
          <w:rFonts w:eastAsia="Cambria" w:cs="Times New Roman"/>
        </w:rPr>
      </w:pPr>
      <w:r>
        <w:rPr>
          <w:rFonts w:eastAsia="Cambria" w:cs="Times New Roman"/>
        </w:rPr>
        <w:t xml:space="preserve">Friedman, Thomas, “The World is Flat”, </w:t>
      </w:r>
      <w:r w:rsidR="00466334">
        <w:rPr>
          <w:rFonts w:eastAsia="Cambria" w:cs="Times New Roman"/>
        </w:rPr>
        <w:t>Picador Publishers</w:t>
      </w:r>
      <w:r>
        <w:rPr>
          <w:rFonts w:eastAsia="Cambria" w:cs="Times New Roman"/>
        </w:rPr>
        <w:t>, 2007</w:t>
      </w:r>
      <w:r w:rsidR="00F10436">
        <w:rPr>
          <w:rFonts w:eastAsia="Cambria" w:cs="Times New Roman"/>
        </w:rPr>
        <w:t>.</w:t>
      </w:r>
    </w:p>
    <w:p w14:paraId="01E558FA" w14:textId="77777777" w:rsidR="00E86700" w:rsidRDefault="00E86700">
      <w:pPr>
        <w:autoSpaceDE w:val="0"/>
        <w:autoSpaceDN w:val="0"/>
        <w:adjustRightInd w:val="0"/>
        <w:spacing w:after="0" w:line="240" w:lineRule="auto"/>
        <w:ind w:left="360"/>
        <w:jc w:val="both"/>
        <w:rPr>
          <w:rFonts w:eastAsia="Cambria" w:cs="Times New Roman"/>
        </w:rPr>
      </w:pPr>
    </w:p>
    <w:p w14:paraId="6586500F" w14:textId="0BDACB92" w:rsidR="00274788" w:rsidRDefault="00E86700">
      <w:pPr>
        <w:autoSpaceDE w:val="0"/>
        <w:autoSpaceDN w:val="0"/>
        <w:adjustRightInd w:val="0"/>
        <w:spacing w:after="0" w:line="240" w:lineRule="auto"/>
        <w:ind w:left="360"/>
        <w:jc w:val="both"/>
        <w:rPr>
          <w:rFonts w:eastAsia="Cambria" w:cs="Times New Roman"/>
        </w:rPr>
      </w:pPr>
      <w:r w:rsidRPr="00E86700">
        <w:rPr>
          <w:rFonts w:eastAsia="Cambria" w:cs="Times New Roman"/>
        </w:rPr>
        <w:t xml:space="preserve">Gagnon, L., and Karolyi, A., 2006 Price and Volatility Transmissions Across Borders, NYU Salomon </w:t>
      </w:r>
      <w:proofErr w:type="spellStart"/>
      <w:r w:rsidRPr="00E86700">
        <w:rPr>
          <w:rFonts w:eastAsia="Cambria" w:cs="Times New Roman"/>
        </w:rPr>
        <w:t>Center</w:t>
      </w:r>
      <w:proofErr w:type="spellEnd"/>
      <w:r w:rsidRPr="00E86700">
        <w:rPr>
          <w:rFonts w:eastAsia="Cambria" w:cs="Times New Roman"/>
        </w:rPr>
        <w:t xml:space="preserve"> Monograph Series Financial Markets, Institutions &amp; Instruments, Volume 15, Number 3</w:t>
      </w:r>
      <w:r w:rsidR="00994DAF">
        <w:rPr>
          <w:rFonts w:eastAsia="Cambria" w:cs="Times New Roman"/>
        </w:rPr>
        <w:t>.</w:t>
      </w:r>
      <w:r w:rsidRPr="00E86700">
        <w:rPr>
          <w:rFonts w:eastAsia="Cambria" w:cs="Times New Roman"/>
        </w:rPr>
        <w:t xml:space="preserve"> </w:t>
      </w:r>
    </w:p>
    <w:p w14:paraId="5E81D7CA" w14:textId="77777777" w:rsidR="00994DAF" w:rsidRDefault="00994DAF">
      <w:pPr>
        <w:autoSpaceDE w:val="0"/>
        <w:autoSpaceDN w:val="0"/>
        <w:adjustRightInd w:val="0"/>
        <w:spacing w:after="0" w:line="240" w:lineRule="auto"/>
        <w:ind w:left="360"/>
        <w:jc w:val="both"/>
        <w:rPr>
          <w:rFonts w:eastAsia="Cambria" w:cs="Times New Roman"/>
        </w:rPr>
      </w:pPr>
    </w:p>
    <w:p w14:paraId="6CBA3234" w14:textId="77777777" w:rsidR="00274788" w:rsidRDefault="00274788">
      <w:pPr>
        <w:autoSpaceDE w:val="0"/>
        <w:autoSpaceDN w:val="0"/>
        <w:adjustRightInd w:val="0"/>
        <w:spacing w:after="0" w:line="240" w:lineRule="auto"/>
        <w:ind w:left="360"/>
        <w:jc w:val="both"/>
        <w:rPr>
          <w:rFonts w:eastAsia="Cambria" w:cs="Times New Roman"/>
        </w:rPr>
      </w:pPr>
      <w:proofErr w:type="spellStart"/>
      <w:r w:rsidRPr="00274788">
        <w:rPr>
          <w:rFonts w:eastAsia="Cambria" w:cs="Times New Roman"/>
        </w:rPr>
        <w:t>Goetzmann</w:t>
      </w:r>
      <w:proofErr w:type="spellEnd"/>
      <w:r w:rsidRPr="00274788">
        <w:rPr>
          <w:rFonts w:eastAsia="Cambria" w:cs="Times New Roman"/>
        </w:rPr>
        <w:t xml:space="preserve">, W.N., Li, L., and </w:t>
      </w:r>
      <w:proofErr w:type="spellStart"/>
      <w:r w:rsidRPr="00274788">
        <w:rPr>
          <w:rFonts w:eastAsia="Cambria" w:cs="Times New Roman"/>
        </w:rPr>
        <w:t>Rouwenhorst</w:t>
      </w:r>
      <w:proofErr w:type="spellEnd"/>
      <w:r w:rsidRPr="00274788">
        <w:rPr>
          <w:rFonts w:eastAsia="Cambria" w:cs="Times New Roman"/>
        </w:rPr>
        <w:t xml:space="preserve">, K.G., 2005, Long-term Global Market Correlations. </w:t>
      </w:r>
      <w:r w:rsidRPr="00B20739">
        <w:rPr>
          <w:rFonts w:eastAsia="Cambria" w:cs="Times New Roman"/>
          <w:i/>
        </w:rPr>
        <w:t>Journal of Business</w:t>
      </w:r>
      <w:r w:rsidRPr="00274788">
        <w:rPr>
          <w:rFonts w:eastAsia="Cambria" w:cs="Times New Roman"/>
        </w:rPr>
        <w:t>, 78, 1-38.</w:t>
      </w:r>
    </w:p>
    <w:p w14:paraId="259A0E8E" w14:textId="77777777" w:rsidR="00AF46D0" w:rsidRPr="00274788" w:rsidRDefault="00AF46D0">
      <w:pPr>
        <w:autoSpaceDE w:val="0"/>
        <w:autoSpaceDN w:val="0"/>
        <w:adjustRightInd w:val="0"/>
        <w:spacing w:after="0" w:line="240" w:lineRule="auto"/>
        <w:ind w:left="360"/>
        <w:jc w:val="both"/>
        <w:rPr>
          <w:rFonts w:eastAsia="Cambria" w:cs="Times New Roman"/>
        </w:rPr>
      </w:pPr>
    </w:p>
    <w:p w14:paraId="276BD30B" w14:textId="77777777" w:rsidR="00242AC1" w:rsidRPr="00242AC1" w:rsidRDefault="00242AC1" w:rsidP="00513BD1">
      <w:pPr>
        <w:autoSpaceDE w:val="0"/>
        <w:autoSpaceDN w:val="0"/>
        <w:adjustRightInd w:val="0"/>
        <w:spacing w:after="0" w:line="240" w:lineRule="auto"/>
        <w:ind w:left="360"/>
        <w:jc w:val="both"/>
        <w:rPr>
          <w:rFonts w:eastAsia="Cambria" w:cs="Times New Roman"/>
        </w:rPr>
      </w:pPr>
      <w:proofErr w:type="spellStart"/>
      <w:r w:rsidRPr="00242AC1">
        <w:rPr>
          <w:rFonts w:eastAsia="Cambria" w:cs="Times New Roman"/>
        </w:rPr>
        <w:t>Hardouvelis</w:t>
      </w:r>
      <w:proofErr w:type="spellEnd"/>
      <w:r w:rsidRPr="00242AC1">
        <w:rPr>
          <w:rFonts w:eastAsia="Cambria" w:cs="Times New Roman"/>
        </w:rPr>
        <w:t xml:space="preserve">, G., </w:t>
      </w:r>
      <w:proofErr w:type="spellStart"/>
      <w:r w:rsidRPr="00242AC1">
        <w:rPr>
          <w:rFonts w:eastAsia="Cambria" w:cs="Times New Roman"/>
        </w:rPr>
        <w:t>Malliaropoulos</w:t>
      </w:r>
      <w:proofErr w:type="spellEnd"/>
      <w:r w:rsidRPr="00242AC1">
        <w:rPr>
          <w:rFonts w:eastAsia="Cambria" w:cs="Times New Roman"/>
        </w:rPr>
        <w:t>, D., and Priestley, R., 2006, EMU and European Stock Market Integrations</w:t>
      </w:r>
      <w:r w:rsidR="00652D80">
        <w:rPr>
          <w:rFonts w:eastAsia="Cambria" w:cs="Times New Roman"/>
        </w:rPr>
        <w:t>,</w:t>
      </w:r>
      <w:r w:rsidRPr="00242AC1">
        <w:rPr>
          <w:rFonts w:eastAsia="Cambria" w:cs="Times New Roman"/>
        </w:rPr>
        <w:t xml:space="preserve"> </w:t>
      </w:r>
      <w:r w:rsidRPr="00317F96">
        <w:rPr>
          <w:rFonts w:eastAsia="Cambria" w:cs="Times New Roman"/>
          <w:i/>
          <w:iCs/>
        </w:rPr>
        <w:t>Journal of Business</w:t>
      </w:r>
      <w:r w:rsidRPr="00242AC1">
        <w:rPr>
          <w:rFonts w:eastAsia="Cambria" w:cs="Times New Roman"/>
        </w:rPr>
        <w:t xml:space="preserve"> 79, 369-392.</w:t>
      </w:r>
    </w:p>
    <w:p w14:paraId="6E8C020B" w14:textId="77777777" w:rsidR="00242AC1" w:rsidRPr="00242AC1" w:rsidRDefault="00242AC1" w:rsidP="00513BD1">
      <w:pPr>
        <w:autoSpaceDE w:val="0"/>
        <w:autoSpaceDN w:val="0"/>
        <w:adjustRightInd w:val="0"/>
        <w:spacing w:after="0" w:line="240" w:lineRule="auto"/>
        <w:ind w:left="360"/>
        <w:jc w:val="both"/>
        <w:rPr>
          <w:rFonts w:eastAsia="Cambria" w:cs="Times New Roman"/>
        </w:rPr>
      </w:pPr>
    </w:p>
    <w:p w14:paraId="0C3750EB" w14:textId="6D35DA9E" w:rsidR="00E86700" w:rsidRDefault="00242AC1" w:rsidP="00FD4A57">
      <w:pPr>
        <w:autoSpaceDE w:val="0"/>
        <w:autoSpaceDN w:val="0"/>
        <w:adjustRightInd w:val="0"/>
        <w:spacing w:after="0" w:line="240" w:lineRule="auto"/>
        <w:ind w:left="360"/>
        <w:jc w:val="both"/>
        <w:rPr>
          <w:rFonts w:eastAsia="Cambria" w:cs="Times New Roman"/>
        </w:rPr>
      </w:pPr>
      <w:r w:rsidRPr="00242AC1">
        <w:rPr>
          <w:rFonts w:eastAsia="Cambria" w:cs="Times New Roman"/>
        </w:rPr>
        <w:t xml:space="preserve">Harvey, C., 1991, The World Price of Covariance Risk, </w:t>
      </w:r>
      <w:r w:rsidRPr="00317F96">
        <w:rPr>
          <w:rFonts w:eastAsia="Cambria" w:cs="Times New Roman"/>
          <w:i/>
          <w:iCs/>
        </w:rPr>
        <w:t>Journal of Finance</w:t>
      </w:r>
      <w:r w:rsidRPr="00242AC1">
        <w:rPr>
          <w:rFonts w:eastAsia="Cambria" w:cs="Times New Roman"/>
        </w:rPr>
        <w:t xml:space="preserve"> 46, 111-159.</w:t>
      </w:r>
    </w:p>
    <w:p w14:paraId="4610D7CF" w14:textId="389EF7E4" w:rsidR="00321BB5" w:rsidRDefault="00321BB5" w:rsidP="00FD4A57">
      <w:pPr>
        <w:autoSpaceDE w:val="0"/>
        <w:autoSpaceDN w:val="0"/>
        <w:adjustRightInd w:val="0"/>
        <w:spacing w:after="0" w:line="240" w:lineRule="auto"/>
        <w:ind w:left="360"/>
        <w:jc w:val="both"/>
        <w:rPr>
          <w:rFonts w:eastAsia="Cambria" w:cs="Times New Roman"/>
        </w:rPr>
      </w:pPr>
    </w:p>
    <w:p w14:paraId="34483A18" w14:textId="77777777" w:rsidR="002F3369" w:rsidRPr="002F3369" w:rsidRDefault="002F3369" w:rsidP="00513BD1">
      <w:pPr>
        <w:autoSpaceDE w:val="0"/>
        <w:autoSpaceDN w:val="0"/>
        <w:adjustRightInd w:val="0"/>
        <w:spacing w:after="0" w:line="240" w:lineRule="auto"/>
        <w:ind w:left="360"/>
        <w:jc w:val="both"/>
        <w:rPr>
          <w:rFonts w:eastAsia="Cambria" w:cs="Times New Roman"/>
        </w:rPr>
      </w:pPr>
      <w:r w:rsidRPr="002F3369">
        <w:rPr>
          <w:rFonts w:eastAsia="Cambria" w:cs="Times New Roman"/>
        </w:rPr>
        <w:lastRenderedPageBreak/>
        <w:t xml:space="preserve">Hung, Kathy., and </w:t>
      </w:r>
      <w:proofErr w:type="spellStart"/>
      <w:r w:rsidRPr="002F3369">
        <w:rPr>
          <w:rFonts w:eastAsia="Cambria" w:cs="Times New Roman"/>
        </w:rPr>
        <w:t>Glascock</w:t>
      </w:r>
      <w:proofErr w:type="spellEnd"/>
      <w:r w:rsidRPr="002F3369">
        <w:rPr>
          <w:rFonts w:eastAsia="Cambria" w:cs="Times New Roman"/>
        </w:rPr>
        <w:t>, John, 2010, Volatilities and Momentum Returns in Real Estate Investment Trusts</w:t>
      </w:r>
      <w:r w:rsidR="00317F96">
        <w:rPr>
          <w:rFonts w:eastAsia="Cambria" w:cs="Times New Roman"/>
        </w:rPr>
        <w:t>,</w:t>
      </w:r>
      <w:r w:rsidRPr="002F3369">
        <w:rPr>
          <w:rFonts w:eastAsia="Cambria" w:cs="Times New Roman"/>
        </w:rPr>
        <w:t xml:space="preserve"> </w:t>
      </w:r>
      <w:r w:rsidRPr="00317F96">
        <w:rPr>
          <w:rFonts w:eastAsia="Cambria" w:cs="Times New Roman"/>
          <w:i/>
          <w:iCs/>
        </w:rPr>
        <w:t>Journal of Real Estate Finance and Economics</w:t>
      </w:r>
      <w:r w:rsidRPr="002F3369">
        <w:rPr>
          <w:rFonts w:eastAsia="Cambria" w:cs="Times New Roman"/>
        </w:rPr>
        <w:t xml:space="preserve"> 41: 126–149.</w:t>
      </w:r>
    </w:p>
    <w:p w14:paraId="3CA6B046" w14:textId="77777777" w:rsidR="00994DAF" w:rsidRDefault="00994DAF" w:rsidP="00513BD1">
      <w:pPr>
        <w:autoSpaceDE w:val="0"/>
        <w:autoSpaceDN w:val="0"/>
        <w:adjustRightInd w:val="0"/>
        <w:spacing w:after="0" w:line="240" w:lineRule="auto"/>
        <w:ind w:left="360"/>
        <w:jc w:val="both"/>
        <w:rPr>
          <w:rFonts w:eastAsia="Cambria" w:cs="Times New Roman"/>
        </w:rPr>
      </w:pPr>
    </w:p>
    <w:p w14:paraId="3C9A36BC" w14:textId="61053369" w:rsidR="00994DAF" w:rsidRDefault="002F3369" w:rsidP="00513BD1">
      <w:pPr>
        <w:autoSpaceDE w:val="0"/>
        <w:autoSpaceDN w:val="0"/>
        <w:adjustRightInd w:val="0"/>
        <w:spacing w:after="0" w:line="240" w:lineRule="auto"/>
        <w:ind w:left="360"/>
        <w:jc w:val="both"/>
        <w:rPr>
          <w:rFonts w:eastAsia="Cambria" w:cs="Times New Roman"/>
        </w:rPr>
      </w:pPr>
      <w:proofErr w:type="spellStart"/>
      <w:r w:rsidRPr="002F3369">
        <w:rPr>
          <w:rFonts w:eastAsia="Cambria" w:cs="Times New Roman"/>
        </w:rPr>
        <w:t>Jorion</w:t>
      </w:r>
      <w:proofErr w:type="spellEnd"/>
      <w:r w:rsidRPr="002F3369">
        <w:rPr>
          <w:rFonts w:eastAsia="Cambria" w:cs="Times New Roman"/>
        </w:rPr>
        <w:t xml:space="preserve">, P. and W. </w:t>
      </w:r>
      <w:proofErr w:type="spellStart"/>
      <w:r w:rsidRPr="002F3369">
        <w:rPr>
          <w:rFonts w:eastAsia="Cambria" w:cs="Times New Roman"/>
        </w:rPr>
        <w:t>Goetzmann</w:t>
      </w:r>
      <w:proofErr w:type="spellEnd"/>
      <w:r w:rsidRPr="002F3369">
        <w:rPr>
          <w:rFonts w:eastAsia="Cambria" w:cs="Times New Roman"/>
        </w:rPr>
        <w:t xml:space="preserve">, 1999, Global Stock Markets in the Twentieth Century, </w:t>
      </w:r>
      <w:r w:rsidRPr="00317F96">
        <w:rPr>
          <w:rFonts w:eastAsia="Cambria" w:cs="Times New Roman"/>
          <w:i/>
          <w:iCs/>
        </w:rPr>
        <w:t>Journal of Finance</w:t>
      </w:r>
      <w:r w:rsidRPr="002F3369">
        <w:rPr>
          <w:rFonts w:eastAsia="Cambria" w:cs="Times New Roman"/>
        </w:rPr>
        <w:t xml:space="preserve"> 54, 953—980. </w:t>
      </w:r>
    </w:p>
    <w:p w14:paraId="1F923F74" w14:textId="77777777" w:rsidR="00944F99" w:rsidRDefault="00944F99" w:rsidP="00513BD1">
      <w:pPr>
        <w:autoSpaceDE w:val="0"/>
        <w:autoSpaceDN w:val="0"/>
        <w:adjustRightInd w:val="0"/>
        <w:spacing w:after="0" w:line="240" w:lineRule="auto"/>
        <w:ind w:left="360"/>
        <w:jc w:val="both"/>
        <w:rPr>
          <w:rFonts w:eastAsia="Cambria" w:cs="Times New Roman"/>
        </w:rPr>
      </w:pPr>
    </w:p>
    <w:p w14:paraId="2DC100A0" w14:textId="2CBBD2FE" w:rsidR="002F3369" w:rsidRPr="002F3369" w:rsidRDefault="002F3369" w:rsidP="00513BD1">
      <w:pPr>
        <w:autoSpaceDE w:val="0"/>
        <w:autoSpaceDN w:val="0"/>
        <w:adjustRightInd w:val="0"/>
        <w:spacing w:after="0" w:line="240" w:lineRule="auto"/>
        <w:ind w:left="360"/>
        <w:jc w:val="both"/>
        <w:rPr>
          <w:rFonts w:eastAsia="Cambria" w:cs="Times New Roman"/>
        </w:rPr>
      </w:pPr>
      <w:r w:rsidRPr="002F3369">
        <w:rPr>
          <w:rFonts w:eastAsia="Cambria" w:cs="Times New Roman"/>
        </w:rPr>
        <w:t xml:space="preserve">Karolyi, G. A. and </w:t>
      </w:r>
      <w:proofErr w:type="spellStart"/>
      <w:r w:rsidRPr="002F3369">
        <w:rPr>
          <w:rFonts w:eastAsia="Cambria" w:cs="Times New Roman"/>
        </w:rPr>
        <w:t>Stulz</w:t>
      </w:r>
      <w:proofErr w:type="spellEnd"/>
      <w:r w:rsidRPr="002F3369">
        <w:rPr>
          <w:rFonts w:eastAsia="Cambria" w:cs="Times New Roman"/>
        </w:rPr>
        <w:t xml:space="preserve">, R. M., 1996, Why do Markets Move Together? An Investigation of U.S.-Japan Stock Return </w:t>
      </w:r>
      <w:proofErr w:type="spellStart"/>
      <w:r w:rsidRPr="002F3369">
        <w:rPr>
          <w:rFonts w:eastAsia="Cambria" w:cs="Times New Roman"/>
        </w:rPr>
        <w:t>Comovements</w:t>
      </w:r>
      <w:proofErr w:type="spellEnd"/>
      <w:r w:rsidRPr="002F3369">
        <w:rPr>
          <w:rFonts w:eastAsia="Cambria" w:cs="Times New Roman"/>
        </w:rPr>
        <w:t xml:space="preserve">, </w:t>
      </w:r>
      <w:r w:rsidRPr="00317F96">
        <w:rPr>
          <w:rFonts w:eastAsia="Cambria" w:cs="Times New Roman"/>
          <w:i/>
          <w:iCs/>
        </w:rPr>
        <w:t>Journal of Finance</w:t>
      </w:r>
      <w:r w:rsidRPr="002F3369">
        <w:rPr>
          <w:rFonts w:eastAsia="Cambria" w:cs="Times New Roman"/>
        </w:rPr>
        <w:t xml:space="preserve"> 51,951–986.</w:t>
      </w:r>
    </w:p>
    <w:p w14:paraId="6041C26E" w14:textId="77777777" w:rsidR="002F3369" w:rsidRPr="002F3369" w:rsidRDefault="002F3369" w:rsidP="00513BD1">
      <w:pPr>
        <w:autoSpaceDE w:val="0"/>
        <w:autoSpaceDN w:val="0"/>
        <w:adjustRightInd w:val="0"/>
        <w:spacing w:after="0" w:line="240" w:lineRule="auto"/>
        <w:ind w:left="360"/>
        <w:jc w:val="both"/>
        <w:rPr>
          <w:rFonts w:eastAsia="Cambria" w:cs="Times New Roman"/>
        </w:rPr>
      </w:pPr>
    </w:p>
    <w:p w14:paraId="55CCF1AB" w14:textId="77777777" w:rsidR="002F3369" w:rsidRPr="002F3369" w:rsidRDefault="002F3369" w:rsidP="00513BD1">
      <w:pPr>
        <w:autoSpaceDE w:val="0"/>
        <w:autoSpaceDN w:val="0"/>
        <w:adjustRightInd w:val="0"/>
        <w:spacing w:after="0" w:line="240" w:lineRule="auto"/>
        <w:ind w:left="360"/>
        <w:jc w:val="both"/>
        <w:rPr>
          <w:rFonts w:eastAsia="Cambria" w:cs="Times New Roman"/>
        </w:rPr>
      </w:pPr>
      <w:r w:rsidRPr="002F3369">
        <w:rPr>
          <w:rFonts w:eastAsia="Cambria" w:cs="Times New Roman"/>
        </w:rPr>
        <w:t>Karolyi, G. A., and Sanders, A. B., 1998, The Variation of Economic Risk Premiums in Real</w:t>
      </w:r>
    </w:p>
    <w:p w14:paraId="326002B1" w14:textId="77777777" w:rsidR="002F3369" w:rsidRPr="002F3369" w:rsidRDefault="002F3369" w:rsidP="00513BD1">
      <w:pPr>
        <w:autoSpaceDE w:val="0"/>
        <w:autoSpaceDN w:val="0"/>
        <w:adjustRightInd w:val="0"/>
        <w:spacing w:after="0" w:line="240" w:lineRule="auto"/>
        <w:ind w:left="360"/>
        <w:jc w:val="both"/>
        <w:rPr>
          <w:rFonts w:eastAsia="Cambria" w:cs="Times New Roman"/>
        </w:rPr>
      </w:pPr>
      <w:r w:rsidRPr="002F3369">
        <w:rPr>
          <w:rFonts w:eastAsia="Cambria" w:cs="Times New Roman"/>
        </w:rPr>
        <w:t xml:space="preserve">Estate Returns, </w:t>
      </w:r>
      <w:r w:rsidRPr="00317F96">
        <w:rPr>
          <w:rFonts w:eastAsia="Cambria" w:cs="Times New Roman"/>
          <w:i/>
          <w:iCs/>
        </w:rPr>
        <w:t>Journal of Real Estate Finance and Economics</w:t>
      </w:r>
      <w:r w:rsidRPr="002F3369">
        <w:rPr>
          <w:rFonts w:eastAsia="Cambria" w:cs="Times New Roman"/>
        </w:rPr>
        <w:t>, 17, 245-262.</w:t>
      </w:r>
    </w:p>
    <w:p w14:paraId="2854046A" w14:textId="77777777" w:rsidR="002F3369" w:rsidRPr="002F3369" w:rsidRDefault="002F3369" w:rsidP="00513BD1">
      <w:pPr>
        <w:autoSpaceDE w:val="0"/>
        <w:autoSpaceDN w:val="0"/>
        <w:adjustRightInd w:val="0"/>
        <w:spacing w:after="0" w:line="240" w:lineRule="auto"/>
        <w:ind w:left="360"/>
        <w:jc w:val="both"/>
        <w:rPr>
          <w:rFonts w:eastAsia="Cambria" w:cs="Times New Roman"/>
        </w:rPr>
      </w:pPr>
    </w:p>
    <w:p w14:paraId="3A3A0E41" w14:textId="77777777" w:rsidR="002F3369" w:rsidRDefault="002F3369" w:rsidP="00FD4A57">
      <w:pPr>
        <w:autoSpaceDE w:val="0"/>
        <w:autoSpaceDN w:val="0"/>
        <w:adjustRightInd w:val="0"/>
        <w:spacing w:after="0" w:line="240" w:lineRule="auto"/>
        <w:ind w:left="360"/>
        <w:jc w:val="both"/>
        <w:rPr>
          <w:rFonts w:eastAsia="Cambria" w:cs="Times New Roman"/>
        </w:rPr>
      </w:pPr>
      <w:r w:rsidRPr="002F3369">
        <w:rPr>
          <w:rFonts w:eastAsia="Cambria" w:cs="Times New Roman"/>
        </w:rPr>
        <w:t xml:space="preserve">King, M. A., and S. Wadhwani, 1990, Transmission of Volatility between Stock Markets, </w:t>
      </w:r>
      <w:r w:rsidRPr="00317F96">
        <w:rPr>
          <w:rFonts w:eastAsia="Cambria" w:cs="Times New Roman"/>
          <w:i/>
          <w:iCs/>
        </w:rPr>
        <w:t>Review of Financial Studies</w:t>
      </w:r>
      <w:r w:rsidRPr="002F3369">
        <w:rPr>
          <w:rFonts w:eastAsia="Cambria" w:cs="Times New Roman"/>
        </w:rPr>
        <w:t>, 3, 5-33.</w:t>
      </w:r>
    </w:p>
    <w:p w14:paraId="6041B2D8" w14:textId="77777777" w:rsidR="002F3369" w:rsidRDefault="002F3369">
      <w:pPr>
        <w:autoSpaceDE w:val="0"/>
        <w:autoSpaceDN w:val="0"/>
        <w:adjustRightInd w:val="0"/>
        <w:spacing w:after="0" w:line="240" w:lineRule="auto"/>
        <w:ind w:left="360"/>
        <w:jc w:val="both"/>
        <w:rPr>
          <w:rFonts w:eastAsia="Cambria" w:cs="Times New Roman"/>
        </w:rPr>
      </w:pPr>
    </w:p>
    <w:p w14:paraId="52D7DAC9" w14:textId="4A4D1B90" w:rsidR="00AF6E14" w:rsidRDefault="00AF6E14" w:rsidP="00AF6E14">
      <w:pPr>
        <w:autoSpaceDE w:val="0"/>
        <w:autoSpaceDN w:val="0"/>
        <w:adjustRightInd w:val="0"/>
        <w:spacing w:after="0" w:line="240" w:lineRule="auto"/>
        <w:ind w:left="360"/>
        <w:jc w:val="both"/>
        <w:rPr>
          <w:rFonts w:eastAsia="Cambria" w:cs="Times New Roman"/>
        </w:rPr>
      </w:pPr>
      <w:proofErr w:type="spellStart"/>
      <w:r w:rsidRPr="00AF6E14">
        <w:rPr>
          <w:rFonts w:eastAsia="Cambria" w:cs="Times New Roman"/>
        </w:rPr>
        <w:t>Lesmond</w:t>
      </w:r>
      <w:proofErr w:type="spellEnd"/>
      <w:r w:rsidRPr="00AF6E14">
        <w:rPr>
          <w:rFonts w:eastAsia="Cambria" w:cs="Times New Roman"/>
        </w:rPr>
        <w:t xml:space="preserve">, D. A., 2005, Liquidity of Emerging Markets, </w:t>
      </w:r>
      <w:r w:rsidRPr="00AF6E14">
        <w:rPr>
          <w:rFonts w:eastAsia="Cambria" w:cs="Times New Roman"/>
          <w:i/>
        </w:rPr>
        <w:t>Journal of Financial Economics</w:t>
      </w:r>
      <w:r>
        <w:rPr>
          <w:rFonts w:eastAsia="Cambria" w:cs="Times New Roman"/>
        </w:rPr>
        <w:t xml:space="preserve">, </w:t>
      </w:r>
      <w:r w:rsidRPr="00AF6E14">
        <w:rPr>
          <w:rFonts w:eastAsia="Cambria" w:cs="Times New Roman"/>
        </w:rPr>
        <w:t>77, 411–52.</w:t>
      </w:r>
    </w:p>
    <w:p w14:paraId="15DBA0F1" w14:textId="77777777" w:rsidR="00AF6E14" w:rsidRPr="00AF6E14" w:rsidRDefault="00AF6E14" w:rsidP="00AF6E14">
      <w:pPr>
        <w:autoSpaceDE w:val="0"/>
        <w:autoSpaceDN w:val="0"/>
        <w:adjustRightInd w:val="0"/>
        <w:spacing w:after="0" w:line="240" w:lineRule="auto"/>
        <w:ind w:left="360"/>
        <w:jc w:val="both"/>
        <w:rPr>
          <w:rFonts w:eastAsia="Cambria" w:cs="Times New Roman"/>
        </w:rPr>
      </w:pPr>
    </w:p>
    <w:p w14:paraId="3DF13C3E" w14:textId="70B1ACC5" w:rsidR="00AF6E14" w:rsidRDefault="00AF6E14" w:rsidP="00AF6E14">
      <w:pPr>
        <w:autoSpaceDE w:val="0"/>
        <w:autoSpaceDN w:val="0"/>
        <w:adjustRightInd w:val="0"/>
        <w:spacing w:after="0" w:line="240" w:lineRule="auto"/>
        <w:ind w:left="360"/>
        <w:jc w:val="both"/>
        <w:rPr>
          <w:rFonts w:eastAsia="Cambria" w:cs="Times New Roman"/>
        </w:rPr>
      </w:pPr>
      <w:proofErr w:type="spellStart"/>
      <w:r w:rsidRPr="00AF6E14">
        <w:rPr>
          <w:rFonts w:eastAsia="Cambria" w:cs="Times New Roman"/>
        </w:rPr>
        <w:t>Lesmond</w:t>
      </w:r>
      <w:proofErr w:type="spellEnd"/>
      <w:r w:rsidRPr="00AF6E14">
        <w:rPr>
          <w:rFonts w:eastAsia="Cambria" w:cs="Times New Roman"/>
        </w:rPr>
        <w:t xml:space="preserve">, D. A., J. P. Ogden, and C. A. </w:t>
      </w:r>
      <w:proofErr w:type="spellStart"/>
      <w:r w:rsidRPr="00AF6E14">
        <w:rPr>
          <w:rFonts w:eastAsia="Cambria" w:cs="Times New Roman"/>
        </w:rPr>
        <w:t>Trzcinka</w:t>
      </w:r>
      <w:proofErr w:type="spellEnd"/>
      <w:r w:rsidRPr="00AF6E14">
        <w:rPr>
          <w:rFonts w:eastAsia="Cambria" w:cs="Times New Roman"/>
        </w:rPr>
        <w:t xml:space="preserve">, 1999, A New Estimate of Transaction Costs. </w:t>
      </w:r>
      <w:r w:rsidRPr="00AF6E14">
        <w:rPr>
          <w:rFonts w:eastAsia="Cambria" w:cs="Times New Roman"/>
          <w:i/>
        </w:rPr>
        <w:t>Review of Financial Studies</w:t>
      </w:r>
      <w:r>
        <w:rPr>
          <w:rFonts w:eastAsia="Cambria" w:cs="Times New Roman"/>
        </w:rPr>
        <w:t xml:space="preserve">, </w:t>
      </w:r>
      <w:r w:rsidRPr="00AF6E14">
        <w:rPr>
          <w:rFonts w:eastAsia="Cambria" w:cs="Times New Roman"/>
        </w:rPr>
        <w:t>12</w:t>
      </w:r>
      <w:r>
        <w:rPr>
          <w:rFonts w:eastAsia="Cambria" w:cs="Times New Roman"/>
        </w:rPr>
        <w:t xml:space="preserve">, </w:t>
      </w:r>
      <w:r w:rsidRPr="00AF6E14">
        <w:rPr>
          <w:rFonts w:eastAsia="Cambria" w:cs="Times New Roman"/>
        </w:rPr>
        <w:t>1113–41.</w:t>
      </w:r>
    </w:p>
    <w:p w14:paraId="25B9FDEB" w14:textId="77777777" w:rsidR="00AF6E14" w:rsidRPr="00AF6E14" w:rsidRDefault="00AF6E14" w:rsidP="00AF6E14">
      <w:pPr>
        <w:autoSpaceDE w:val="0"/>
        <w:autoSpaceDN w:val="0"/>
        <w:adjustRightInd w:val="0"/>
        <w:spacing w:after="0" w:line="240" w:lineRule="auto"/>
        <w:ind w:left="360"/>
        <w:jc w:val="both"/>
        <w:rPr>
          <w:rFonts w:eastAsia="Cambria" w:cs="Times New Roman"/>
        </w:rPr>
      </w:pPr>
    </w:p>
    <w:p w14:paraId="53770380" w14:textId="77777777" w:rsidR="002F3369" w:rsidRPr="002F3369" w:rsidRDefault="002F3369" w:rsidP="00513BD1">
      <w:pPr>
        <w:autoSpaceDE w:val="0"/>
        <w:autoSpaceDN w:val="0"/>
        <w:adjustRightInd w:val="0"/>
        <w:spacing w:after="0" w:line="240" w:lineRule="auto"/>
        <w:ind w:left="360"/>
        <w:jc w:val="both"/>
        <w:rPr>
          <w:rFonts w:eastAsia="Cambria" w:cs="Times New Roman"/>
        </w:rPr>
      </w:pPr>
      <w:r w:rsidRPr="002F3369">
        <w:rPr>
          <w:rFonts w:eastAsia="Cambria" w:cs="Times New Roman"/>
        </w:rPr>
        <w:t xml:space="preserve">Lin, T. C., and Lin, Z-H., 2011, Integration between Securitized Real Estate and Stock Markets: A Global Perspective, </w:t>
      </w:r>
      <w:r w:rsidRPr="00317F96">
        <w:rPr>
          <w:rFonts w:eastAsia="Cambria" w:cs="Times New Roman"/>
          <w:i/>
          <w:iCs/>
        </w:rPr>
        <w:t>Pacific-Basin Finance Journal</w:t>
      </w:r>
      <w:r w:rsidRPr="002F3369">
        <w:rPr>
          <w:rFonts w:eastAsia="Cambria" w:cs="Times New Roman"/>
        </w:rPr>
        <w:t>, 19, 571-85</w:t>
      </w:r>
    </w:p>
    <w:p w14:paraId="17CE2915" w14:textId="77777777" w:rsidR="002F3369" w:rsidRPr="002F3369" w:rsidRDefault="002F3369" w:rsidP="00513BD1">
      <w:pPr>
        <w:autoSpaceDE w:val="0"/>
        <w:autoSpaceDN w:val="0"/>
        <w:adjustRightInd w:val="0"/>
        <w:spacing w:after="0" w:line="240" w:lineRule="auto"/>
        <w:ind w:left="360"/>
        <w:jc w:val="both"/>
        <w:rPr>
          <w:rFonts w:eastAsia="Cambria" w:cs="Times New Roman"/>
        </w:rPr>
      </w:pPr>
    </w:p>
    <w:p w14:paraId="5B0ACD77" w14:textId="2A615AE4" w:rsidR="002F3369" w:rsidRDefault="002F3369" w:rsidP="00FD4A57">
      <w:pPr>
        <w:autoSpaceDE w:val="0"/>
        <w:autoSpaceDN w:val="0"/>
        <w:adjustRightInd w:val="0"/>
        <w:spacing w:after="0" w:line="240" w:lineRule="auto"/>
        <w:ind w:left="360"/>
        <w:jc w:val="both"/>
        <w:rPr>
          <w:rFonts w:eastAsia="Cambria" w:cs="Times New Roman"/>
        </w:rPr>
      </w:pPr>
      <w:proofErr w:type="spellStart"/>
      <w:r w:rsidRPr="002F3369">
        <w:rPr>
          <w:rFonts w:eastAsia="Cambria" w:cs="Times New Roman"/>
        </w:rPr>
        <w:t>Liow</w:t>
      </w:r>
      <w:proofErr w:type="spellEnd"/>
      <w:r w:rsidRPr="002F3369">
        <w:rPr>
          <w:rFonts w:eastAsia="Cambria" w:cs="Times New Roman"/>
        </w:rPr>
        <w:t xml:space="preserve">, Kim </w:t>
      </w:r>
      <w:proofErr w:type="spellStart"/>
      <w:r w:rsidRPr="002F3369">
        <w:rPr>
          <w:rFonts w:eastAsia="Cambria" w:cs="Times New Roman"/>
        </w:rPr>
        <w:t>Hiang</w:t>
      </w:r>
      <w:proofErr w:type="spellEnd"/>
      <w:r w:rsidRPr="002F3369">
        <w:rPr>
          <w:rFonts w:eastAsia="Cambria" w:cs="Times New Roman"/>
        </w:rPr>
        <w:t xml:space="preserve">, 2010, Are Stock and Real Estate Markets Integrated? An Empirical Study of Six Asian Economies, </w:t>
      </w:r>
      <w:r w:rsidRPr="00317F96">
        <w:rPr>
          <w:rFonts w:eastAsia="Cambria" w:cs="Times New Roman"/>
          <w:i/>
          <w:iCs/>
        </w:rPr>
        <w:t>Journal of Real Estate Portfolio Management</w:t>
      </w:r>
      <w:r w:rsidRPr="002F3369">
        <w:rPr>
          <w:rFonts w:eastAsia="Cambria" w:cs="Times New Roman"/>
        </w:rPr>
        <w:t xml:space="preserve"> 16 (3), 249-65.</w:t>
      </w:r>
    </w:p>
    <w:p w14:paraId="73E8B278" w14:textId="1998FDAD" w:rsidR="000464B9" w:rsidRDefault="000464B9" w:rsidP="00FD4A57">
      <w:pPr>
        <w:autoSpaceDE w:val="0"/>
        <w:autoSpaceDN w:val="0"/>
        <w:adjustRightInd w:val="0"/>
        <w:spacing w:after="0" w:line="240" w:lineRule="auto"/>
        <w:ind w:left="360"/>
        <w:jc w:val="both"/>
        <w:rPr>
          <w:rFonts w:eastAsia="Cambria" w:cs="Times New Roman"/>
        </w:rPr>
      </w:pPr>
    </w:p>
    <w:p w14:paraId="1D488667" w14:textId="46D44DBB" w:rsidR="000464B9" w:rsidRDefault="000464B9" w:rsidP="000464B9">
      <w:pPr>
        <w:autoSpaceDE w:val="0"/>
        <w:autoSpaceDN w:val="0"/>
        <w:adjustRightInd w:val="0"/>
        <w:spacing w:after="0" w:line="240" w:lineRule="auto"/>
        <w:ind w:left="360"/>
        <w:jc w:val="both"/>
        <w:rPr>
          <w:rFonts w:eastAsia="Cambria" w:cs="Times New Roman"/>
        </w:rPr>
      </w:pPr>
      <w:proofErr w:type="spellStart"/>
      <w:r w:rsidRPr="000464B9">
        <w:rPr>
          <w:rFonts w:eastAsia="Cambria" w:cs="Times New Roman"/>
        </w:rPr>
        <w:t>Longin</w:t>
      </w:r>
      <w:proofErr w:type="spellEnd"/>
      <w:r w:rsidRPr="000464B9">
        <w:rPr>
          <w:rFonts w:eastAsia="Cambria" w:cs="Times New Roman"/>
        </w:rPr>
        <w:t>, F.,</w:t>
      </w:r>
      <w:r>
        <w:rPr>
          <w:rFonts w:eastAsia="Cambria" w:cs="Times New Roman"/>
        </w:rPr>
        <w:t xml:space="preserve"> </w:t>
      </w:r>
      <w:proofErr w:type="spellStart"/>
      <w:proofErr w:type="gramStart"/>
      <w:r w:rsidRPr="000464B9">
        <w:rPr>
          <w:rFonts w:eastAsia="Cambria" w:cs="Times New Roman"/>
        </w:rPr>
        <w:t>Solnik,B</w:t>
      </w:r>
      <w:proofErr w:type="spellEnd"/>
      <w:r w:rsidRPr="000464B9">
        <w:rPr>
          <w:rFonts w:eastAsia="Cambria" w:cs="Times New Roman"/>
        </w:rPr>
        <w:t>.</w:t>
      </w:r>
      <w:proofErr w:type="gramEnd"/>
      <w:r w:rsidRPr="000464B9">
        <w:rPr>
          <w:rFonts w:eastAsia="Cambria" w:cs="Times New Roman"/>
        </w:rPr>
        <w:t>,</w:t>
      </w:r>
      <w:r>
        <w:rPr>
          <w:rFonts w:eastAsia="Cambria" w:cs="Times New Roman"/>
        </w:rPr>
        <w:t xml:space="preserve"> 2001, </w:t>
      </w:r>
      <w:r w:rsidRPr="000464B9">
        <w:rPr>
          <w:rFonts w:eastAsia="Cambria" w:cs="Times New Roman"/>
        </w:rPr>
        <w:t>Extreme</w:t>
      </w:r>
      <w:r>
        <w:rPr>
          <w:rFonts w:eastAsia="Cambria" w:cs="Times New Roman"/>
        </w:rPr>
        <w:t xml:space="preserve"> C</w:t>
      </w:r>
      <w:r w:rsidRPr="000464B9">
        <w:rPr>
          <w:rFonts w:eastAsia="Cambria" w:cs="Times New Roman"/>
        </w:rPr>
        <w:t>orrelation</w:t>
      </w:r>
      <w:r>
        <w:rPr>
          <w:rFonts w:eastAsia="Cambria" w:cs="Times New Roman"/>
        </w:rPr>
        <w:t xml:space="preserve"> </w:t>
      </w:r>
      <w:r w:rsidRPr="000464B9">
        <w:rPr>
          <w:rFonts w:eastAsia="Cambria" w:cs="Times New Roman"/>
        </w:rPr>
        <w:t>of</w:t>
      </w:r>
      <w:r>
        <w:rPr>
          <w:rFonts w:eastAsia="Cambria" w:cs="Times New Roman"/>
        </w:rPr>
        <w:t xml:space="preserve"> I</w:t>
      </w:r>
      <w:r w:rsidRPr="000464B9">
        <w:rPr>
          <w:rFonts w:eastAsia="Cambria" w:cs="Times New Roman"/>
        </w:rPr>
        <w:t>nternational</w:t>
      </w:r>
      <w:r>
        <w:rPr>
          <w:rFonts w:eastAsia="Cambria" w:cs="Times New Roman"/>
        </w:rPr>
        <w:t xml:space="preserve"> E</w:t>
      </w:r>
      <w:r w:rsidRPr="000464B9">
        <w:rPr>
          <w:rFonts w:eastAsia="Cambria" w:cs="Times New Roman"/>
        </w:rPr>
        <w:t>quity</w:t>
      </w:r>
      <w:r>
        <w:rPr>
          <w:rFonts w:eastAsia="Cambria" w:cs="Times New Roman"/>
        </w:rPr>
        <w:t xml:space="preserve"> M</w:t>
      </w:r>
      <w:r w:rsidRPr="000464B9">
        <w:rPr>
          <w:rFonts w:eastAsia="Cambria" w:cs="Times New Roman"/>
        </w:rPr>
        <w:t xml:space="preserve">arkets. </w:t>
      </w:r>
      <w:r w:rsidRPr="00B20739">
        <w:rPr>
          <w:rFonts w:eastAsia="Cambria" w:cs="Times New Roman"/>
          <w:i/>
        </w:rPr>
        <w:t>Journal of Finance</w:t>
      </w:r>
      <w:r>
        <w:rPr>
          <w:rFonts w:eastAsia="Cambria" w:cs="Times New Roman"/>
        </w:rPr>
        <w:t xml:space="preserve">, </w:t>
      </w:r>
      <w:r w:rsidRPr="000464B9">
        <w:rPr>
          <w:rFonts w:eastAsia="Cambria" w:cs="Times New Roman"/>
        </w:rPr>
        <w:t>56,</w:t>
      </w:r>
      <w:r>
        <w:rPr>
          <w:rFonts w:eastAsia="Cambria" w:cs="Times New Roman"/>
        </w:rPr>
        <w:t xml:space="preserve"> </w:t>
      </w:r>
      <w:r w:rsidRPr="000464B9">
        <w:rPr>
          <w:rFonts w:eastAsia="Cambria" w:cs="Times New Roman"/>
        </w:rPr>
        <w:t>649–676.</w:t>
      </w:r>
    </w:p>
    <w:p w14:paraId="487928F8" w14:textId="77777777" w:rsidR="002F3369" w:rsidRDefault="002F3369">
      <w:pPr>
        <w:autoSpaceDE w:val="0"/>
        <w:autoSpaceDN w:val="0"/>
        <w:adjustRightInd w:val="0"/>
        <w:spacing w:after="0" w:line="240" w:lineRule="auto"/>
        <w:ind w:left="360"/>
        <w:jc w:val="both"/>
        <w:rPr>
          <w:rFonts w:eastAsia="Cambria" w:cs="Times New Roman"/>
        </w:rPr>
      </w:pPr>
    </w:p>
    <w:p w14:paraId="6B258AA8" w14:textId="77777777" w:rsidR="002F3369" w:rsidRPr="002F3369" w:rsidRDefault="002F3369">
      <w:pPr>
        <w:autoSpaceDE w:val="0"/>
        <w:autoSpaceDN w:val="0"/>
        <w:adjustRightInd w:val="0"/>
        <w:spacing w:after="0" w:line="240" w:lineRule="auto"/>
        <w:ind w:left="360"/>
        <w:jc w:val="both"/>
        <w:rPr>
          <w:rFonts w:eastAsia="Cambria" w:cs="Times New Roman"/>
        </w:rPr>
      </w:pPr>
      <w:r w:rsidRPr="002F3369">
        <w:rPr>
          <w:rFonts w:eastAsia="Cambria" w:cs="Times New Roman"/>
        </w:rPr>
        <w:t xml:space="preserve">Peterson, James D. and Cheng-Ho Hsieh, 1997. Do Common Risk Factors in the Returns on Stocks and Bonds Explain Returns on </w:t>
      </w:r>
      <w:proofErr w:type="gramStart"/>
      <w:r w:rsidRPr="002F3369">
        <w:rPr>
          <w:rFonts w:eastAsia="Cambria" w:cs="Times New Roman"/>
        </w:rPr>
        <w:t>REITs?,</w:t>
      </w:r>
      <w:proofErr w:type="gramEnd"/>
      <w:r w:rsidRPr="002F3369">
        <w:rPr>
          <w:rFonts w:eastAsia="Cambria" w:cs="Times New Roman"/>
        </w:rPr>
        <w:t xml:space="preserve"> </w:t>
      </w:r>
      <w:r w:rsidRPr="00317F96">
        <w:rPr>
          <w:rFonts w:eastAsia="Cambria" w:cs="Times New Roman"/>
          <w:i/>
          <w:iCs/>
        </w:rPr>
        <w:t>Real Estate Economics</w:t>
      </w:r>
      <w:r w:rsidRPr="002F3369">
        <w:rPr>
          <w:rFonts w:eastAsia="Cambria" w:cs="Times New Roman"/>
        </w:rPr>
        <w:t>, 25, 321-345.</w:t>
      </w:r>
    </w:p>
    <w:p w14:paraId="1A4543B2" w14:textId="77777777" w:rsidR="002F3369" w:rsidRPr="002F3369" w:rsidRDefault="002F3369">
      <w:pPr>
        <w:autoSpaceDE w:val="0"/>
        <w:autoSpaceDN w:val="0"/>
        <w:adjustRightInd w:val="0"/>
        <w:spacing w:after="0" w:line="240" w:lineRule="auto"/>
        <w:ind w:left="360"/>
        <w:jc w:val="both"/>
        <w:rPr>
          <w:rFonts w:eastAsia="Cambria" w:cs="Times New Roman"/>
        </w:rPr>
      </w:pPr>
    </w:p>
    <w:p w14:paraId="44DF53DA" w14:textId="2CE4E441" w:rsidR="00AF6E14" w:rsidRDefault="00AF6E14">
      <w:pPr>
        <w:autoSpaceDE w:val="0"/>
        <w:autoSpaceDN w:val="0"/>
        <w:adjustRightInd w:val="0"/>
        <w:spacing w:after="0" w:line="240" w:lineRule="auto"/>
        <w:ind w:left="360"/>
        <w:jc w:val="both"/>
        <w:rPr>
          <w:rFonts w:eastAsia="Cambria" w:cs="Times New Roman"/>
        </w:rPr>
      </w:pPr>
      <w:proofErr w:type="spellStart"/>
      <w:r w:rsidRPr="00AF6E14">
        <w:rPr>
          <w:rFonts w:eastAsia="Cambria" w:cs="Times New Roman"/>
        </w:rPr>
        <w:t>Portes</w:t>
      </w:r>
      <w:proofErr w:type="spellEnd"/>
      <w:r w:rsidRPr="00AF6E14">
        <w:rPr>
          <w:rFonts w:eastAsia="Cambria" w:cs="Times New Roman"/>
        </w:rPr>
        <w:t xml:space="preserve">, R., and H. Rey, 2005, The Determinants of Cross-border Equity Flows, </w:t>
      </w:r>
      <w:r w:rsidRPr="00AF6E14">
        <w:rPr>
          <w:rFonts w:eastAsia="Cambria" w:cs="Times New Roman"/>
          <w:i/>
        </w:rPr>
        <w:t>Journal of International Economics</w:t>
      </w:r>
      <w:r w:rsidRPr="00AF6E14">
        <w:rPr>
          <w:rFonts w:eastAsia="Cambria" w:cs="Times New Roman"/>
        </w:rPr>
        <w:t>, 65, 269–96.</w:t>
      </w:r>
    </w:p>
    <w:p w14:paraId="64154A7B" w14:textId="77777777" w:rsidR="00AF6E14" w:rsidRDefault="00AF6E14">
      <w:pPr>
        <w:autoSpaceDE w:val="0"/>
        <w:autoSpaceDN w:val="0"/>
        <w:adjustRightInd w:val="0"/>
        <w:spacing w:after="0" w:line="240" w:lineRule="auto"/>
        <w:ind w:left="360"/>
        <w:jc w:val="both"/>
        <w:rPr>
          <w:rFonts w:eastAsia="Cambria" w:cs="Times New Roman"/>
        </w:rPr>
      </w:pPr>
    </w:p>
    <w:p w14:paraId="6E42D675" w14:textId="2DD27379" w:rsidR="002F3369" w:rsidRDefault="002F3369">
      <w:pPr>
        <w:autoSpaceDE w:val="0"/>
        <w:autoSpaceDN w:val="0"/>
        <w:adjustRightInd w:val="0"/>
        <w:spacing w:after="0" w:line="240" w:lineRule="auto"/>
        <w:ind w:left="360"/>
        <w:jc w:val="both"/>
        <w:rPr>
          <w:rFonts w:eastAsia="Cambria" w:cs="Times New Roman"/>
        </w:rPr>
      </w:pPr>
      <w:proofErr w:type="spellStart"/>
      <w:r w:rsidRPr="002F3369">
        <w:rPr>
          <w:rFonts w:eastAsia="Cambria" w:cs="Times New Roman"/>
        </w:rPr>
        <w:t>Pukthuanthong</w:t>
      </w:r>
      <w:proofErr w:type="spellEnd"/>
      <w:r w:rsidRPr="002F3369">
        <w:rPr>
          <w:rFonts w:eastAsia="Cambria" w:cs="Times New Roman"/>
        </w:rPr>
        <w:t xml:space="preserve">-Le, K., and Roll, R., 2009 Global Market Integration:  An Alternative Measure and Its Application, </w:t>
      </w:r>
      <w:r w:rsidRPr="00317F96">
        <w:rPr>
          <w:rFonts w:eastAsia="Cambria" w:cs="Times New Roman"/>
          <w:i/>
          <w:iCs/>
        </w:rPr>
        <w:t>Journal of Financial Economics</w:t>
      </w:r>
      <w:r w:rsidRPr="002F3369">
        <w:rPr>
          <w:rFonts w:eastAsia="Cambria" w:cs="Times New Roman"/>
        </w:rPr>
        <w:t xml:space="preserve">, 94, 214-232. </w:t>
      </w:r>
    </w:p>
    <w:p w14:paraId="7DA4B887" w14:textId="13E61E9F" w:rsidR="00047CB9" w:rsidRDefault="00047CB9">
      <w:pPr>
        <w:autoSpaceDE w:val="0"/>
        <w:autoSpaceDN w:val="0"/>
        <w:adjustRightInd w:val="0"/>
        <w:spacing w:after="0" w:line="240" w:lineRule="auto"/>
        <w:ind w:left="360"/>
        <w:jc w:val="both"/>
        <w:rPr>
          <w:rFonts w:eastAsia="Cambria" w:cs="Times New Roman"/>
        </w:rPr>
      </w:pPr>
    </w:p>
    <w:p w14:paraId="152A3BB2" w14:textId="3A1499E6" w:rsidR="00274788" w:rsidRDefault="00047CB9">
      <w:pPr>
        <w:autoSpaceDE w:val="0"/>
        <w:autoSpaceDN w:val="0"/>
        <w:adjustRightInd w:val="0"/>
        <w:spacing w:after="0" w:line="240" w:lineRule="auto"/>
        <w:ind w:left="360"/>
        <w:jc w:val="both"/>
        <w:rPr>
          <w:rFonts w:eastAsia="Cambria" w:cs="Times New Roman"/>
        </w:rPr>
      </w:pPr>
      <w:proofErr w:type="spellStart"/>
      <w:r w:rsidRPr="00047CB9">
        <w:rPr>
          <w:rFonts w:eastAsia="Cambria" w:cs="Times New Roman"/>
        </w:rPr>
        <w:t>Rangvid</w:t>
      </w:r>
      <w:proofErr w:type="spellEnd"/>
      <w:r w:rsidRPr="00047CB9">
        <w:rPr>
          <w:rFonts w:eastAsia="Cambria" w:cs="Times New Roman"/>
        </w:rPr>
        <w:t>, J</w:t>
      </w:r>
      <w:r>
        <w:rPr>
          <w:rFonts w:eastAsia="Cambria" w:cs="Times New Roman"/>
        </w:rPr>
        <w:t>.</w:t>
      </w:r>
      <w:r w:rsidRPr="00047CB9">
        <w:rPr>
          <w:rFonts w:eastAsia="Cambria" w:cs="Times New Roman"/>
        </w:rPr>
        <w:t>, P</w:t>
      </w:r>
      <w:r>
        <w:rPr>
          <w:rFonts w:eastAsia="Cambria" w:cs="Times New Roman"/>
        </w:rPr>
        <w:t>.</w:t>
      </w:r>
      <w:r w:rsidRPr="00047CB9">
        <w:rPr>
          <w:rFonts w:eastAsia="Cambria" w:cs="Times New Roman"/>
        </w:rPr>
        <w:t xml:space="preserve"> Santa-Clara, and M</w:t>
      </w:r>
      <w:r>
        <w:rPr>
          <w:rFonts w:eastAsia="Cambria" w:cs="Times New Roman"/>
        </w:rPr>
        <w:t>.</w:t>
      </w:r>
      <w:r w:rsidRPr="00047CB9">
        <w:rPr>
          <w:rFonts w:eastAsia="Cambria" w:cs="Times New Roman"/>
        </w:rPr>
        <w:t xml:space="preserve"> Schmeling, 2016, Capital market integration</w:t>
      </w:r>
      <w:r w:rsidR="00AA2D64">
        <w:rPr>
          <w:rFonts w:eastAsia="Cambria" w:cs="Times New Roman"/>
        </w:rPr>
        <w:t xml:space="preserve"> </w:t>
      </w:r>
      <w:r w:rsidRPr="00047CB9">
        <w:rPr>
          <w:rFonts w:eastAsia="Cambria" w:cs="Times New Roman"/>
        </w:rPr>
        <w:t xml:space="preserve">and consumption risk sharing over the long run, </w:t>
      </w:r>
      <w:r w:rsidRPr="00AA2D64">
        <w:rPr>
          <w:rFonts w:eastAsia="Cambria" w:cs="Times New Roman"/>
          <w:i/>
        </w:rPr>
        <w:t>Journal of International Economics</w:t>
      </w:r>
      <w:r w:rsidRPr="00047CB9">
        <w:rPr>
          <w:rFonts w:eastAsia="Cambria" w:cs="Times New Roman"/>
        </w:rPr>
        <w:t xml:space="preserve">, </w:t>
      </w:r>
      <w:r w:rsidR="00C87247">
        <w:rPr>
          <w:rFonts w:eastAsia="Cambria" w:cs="Times New Roman"/>
        </w:rPr>
        <w:t xml:space="preserve">103, </w:t>
      </w:r>
      <w:r w:rsidR="00C87247" w:rsidRPr="00C87247">
        <w:rPr>
          <w:rFonts w:eastAsia="Cambria" w:cs="Times New Roman"/>
        </w:rPr>
        <w:t>27–43</w:t>
      </w:r>
      <w:r w:rsidR="00C87247">
        <w:rPr>
          <w:rFonts w:eastAsia="Cambria" w:cs="Times New Roman"/>
        </w:rPr>
        <w:t>.</w:t>
      </w:r>
    </w:p>
    <w:p w14:paraId="776F51F2" w14:textId="77777777" w:rsidR="00982A99" w:rsidRDefault="00982A99">
      <w:pPr>
        <w:autoSpaceDE w:val="0"/>
        <w:autoSpaceDN w:val="0"/>
        <w:adjustRightInd w:val="0"/>
        <w:spacing w:after="0" w:line="240" w:lineRule="auto"/>
        <w:ind w:left="360"/>
        <w:jc w:val="both"/>
        <w:rPr>
          <w:rFonts w:eastAsia="Cambria" w:cs="Times New Roman"/>
        </w:rPr>
      </w:pPr>
    </w:p>
    <w:p w14:paraId="1040D271" w14:textId="2B33A5E0" w:rsidR="00274788" w:rsidRDefault="00274788">
      <w:pPr>
        <w:autoSpaceDE w:val="0"/>
        <w:autoSpaceDN w:val="0"/>
        <w:adjustRightInd w:val="0"/>
        <w:spacing w:after="0" w:line="240" w:lineRule="auto"/>
        <w:ind w:left="360"/>
        <w:jc w:val="both"/>
        <w:rPr>
          <w:rFonts w:eastAsia="Cambria" w:cs="Times New Roman"/>
        </w:rPr>
      </w:pPr>
      <w:r w:rsidRPr="00274788">
        <w:rPr>
          <w:rFonts w:eastAsia="Cambria" w:cs="Times New Roman"/>
        </w:rPr>
        <w:t xml:space="preserve">Roll, R., 2013, Volatility, Correlation, and Diversification in a Multi-Factor World, </w:t>
      </w:r>
      <w:r w:rsidRPr="00AF46D0">
        <w:rPr>
          <w:rFonts w:eastAsia="Cambria" w:cs="Times New Roman"/>
          <w:i/>
          <w:iCs/>
        </w:rPr>
        <w:t>Journal of Portfolio Management,</w:t>
      </w:r>
      <w:r w:rsidRPr="00274788">
        <w:rPr>
          <w:rFonts w:eastAsia="Cambria" w:cs="Times New Roman"/>
        </w:rPr>
        <w:t xml:space="preserve"> 38, 2, 11-18.</w:t>
      </w:r>
    </w:p>
    <w:p w14:paraId="222D2525" w14:textId="77777777" w:rsidR="00AF46D0" w:rsidRPr="00274788" w:rsidRDefault="00AF46D0">
      <w:pPr>
        <w:autoSpaceDE w:val="0"/>
        <w:autoSpaceDN w:val="0"/>
        <w:adjustRightInd w:val="0"/>
        <w:spacing w:after="0" w:line="240" w:lineRule="auto"/>
        <w:ind w:left="360"/>
        <w:jc w:val="both"/>
        <w:rPr>
          <w:rFonts w:eastAsia="Cambria" w:cs="Times New Roman"/>
        </w:rPr>
      </w:pPr>
    </w:p>
    <w:p w14:paraId="521EDC1B" w14:textId="6C38116B" w:rsidR="00B476F8" w:rsidRDefault="002F3369" w:rsidP="00513BD1">
      <w:pPr>
        <w:ind w:left="360"/>
        <w:jc w:val="both"/>
        <w:rPr>
          <w:rFonts w:eastAsia="Cambria" w:cs="Times New Roman"/>
        </w:rPr>
      </w:pPr>
      <w:proofErr w:type="spellStart"/>
      <w:r w:rsidRPr="002F3369">
        <w:rPr>
          <w:rFonts w:eastAsia="Cambria" w:cs="Times New Roman"/>
        </w:rPr>
        <w:t>Schotman</w:t>
      </w:r>
      <w:proofErr w:type="spellEnd"/>
      <w:r w:rsidRPr="002F3369">
        <w:rPr>
          <w:rFonts w:eastAsia="Cambria" w:cs="Times New Roman"/>
        </w:rPr>
        <w:t xml:space="preserve">, P., and </w:t>
      </w:r>
      <w:proofErr w:type="spellStart"/>
      <w:r w:rsidRPr="002F3369">
        <w:rPr>
          <w:rFonts w:eastAsia="Cambria" w:cs="Times New Roman"/>
        </w:rPr>
        <w:t>Zalewska</w:t>
      </w:r>
      <w:proofErr w:type="spellEnd"/>
      <w:r w:rsidRPr="002F3369">
        <w:rPr>
          <w:rFonts w:eastAsia="Cambria" w:cs="Times New Roman"/>
        </w:rPr>
        <w:t xml:space="preserve">, A., 2006, Non-synchronous trading and testing for market integration in Central European emerging markets, </w:t>
      </w:r>
      <w:r w:rsidRPr="00317F96">
        <w:rPr>
          <w:rFonts w:eastAsia="Cambria" w:cs="Times New Roman"/>
          <w:i/>
          <w:iCs/>
        </w:rPr>
        <w:t>Journal of Empirical Finance</w:t>
      </w:r>
      <w:r w:rsidRPr="002F3369">
        <w:rPr>
          <w:rFonts w:eastAsia="Cambria" w:cs="Times New Roman"/>
        </w:rPr>
        <w:t xml:space="preserve"> 13, 462-494.</w:t>
      </w:r>
    </w:p>
    <w:p w14:paraId="3E012F68" w14:textId="1FE20DA2" w:rsidR="001B42B2" w:rsidRDefault="001B42B2" w:rsidP="001B42B2">
      <w:pPr>
        <w:ind w:left="360"/>
        <w:jc w:val="both"/>
        <w:rPr>
          <w:rFonts w:eastAsia="Cambria" w:cs="Times New Roman"/>
        </w:rPr>
      </w:pPr>
      <w:bookmarkStart w:id="1" w:name="_Hlk518663300"/>
      <w:proofErr w:type="spellStart"/>
      <w:r w:rsidRPr="001B42B2">
        <w:rPr>
          <w:rFonts w:eastAsia="Cambria" w:cs="Times New Roman"/>
        </w:rPr>
        <w:t>Solnik</w:t>
      </w:r>
      <w:proofErr w:type="spellEnd"/>
      <w:r w:rsidRPr="001B42B2">
        <w:rPr>
          <w:rFonts w:eastAsia="Cambria" w:cs="Times New Roman"/>
        </w:rPr>
        <w:t xml:space="preserve">, </w:t>
      </w:r>
      <w:r>
        <w:rPr>
          <w:rFonts w:eastAsia="Cambria" w:cs="Times New Roman"/>
        </w:rPr>
        <w:t xml:space="preserve">B., </w:t>
      </w:r>
      <w:r w:rsidRPr="001B42B2">
        <w:rPr>
          <w:rFonts w:eastAsia="Cambria" w:cs="Times New Roman"/>
        </w:rPr>
        <w:t xml:space="preserve">C </w:t>
      </w:r>
      <w:proofErr w:type="spellStart"/>
      <w:r w:rsidRPr="001B42B2">
        <w:rPr>
          <w:rFonts w:eastAsia="Cambria" w:cs="Times New Roman"/>
        </w:rPr>
        <w:t>Boucrelle</w:t>
      </w:r>
      <w:proofErr w:type="spellEnd"/>
      <w:r w:rsidRPr="001B42B2">
        <w:rPr>
          <w:rFonts w:eastAsia="Cambria" w:cs="Times New Roman"/>
        </w:rPr>
        <w:t>, Y Le Fur</w:t>
      </w:r>
      <w:bookmarkEnd w:id="1"/>
      <w:r>
        <w:rPr>
          <w:rFonts w:eastAsia="Cambria" w:cs="Times New Roman"/>
        </w:rPr>
        <w:t xml:space="preserve">, 1996, </w:t>
      </w:r>
      <w:r w:rsidRPr="001B42B2">
        <w:rPr>
          <w:rFonts w:eastAsia="Cambria" w:cs="Times New Roman"/>
        </w:rPr>
        <w:t>International market correlation and volatility</w:t>
      </w:r>
      <w:r>
        <w:rPr>
          <w:rFonts w:eastAsia="Cambria" w:cs="Times New Roman"/>
        </w:rPr>
        <w:t xml:space="preserve">, </w:t>
      </w:r>
      <w:r w:rsidRPr="001708C1">
        <w:rPr>
          <w:rFonts w:eastAsia="Cambria" w:cs="Times New Roman"/>
          <w:i/>
        </w:rPr>
        <w:t>Financial Analysts Journal</w:t>
      </w:r>
      <w:r>
        <w:rPr>
          <w:rFonts w:eastAsia="Cambria" w:cs="Times New Roman"/>
        </w:rPr>
        <w:t xml:space="preserve"> 52, </w:t>
      </w:r>
      <w:r w:rsidRPr="001B42B2">
        <w:rPr>
          <w:rFonts w:eastAsia="Cambria" w:cs="Times New Roman"/>
        </w:rPr>
        <w:t>17-34</w:t>
      </w:r>
      <w:r>
        <w:rPr>
          <w:rFonts w:eastAsia="Cambria" w:cs="Times New Roman"/>
        </w:rPr>
        <w:t>.</w:t>
      </w:r>
    </w:p>
    <w:p w14:paraId="65D75D54" w14:textId="6AF5B074" w:rsidR="000464B9" w:rsidRDefault="00AA2D64" w:rsidP="00B20739">
      <w:pPr>
        <w:spacing w:after="0" w:line="240" w:lineRule="auto"/>
        <w:ind w:left="357"/>
        <w:jc w:val="both"/>
        <w:rPr>
          <w:rFonts w:eastAsia="Cambria" w:cs="Times New Roman"/>
        </w:rPr>
      </w:pPr>
      <w:proofErr w:type="spellStart"/>
      <w:r>
        <w:rPr>
          <w:rFonts w:eastAsia="Cambria" w:cs="Times New Roman"/>
        </w:rPr>
        <w:lastRenderedPageBreak/>
        <w:t>Stulz</w:t>
      </w:r>
      <w:proofErr w:type="spellEnd"/>
      <w:r>
        <w:rPr>
          <w:rFonts w:eastAsia="Cambria" w:cs="Times New Roman"/>
        </w:rPr>
        <w:t xml:space="preserve">, R. </w:t>
      </w:r>
      <w:r w:rsidR="000464B9" w:rsidRPr="000464B9">
        <w:rPr>
          <w:rFonts w:eastAsia="Cambria" w:cs="Times New Roman"/>
        </w:rPr>
        <w:t>1981</w:t>
      </w:r>
      <w:r>
        <w:rPr>
          <w:rFonts w:eastAsia="Cambria" w:cs="Times New Roman"/>
        </w:rPr>
        <w:t>,</w:t>
      </w:r>
      <w:r w:rsidR="000464B9" w:rsidRPr="000464B9">
        <w:rPr>
          <w:rFonts w:eastAsia="Cambria" w:cs="Times New Roman"/>
        </w:rPr>
        <w:t xml:space="preserve"> On the effects of barriers to international investment, </w:t>
      </w:r>
      <w:r w:rsidR="000464B9" w:rsidRPr="00B20739">
        <w:rPr>
          <w:rFonts w:eastAsia="Cambria" w:cs="Times New Roman"/>
          <w:i/>
        </w:rPr>
        <w:t>Journal of Finance</w:t>
      </w:r>
      <w:r w:rsidR="000464B9" w:rsidRPr="000464B9">
        <w:rPr>
          <w:rFonts w:eastAsia="Cambria" w:cs="Times New Roman"/>
        </w:rPr>
        <w:t xml:space="preserve"> 36,</w:t>
      </w:r>
      <w:r w:rsidR="000464B9">
        <w:rPr>
          <w:rFonts w:eastAsia="Cambria" w:cs="Times New Roman"/>
        </w:rPr>
        <w:t xml:space="preserve"> </w:t>
      </w:r>
      <w:r w:rsidR="000464B9" w:rsidRPr="000464B9">
        <w:rPr>
          <w:rFonts w:eastAsia="Cambria" w:cs="Times New Roman"/>
        </w:rPr>
        <w:t>923–934.</w:t>
      </w:r>
    </w:p>
    <w:p w14:paraId="4372C8CC" w14:textId="77777777" w:rsidR="000464B9" w:rsidRDefault="000464B9" w:rsidP="00B20739">
      <w:pPr>
        <w:spacing w:after="0" w:line="240" w:lineRule="auto"/>
        <w:ind w:left="357"/>
        <w:rPr>
          <w:rFonts w:eastAsia="Cambria" w:cs="Times New Roman"/>
        </w:rPr>
      </w:pPr>
    </w:p>
    <w:p w14:paraId="5FB989B5" w14:textId="04EEC91C" w:rsidR="00DF3357" w:rsidRPr="00DF3357" w:rsidRDefault="00DF3357" w:rsidP="00513BD1">
      <w:pPr>
        <w:ind w:left="360"/>
        <w:jc w:val="both"/>
        <w:rPr>
          <w:rFonts w:eastAsia="Cambria" w:cs="Times New Roman"/>
        </w:rPr>
      </w:pPr>
      <w:r w:rsidRPr="00DF3357">
        <w:rPr>
          <w:rFonts w:eastAsia="Cambria" w:cs="Times New Roman"/>
        </w:rPr>
        <w:t xml:space="preserve">You, L., and </w:t>
      </w:r>
      <w:proofErr w:type="spellStart"/>
      <w:r w:rsidRPr="00DF3357">
        <w:rPr>
          <w:rFonts w:eastAsia="Cambria" w:cs="Times New Roman"/>
        </w:rPr>
        <w:t>Daigler</w:t>
      </w:r>
      <w:proofErr w:type="spellEnd"/>
      <w:r w:rsidRPr="00DF3357">
        <w:rPr>
          <w:rFonts w:eastAsia="Cambria" w:cs="Times New Roman"/>
        </w:rPr>
        <w:t xml:space="preserve">, R. T., 2010, Is international Diversification </w:t>
      </w:r>
      <w:proofErr w:type="gramStart"/>
      <w:r w:rsidRPr="00DF3357">
        <w:rPr>
          <w:rFonts w:eastAsia="Cambria" w:cs="Times New Roman"/>
        </w:rPr>
        <w:t>really Beneficial</w:t>
      </w:r>
      <w:proofErr w:type="gramEnd"/>
      <w:r w:rsidRPr="00DF3357">
        <w:rPr>
          <w:rFonts w:eastAsia="Cambria" w:cs="Times New Roman"/>
        </w:rPr>
        <w:t xml:space="preserve">? </w:t>
      </w:r>
      <w:r w:rsidRPr="00B20739">
        <w:rPr>
          <w:rFonts w:eastAsia="Cambria" w:cs="Times New Roman"/>
          <w:i/>
        </w:rPr>
        <w:t>Journal of Banking and Finance</w:t>
      </w:r>
      <w:r w:rsidRPr="00DF3357">
        <w:rPr>
          <w:rFonts w:eastAsia="Cambria" w:cs="Times New Roman"/>
        </w:rPr>
        <w:t>, 34, 163-173.</w:t>
      </w:r>
    </w:p>
    <w:p w14:paraId="4A922E95" w14:textId="77777777" w:rsidR="00ED02A4" w:rsidRPr="00D14720" w:rsidRDefault="00FD4A57" w:rsidP="00ED02A4">
      <w:pPr>
        <w:jc w:val="center"/>
        <w:rPr>
          <w:b/>
          <w:bCs/>
          <w:sz w:val="24"/>
          <w:szCs w:val="24"/>
        </w:rPr>
      </w:pPr>
      <w:r>
        <w:rPr>
          <w:b/>
          <w:bCs/>
          <w:sz w:val="24"/>
          <w:szCs w:val="24"/>
        </w:rPr>
        <w:br w:type="page"/>
      </w:r>
      <w:r w:rsidR="00ED02A4" w:rsidRPr="00D14720">
        <w:rPr>
          <w:b/>
          <w:bCs/>
          <w:sz w:val="24"/>
          <w:szCs w:val="24"/>
        </w:rPr>
        <w:lastRenderedPageBreak/>
        <w:t>Figure 1</w:t>
      </w:r>
    </w:p>
    <w:p w14:paraId="6511D954" w14:textId="77777777" w:rsidR="00ED02A4" w:rsidRPr="00D14720" w:rsidRDefault="00ED02A4" w:rsidP="00ED02A4">
      <w:pPr>
        <w:jc w:val="center"/>
        <w:rPr>
          <w:b/>
          <w:bCs/>
          <w:sz w:val="24"/>
          <w:szCs w:val="24"/>
        </w:rPr>
      </w:pPr>
      <w:r w:rsidRPr="00D14720">
        <w:rPr>
          <w:b/>
          <w:bCs/>
          <w:sz w:val="24"/>
          <w:szCs w:val="24"/>
        </w:rPr>
        <w:t>Trends in Global Diversification Indexes by Asset Class</w:t>
      </w:r>
    </w:p>
    <w:p w14:paraId="78CB4520" w14:textId="77777777" w:rsidR="00ED02A4" w:rsidRPr="00D14720" w:rsidRDefault="00ED02A4" w:rsidP="00ED02A4">
      <w:pPr>
        <w:jc w:val="center"/>
        <w:rPr>
          <w:sz w:val="32"/>
          <w:szCs w:val="32"/>
        </w:rPr>
      </w:pPr>
      <w:r w:rsidRPr="00D14720">
        <w:rPr>
          <w:noProof/>
          <w:lang w:val="en-US"/>
        </w:rPr>
        <w:drawing>
          <wp:inline distT="0" distB="0" distL="0" distR="0" wp14:anchorId="454EEF12" wp14:editId="00365198">
            <wp:extent cx="5400000" cy="1800000"/>
            <wp:effectExtent l="0" t="0" r="10795"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927E61F" w14:textId="77777777" w:rsidR="00ED02A4" w:rsidRPr="00D14720" w:rsidRDefault="00ED02A4" w:rsidP="00ED02A4">
      <w:pPr>
        <w:jc w:val="center"/>
        <w:rPr>
          <w:sz w:val="32"/>
          <w:szCs w:val="32"/>
        </w:rPr>
      </w:pPr>
      <w:r w:rsidRPr="00D14720">
        <w:rPr>
          <w:noProof/>
          <w:lang w:val="en-US"/>
        </w:rPr>
        <w:drawing>
          <wp:inline distT="0" distB="0" distL="0" distR="0" wp14:anchorId="3EE4F5B5" wp14:editId="70B2F127">
            <wp:extent cx="5400000" cy="1800000"/>
            <wp:effectExtent l="0" t="0" r="10795"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AB3F2B9" w14:textId="77777777" w:rsidR="00ED02A4" w:rsidRPr="00D14720" w:rsidRDefault="00ED02A4" w:rsidP="00ED02A4">
      <w:pPr>
        <w:jc w:val="center"/>
        <w:rPr>
          <w:sz w:val="32"/>
          <w:szCs w:val="32"/>
        </w:rPr>
      </w:pPr>
      <w:r w:rsidRPr="00D14720">
        <w:rPr>
          <w:noProof/>
          <w:lang w:val="en-US"/>
        </w:rPr>
        <w:drawing>
          <wp:inline distT="0" distB="0" distL="0" distR="0" wp14:anchorId="1BDA4993" wp14:editId="20454F2A">
            <wp:extent cx="5400000" cy="1800000"/>
            <wp:effectExtent l="0" t="0" r="1079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4739DA3" w14:textId="77777777" w:rsidR="00ED02A4" w:rsidRPr="00D14720" w:rsidRDefault="00ED02A4" w:rsidP="00ED02A4">
      <w:pPr>
        <w:spacing w:line="240" w:lineRule="auto"/>
        <w:jc w:val="both"/>
      </w:pPr>
      <w:r w:rsidRPr="00D14720">
        <w:t>Notes: This figure shows the average diversification indexes for each asset class between 1986 and 2012.  There is a time-series plot of the diversification indexes and a fitted linear trend line.  The diversification index is 100 minus the average R-square (in percent) from a multi-factor returns model</w:t>
      </w:r>
      <w:r w:rsidRPr="00D14720">
        <w:rPr>
          <w:u w:val="single"/>
        </w:rPr>
        <w:t xml:space="preserve"> </w:t>
      </w:r>
      <w:r w:rsidRPr="00D14720">
        <w:t xml:space="preserve">fitted using daily data during every calendar year, 1986-2012.  The dependent variable in each regression is a country-specific return on an asset class and the explanatory variables are global factors. The global factors are 16 principal components obtained from the pre-1986 markets.  Countries and asset classes in separate regression are for equities: Australia, Austria, Belgium, Canada, Denmark, France, Germany, Hong Kong, Ireland, Italy, Japan, Netherlands, Singapore, South Africa, Switzerland, UK, US, Brazil, Malaysia, Norway, South Korea, Spain, Sweden; for bond: Austria, Belgium, Canada, Denmark, France, Germany, Ireland, Japan, Netherlands, Sweden, Switzerland, UK, US, and for REITs: Australia, Netherlands, UK, and US). To be included, a country/asset class must have at least 50 valid daily returns during the year.  </w:t>
      </w:r>
    </w:p>
    <w:p w14:paraId="42736EC6" w14:textId="77777777" w:rsidR="00ED02A4" w:rsidRPr="00D14720" w:rsidRDefault="00ED02A4" w:rsidP="00ED02A4">
      <w:pPr>
        <w:jc w:val="center"/>
        <w:rPr>
          <w:b/>
          <w:bCs/>
          <w:sz w:val="24"/>
          <w:szCs w:val="24"/>
        </w:rPr>
      </w:pPr>
      <w:r w:rsidRPr="00D14720">
        <w:rPr>
          <w:b/>
          <w:bCs/>
          <w:sz w:val="24"/>
          <w:szCs w:val="24"/>
        </w:rPr>
        <w:br w:type="page"/>
      </w:r>
      <w:r w:rsidRPr="00D14720">
        <w:rPr>
          <w:b/>
          <w:bCs/>
          <w:sz w:val="24"/>
          <w:szCs w:val="24"/>
        </w:rPr>
        <w:lastRenderedPageBreak/>
        <w:t>Figure 2</w:t>
      </w:r>
    </w:p>
    <w:p w14:paraId="616D85BC" w14:textId="77777777" w:rsidR="00ED02A4" w:rsidRPr="00D14720" w:rsidRDefault="00ED02A4" w:rsidP="00ED02A4">
      <w:pPr>
        <w:jc w:val="center"/>
        <w:rPr>
          <w:b/>
          <w:bCs/>
          <w:sz w:val="24"/>
          <w:szCs w:val="24"/>
        </w:rPr>
      </w:pPr>
      <w:r w:rsidRPr="00D14720">
        <w:rPr>
          <w:b/>
          <w:bCs/>
          <w:sz w:val="24"/>
          <w:szCs w:val="24"/>
        </w:rPr>
        <w:t>Trend in World Diversification Index (average of 3 asset classes)</w:t>
      </w:r>
    </w:p>
    <w:p w14:paraId="41B0550A" w14:textId="77777777" w:rsidR="00ED02A4" w:rsidRPr="00D14720" w:rsidRDefault="00ED02A4" w:rsidP="00ED02A4">
      <w:pPr>
        <w:jc w:val="center"/>
        <w:rPr>
          <w:b/>
          <w:bCs/>
          <w:sz w:val="24"/>
          <w:szCs w:val="24"/>
        </w:rPr>
      </w:pPr>
      <w:r w:rsidRPr="00D14720">
        <w:rPr>
          <w:noProof/>
          <w:lang w:val="en-US"/>
        </w:rPr>
        <w:drawing>
          <wp:inline distT="0" distB="0" distL="0" distR="0" wp14:anchorId="1DFAD208" wp14:editId="3A58333B">
            <wp:extent cx="5400000" cy="1800000"/>
            <wp:effectExtent l="0" t="0" r="1079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4BB2F03" w14:textId="77777777" w:rsidR="00ED02A4" w:rsidRPr="00D14720" w:rsidRDefault="00ED02A4" w:rsidP="00ED02A4">
      <w:pPr>
        <w:spacing w:line="240" w:lineRule="auto"/>
        <w:jc w:val="both"/>
        <w:rPr>
          <w:sz w:val="24"/>
          <w:szCs w:val="24"/>
        </w:rPr>
      </w:pPr>
      <w:r w:rsidRPr="00D14720">
        <w:rPr>
          <w:sz w:val="24"/>
          <w:szCs w:val="24"/>
        </w:rPr>
        <w:t xml:space="preserve">Notes: This figure shows a time series plot of the average diversification index for three asset classes, equities, bonds and REITS along with a fitted linear trend line.  </w:t>
      </w:r>
      <w:r w:rsidRPr="00D14720">
        <w:t>The diversification index is 100 minus the average R-square (in percent) from a multi-factor returns model</w:t>
      </w:r>
      <w:r w:rsidRPr="00D14720">
        <w:rPr>
          <w:u w:val="single"/>
        </w:rPr>
        <w:t xml:space="preserve"> </w:t>
      </w:r>
      <w:r w:rsidRPr="00D14720">
        <w:t xml:space="preserve">fitted using daily data during every calendar year, 1986-2012.  The dependent variable in each regression is a country-specific return on an asset class and the explanatory variables are global factors. The global factors are 16 principal components obtained from the pre-1986 markets.  Countries and asset classes in separate regression are for equities: Australia, Austria, Belgium, Canada, Denmark, France, Germany, Hong Kong, Ireland, Italy, Japan, Netherlands, Singapore, South Africa, Switzerland, UK, US, Brazil, Malaysia, Norway, South Korea, Spain, Sweden; for bond: Austria, Belgium, Canada, Denmark, France, Germany, Ireland, Japan, Netherlands, Sweden, Switzerland, UK, US, and for REITs: Australia, Netherlands, UK, and US). To be included, a country/asset class must have at least 50 valid daily returns during the year.  </w:t>
      </w:r>
      <w:r w:rsidRPr="00D14720">
        <w:rPr>
          <w:sz w:val="24"/>
          <w:szCs w:val="24"/>
        </w:rPr>
        <w:br w:type="page"/>
      </w:r>
    </w:p>
    <w:p w14:paraId="3C07396B" w14:textId="77777777" w:rsidR="00ED02A4" w:rsidRPr="00D14720" w:rsidRDefault="00ED02A4" w:rsidP="00ED02A4">
      <w:pPr>
        <w:jc w:val="center"/>
        <w:rPr>
          <w:b/>
          <w:bCs/>
          <w:sz w:val="24"/>
          <w:szCs w:val="24"/>
        </w:rPr>
      </w:pPr>
      <w:r w:rsidRPr="00D14720">
        <w:rPr>
          <w:b/>
          <w:bCs/>
          <w:sz w:val="24"/>
          <w:szCs w:val="24"/>
        </w:rPr>
        <w:lastRenderedPageBreak/>
        <w:t>Figure 3</w:t>
      </w:r>
    </w:p>
    <w:p w14:paraId="7C32819A" w14:textId="77777777" w:rsidR="00ED02A4" w:rsidRPr="00D14720" w:rsidRDefault="00ED02A4" w:rsidP="00ED02A4">
      <w:pPr>
        <w:jc w:val="center"/>
        <w:rPr>
          <w:b/>
          <w:bCs/>
          <w:sz w:val="24"/>
          <w:szCs w:val="24"/>
        </w:rPr>
      </w:pPr>
      <w:r w:rsidRPr="00D14720">
        <w:rPr>
          <w:b/>
          <w:bCs/>
          <w:sz w:val="24"/>
          <w:szCs w:val="24"/>
        </w:rPr>
        <w:t>Trends in Global Diversification Indexes by Asset Class and Cohort</w:t>
      </w:r>
    </w:p>
    <w:p w14:paraId="38A2F8F1" w14:textId="77777777" w:rsidR="00ED02A4" w:rsidRPr="00D14720" w:rsidRDefault="00ED02A4" w:rsidP="00ED02A4">
      <w:pPr>
        <w:jc w:val="center"/>
        <w:rPr>
          <w:sz w:val="24"/>
          <w:szCs w:val="24"/>
        </w:rPr>
      </w:pPr>
      <w:r w:rsidRPr="00D14720">
        <w:rPr>
          <w:noProof/>
          <w:lang w:val="en-US"/>
        </w:rPr>
        <w:drawing>
          <wp:inline distT="0" distB="0" distL="0" distR="0" wp14:anchorId="64B22C5B" wp14:editId="225C9BAB">
            <wp:extent cx="5400000" cy="1800000"/>
            <wp:effectExtent l="0" t="0" r="10795"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F35031A" w14:textId="77777777" w:rsidR="00ED02A4" w:rsidRPr="00D14720" w:rsidRDefault="00ED02A4" w:rsidP="00ED02A4">
      <w:pPr>
        <w:jc w:val="center"/>
        <w:rPr>
          <w:sz w:val="24"/>
          <w:szCs w:val="24"/>
        </w:rPr>
      </w:pPr>
      <w:r w:rsidRPr="00D14720">
        <w:rPr>
          <w:noProof/>
          <w:lang w:val="en-US"/>
        </w:rPr>
        <w:drawing>
          <wp:inline distT="0" distB="0" distL="0" distR="0" wp14:anchorId="55CCA538" wp14:editId="26EB34BB">
            <wp:extent cx="5400000" cy="1800000"/>
            <wp:effectExtent l="0" t="0" r="10795"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FC4D636" w14:textId="77777777" w:rsidR="00ED02A4" w:rsidRPr="00D14720" w:rsidRDefault="00ED02A4" w:rsidP="00ED02A4">
      <w:pPr>
        <w:jc w:val="center"/>
        <w:rPr>
          <w:sz w:val="24"/>
          <w:szCs w:val="24"/>
        </w:rPr>
      </w:pPr>
      <w:r w:rsidRPr="00D14720">
        <w:rPr>
          <w:noProof/>
          <w:lang w:val="en-US"/>
        </w:rPr>
        <w:drawing>
          <wp:inline distT="0" distB="0" distL="0" distR="0" wp14:anchorId="2852A62D" wp14:editId="05BDE7B0">
            <wp:extent cx="5400000" cy="1800000"/>
            <wp:effectExtent l="0" t="0" r="10795"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D5AA053" w14:textId="77777777" w:rsidR="00ED02A4" w:rsidRPr="00D14720" w:rsidRDefault="00ED02A4" w:rsidP="00ED02A4">
      <w:pPr>
        <w:spacing w:line="240" w:lineRule="auto"/>
        <w:jc w:val="both"/>
      </w:pPr>
      <w:r w:rsidRPr="00D14720">
        <w:t>Notes: This figure shows the average diversification indexes for each asset class between 1986 and 2012 broken out by cohort years.  The diversification index is 100 minus the average R-square (in percent) from a multi-factor returns model</w:t>
      </w:r>
      <w:r w:rsidRPr="00D14720">
        <w:rPr>
          <w:u w:val="single"/>
        </w:rPr>
        <w:t xml:space="preserve"> </w:t>
      </w:r>
      <w:r w:rsidRPr="00D14720">
        <w:t xml:space="preserve">fitted using daily data during every calendar year, 1986-2012.  on the dependent variable in each regression is a country-specific return on an asset class and the explanatory variables are global factors. The global factors are 16 principal components obtained from the pre-1986 markets.  Countries and asset classes in separate regression are for equities: Australia, Austria, Belgium, Canada, Denmark, France, Germany, Hong Kong, Ireland, Italy, Japan, Netherlands, Singapore, South Africa, Switzerland, UK, US, Brazil, Malaysia, Norway, South Korea, Spain, Sweden; for bond: Austria, Belgium, Canada, Denmark, France, Germany, Ireland, Japan, Netherlands, Sweden, Switzerland, UK, US, and for REITs: Australia, Netherlands, UK, and US). To be included, a country/asset class must have at least 50 valid daily returns during the year.  Cohorts for equities are pre-1974, 1974-1983, 1984-1993 and post-1993; for bonds they are: pre-1986, 1986-1999 and post-1999; and for REITs they are pre-2000 and post-2000.  </w:t>
      </w:r>
    </w:p>
    <w:p w14:paraId="68C5474C" w14:textId="77777777" w:rsidR="00ED02A4" w:rsidRPr="00D14720" w:rsidRDefault="00ED02A4" w:rsidP="00ED02A4">
      <w:pPr>
        <w:jc w:val="center"/>
        <w:rPr>
          <w:b/>
          <w:bCs/>
          <w:sz w:val="24"/>
          <w:szCs w:val="24"/>
        </w:rPr>
      </w:pPr>
      <w:r w:rsidRPr="00D14720">
        <w:rPr>
          <w:b/>
          <w:bCs/>
          <w:sz w:val="24"/>
          <w:szCs w:val="24"/>
        </w:rPr>
        <w:br w:type="page"/>
      </w:r>
      <w:r w:rsidRPr="00D14720">
        <w:rPr>
          <w:b/>
          <w:bCs/>
          <w:sz w:val="24"/>
          <w:szCs w:val="24"/>
        </w:rPr>
        <w:lastRenderedPageBreak/>
        <w:t>Figure 4</w:t>
      </w:r>
    </w:p>
    <w:p w14:paraId="734D22D2" w14:textId="77777777" w:rsidR="00ED02A4" w:rsidRPr="00D14720" w:rsidRDefault="00ED02A4" w:rsidP="00ED02A4">
      <w:pPr>
        <w:jc w:val="center"/>
        <w:rPr>
          <w:b/>
          <w:bCs/>
          <w:sz w:val="24"/>
          <w:szCs w:val="24"/>
        </w:rPr>
      </w:pPr>
      <w:r w:rsidRPr="00D14720">
        <w:rPr>
          <w:b/>
          <w:bCs/>
          <w:sz w:val="24"/>
          <w:szCs w:val="24"/>
        </w:rPr>
        <w:t>Trends in Global Diversification and Risk by Asset Class</w:t>
      </w:r>
    </w:p>
    <w:p w14:paraId="713DC7EC" w14:textId="77777777" w:rsidR="00ED02A4" w:rsidRPr="00D14720" w:rsidRDefault="00ED02A4" w:rsidP="00ED02A4">
      <w:pPr>
        <w:jc w:val="center"/>
        <w:rPr>
          <w:b/>
          <w:bCs/>
          <w:sz w:val="24"/>
          <w:szCs w:val="24"/>
        </w:rPr>
      </w:pPr>
      <w:r w:rsidRPr="00D14720">
        <w:rPr>
          <w:noProof/>
          <w:lang w:val="en-US"/>
        </w:rPr>
        <w:drawing>
          <wp:inline distT="0" distB="0" distL="0" distR="0" wp14:anchorId="616E0E85" wp14:editId="562FFE60">
            <wp:extent cx="5400000" cy="1800000"/>
            <wp:effectExtent l="0" t="0" r="10795"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2BAFAE" w14:textId="77777777" w:rsidR="00ED02A4" w:rsidRPr="00D14720" w:rsidRDefault="00ED02A4" w:rsidP="00ED02A4">
      <w:pPr>
        <w:jc w:val="center"/>
        <w:rPr>
          <w:b/>
          <w:bCs/>
          <w:sz w:val="24"/>
          <w:szCs w:val="24"/>
        </w:rPr>
      </w:pPr>
      <w:r w:rsidRPr="00D14720">
        <w:rPr>
          <w:noProof/>
          <w:lang w:val="en-US"/>
        </w:rPr>
        <w:drawing>
          <wp:inline distT="0" distB="0" distL="0" distR="0" wp14:anchorId="0A3E7E99" wp14:editId="1A8B5F45">
            <wp:extent cx="5400000" cy="1800000"/>
            <wp:effectExtent l="0" t="0" r="10795"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8FF854C" w14:textId="77777777" w:rsidR="00ED02A4" w:rsidRPr="00D14720" w:rsidRDefault="00ED02A4" w:rsidP="00ED02A4">
      <w:pPr>
        <w:jc w:val="center"/>
        <w:rPr>
          <w:b/>
          <w:bCs/>
          <w:sz w:val="24"/>
          <w:szCs w:val="24"/>
        </w:rPr>
      </w:pPr>
      <w:r w:rsidRPr="00D14720">
        <w:rPr>
          <w:noProof/>
          <w:lang w:val="en-US"/>
        </w:rPr>
        <w:drawing>
          <wp:inline distT="0" distB="0" distL="0" distR="0" wp14:anchorId="6FD28991" wp14:editId="7AF48605">
            <wp:extent cx="5400000" cy="1800000"/>
            <wp:effectExtent l="0" t="0" r="10795" b="101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DA97B57" w14:textId="77777777" w:rsidR="00ED02A4" w:rsidRPr="00D14720" w:rsidRDefault="00ED02A4" w:rsidP="00ED02A4">
      <w:pPr>
        <w:spacing w:line="240" w:lineRule="auto"/>
        <w:jc w:val="both"/>
        <w:rPr>
          <w:b/>
          <w:bCs/>
          <w:sz w:val="24"/>
          <w:szCs w:val="24"/>
        </w:rPr>
      </w:pPr>
      <w:r w:rsidRPr="00D14720">
        <w:t>Notes: This figure shows the average diversification indexes for each asset class and associated annual standard deviation of returns.  The diversification index is 100 minus the average R-square (in percent) from a multi-factor returns model</w:t>
      </w:r>
      <w:r w:rsidRPr="00D14720">
        <w:rPr>
          <w:u w:val="single"/>
        </w:rPr>
        <w:t xml:space="preserve"> </w:t>
      </w:r>
      <w:r w:rsidRPr="00D14720">
        <w:t>fitted using daily data during every calendar year, 1986-2012.  The dependent variable in each regression is a country-specific return on an asset class and the explanatory variables are global factors. The global factors are 16 principal components obtained from the pre-1986 markets.  Countries and asset classes in separate regression are for equities: Australia, Austria, Belgium, Canada, Denmark, France, Germany, Hong Kong, Ireland, Italy, Japan, Netherlands, Singapore, South Africa, Switzerland, UK, US, Brazil, Malaysia, Norway, South Korea, Spain, Sweden; for bond: Austria, Belgium, Canada, Denmark, France, Germany, Ireland, Japan, Netherlands, Sweden, Switzerland, UK, US, and for REITs: Australia, Netherlands, UK, and US). To be included, a country/asset class must have at least 50 valid daily returns during the year.</w:t>
      </w:r>
    </w:p>
    <w:p w14:paraId="19EDA46E" w14:textId="77777777" w:rsidR="00ED02A4" w:rsidRPr="00D14720" w:rsidRDefault="00ED02A4" w:rsidP="00ED02A4">
      <w:pPr>
        <w:rPr>
          <w:b/>
          <w:bCs/>
          <w:sz w:val="24"/>
          <w:szCs w:val="24"/>
        </w:rPr>
      </w:pPr>
      <w:r w:rsidRPr="00D14720">
        <w:rPr>
          <w:b/>
          <w:bCs/>
          <w:sz w:val="24"/>
          <w:szCs w:val="24"/>
        </w:rPr>
        <w:br w:type="page"/>
      </w:r>
    </w:p>
    <w:p w14:paraId="4CC9D21F" w14:textId="77777777" w:rsidR="00ED02A4" w:rsidRPr="00D14720" w:rsidRDefault="00ED02A4" w:rsidP="00ED02A4">
      <w:pPr>
        <w:jc w:val="center"/>
        <w:rPr>
          <w:b/>
          <w:bCs/>
          <w:sz w:val="24"/>
          <w:szCs w:val="24"/>
        </w:rPr>
      </w:pPr>
      <w:r w:rsidRPr="00D14720">
        <w:rPr>
          <w:b/>
          <w:bCs/>
          <w:sz w:val="24"/>
          <w:szCs w:val="24"/>
        </w:rPr>
        <w:lastRenderedPageBreak/>
        <w:t>Figure 5</w:t>
      </w:r>
    </w:p>
    <w:p w14:paraId="758ED802" w14:textId="77777777" w:rsidR="00ED02A4" w:rsidRPr="00D14720" w:rsidRDefault="00ED02A4" w:rsidP="00ED02A4">
      <w:pPr>
        <w:jc w:val="center"/>
        <w:rPr>
          <w:b/>
          <w:bCs/>
          <w:sz w:val="24"/>
          <w:szCs w:val="24"/>
        </w:rPr>
      </w:pPr>
      <w:r w:rsidRPr="00D14720">
        <w:rPr>
          <w:b/>
          <w:bCs/>
          <w:sz w:val="24"/>
          <w:szCs w:val="24"/>
        </w:rPr>
        <w:t>Trends in World Diversification and Risk (average of 3 asset classes)</w:t>
      </w:r>
    </w:p>
    <w:p w14:paraId="0401C263" w14:textId="77777777" w:rsidR="00ED02A4" w:rsidRPr="00D14720" w:rsidRDefault="00ED02A4" w:rsidP="00ED02A4">
      <w:pPr>
        <w:jc w:val="center"/>
        <w:rPr>
          <w:b/>
          <w:bCs/>
          <w:sz w:val="24"/>
          <w:szCs w:val="24"/>
        </w:rPr>
      </w:pPr>
      <w:r w:rsidRPr="00D14720">
        <w:rPr>
          <w:noProof/>
          <w:lang w:val="en-US"/>
        </w:rPr>
        <w:drawing>
          <wp:inline distT="0" distB="0" distL="0" distR="0" wp14:anchorId="11C661E2" wp14:editId="02A5DC85">
            <wp:extent cx="5400000" cy="1800000"/>
            <wp:effectExtent l="0" t="0" r="10795" b="1016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28AF49B" w14:textId="77777777" w:rsidR="00ED02A4" w:rsidRPr="00D14720" w:rsidRDefault="00ED02A4" w:rsidP="00ED02A4">
      <w:pPr>
        <w:spacing w:line="240" w:lineRule="auto"/>
        <w:jc w:val="both"/>
        <w:rPr>
          <w:b/>
          <w:bCs/>
          <w:sz w:val="24"/>
          <w:szCs w:val="24"/>
        </w:rPr>
      </w:pPr>
      <w:r w:rsidRPr="00D14720">
        <w:t>Notes: This figure shows an average of the diversification indexes and associated risk for the three asset classes, equities, bonds and REITS. There is a time-series plot of the averages of the diversification indexes and risk using the standard deviation of returns.  The diversification index is 100 minus the average R-square (in percent) from a multi-factor returns model</w:t>
      </w:r>
      <w:r w:rsidRPr="00D14720">
        <w:rPr>
          <w:u w:val="single"/>
        </w:rPr>
        <w:t xml:space="preserve"> </w:t>
      </w:r>
      <w:r w:rsidRPr="00D14720">
        <w:t>fitted using daily data during every calendar year, 1986-2012.  The dependent variable in each regression is a country-specific return on an asset class and the explanatory variables are global factors. The global factors are 16 principal components obtained from the pre-1986 markets.  Countries and asset classes in separate regression are for equities: Australia, Austria, Belgium, Canada, Denmark, France, Germany, Hong Kong, Ireland, Italy, Japan, Netherlands, Singapore, South Africa, Switzerland, UK, US, Brazil, Malaysia, Norway, South Korea, Spain, Sweden; for bond: Austria, Belgium, Canada, Denmark, France, Germany, Ireland, Japan, Netherlands, Sweden, Switzerland, UK, US, and for REITs: Australia, Netherlands, UK, and US). To be included, a country/asset class must have at least 50 valid daily returns during the year.</w:t>
      </w:r>
      <w:r w:rsidRPr="00D14720">
        <w:rPr>
          <w:b/>
          <w:bCs/>
          <w:sz w:val="24"/>
          <w:szCs w:val="24"/>
        </w:rPr>
        <w:br w:type="page"/>
      </w:r>
    </w:p>
    <w:p w14:paraId="37D6B154" w14:textId="77777777" w:rsidR="00ED02A4" w:rsidRPr="00D14720" w:rsidRDefault="00ED02A4" w:rsidP="00ED02A4">
      <w:pPr>
        <w:spacing w:after="0" w:line="240" w:lineRule="auto"/>
        <w:jc w:val="center"/>
        <w:rPr>
          <w:rFonts w:ascii="Calibri" w:eastAsia="Times New Roman" w:hAnsi="Calibri" w:cs="Times New Roman"/>
          <w:b/>
          <w:bCs/>
          <w:color w:val="000000"/>
          <w:sz w:val="24"/>
          <w:szCs w:val="24"/>
          <w:lang w:eastAsia="en-IE"/>
        </w:rPr>
      </w:pPr>
      <w:r w:rsidRPr="00D14720">
        <w:rPr>
          <w:rFonts w:ascii="Calibri" w:eastAsia="Times New Roman" w:hAnsi="Calibri" w:cs="Times New Roman"/>
          <w:b/>
          <w:bCs/>
          <w:color w:val="000000"/>
          <w:sz w:val="24"/>
          <w:szCs w:val="24"/>
          <w:lang w:eastAsia="en-IE"/>
        </w:rPr>
        <w:lastRenderedPageBreak/>
        <w:t>Figure 6</w:t>
      </w:r>
    </w:p>
    <w:p w14:paraId="425DC73F" w14:textId="77777777" w:rsidR="00ED02A4" w:rsidRPr="00D14720" w:rsidRDefault="00ED02A4" w:rsidP="00ED02A4">
      <w:pPr>
        <w:spacing w:after="0" w:line="240" w:lineRule="auto"/>
        <w:jc w:val="center"/>
        <w:rPr>
          <w:rFonts w:ascii="Calibri" w:eastAsia="Times New Roman" w:hAnsi="Calibri" w:cs="Times New Roman"/>
          <w:b/>
          <w:bCs/>
          <w:color w:val="000000"/>
          <w:sz w:val="24"/>
          <w:szCs w:val="24"/>
          <w:lang w:eastAsia="en-IE"/>
        </w:rPr>
      </w:pPr>
      <w:r w:rsidRPr="00D14720">
        <w:rPr>
          <w:rFonts w:ascii="Calibri" w:eastAsia="Times New Roman" w:hAnsi="Calibri" w:cs="Times New Roman"/>
          <w:b/>
          <w:bCs/>
          <w:color w:val="000000"/>
          <w:sz w:val="24"/>
          <w:szCs w:val="24"/>
          <w:lang w:eastAsia="en-IE"/>
        </w:rPr>
        <w:t xml:space="preserve">Trends in Global Diversification Indexes by Asset Class </w:t>
      </w:r>
    </w:p>
    <w:p w14:paraId="22B18CA9" w14:textId="77777777" w:rsidR="00ED02A4" w:rsidRPr="00D14720" w:rsidRDefault="00ED02A4" w:rsidP="00ED02A4">
      <w:pPr>
        <w:spacing w:after="0" w:line="240" w:lineRule="auto"/>
        <w:jc w:val="center"/>
        <w:rPr>
          <w:rFonts w:ascii="Calibri" w:eastAsia="Times New Roman" w:hAnsi="Calibri" w:cs="Times New Roman"/>
          <w:b/>
          <w:bCs/>
          <w:color w:val="000000"/>
          <w:sz w:val="24"/>
          <w:szCs w:val="24"/>
          <w:lang w:eastAsia="en-IE"/>
        </w:rPr>
      </w:pPr>
      <w:r w:rsidRPr="00D14720">
        <w:rPr>
          <w:rFonts w:ascii="Calibri" w:eastAsia="Times New Roman" w:hAnsi="Calibri" w:cs="Times New Roman"/>
          <w:b/>
          <w:bCs/>
          <w:color w:val="000000"/>
          <w:sz w:val="24"/>
          <w:szCs w:val="24"/>
          <w:lang w:eastAsia="en-IE"/>
        </w:rPr>
        <w:t>and for Developed and Emerging Markets</w:t>
      </w:r>
    </w:p>
    <w:p w14:paraId="106E01E5" w14:textId="77777777" w:rsidR="00ED02A4" w:rsidRPr="00D14720" w:rsidRDefault="00ED02A4" w:rsidP="00ED02A4">
      <w:pPr>
        <w:spacing w:after="0" w:line="240" w:lineRule="auto"/>
        <w:jc w:val="center"/>
        <w:rPr>
          <w:rFonts w:ascii="Calibri" w:eastAsia="Times New Roman" w:hAnsi="Calibri" w:cs="Times New Roman"/>
          <w:b/>
          <w:bCs/>
          <w:color w:val="000000"/>
          <w:sz w:val="24"/>
          <w:szCs w:val="24"/>
          <w:lang w:eastAsia="en-IE"/>
        </w:rPr>
      </w:pPr>
      <w:r w:rsidRPr="00D14720">
        <w:rPr>
          <w:noProof/>
          <w:lang w:val="en-US"/>
        </w:rPr>
        <w:drawing>
          <wp:inline distT="0" distB="0" distL="0" distR="0" wp14:anchorId="30097D62" wp14:editId="771BF2BD">
            <wp:extent cx="5400000" cy="1800000"/>
            <wp:effectExtent l="0" t="0" r="10795" b="1016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74B6124" w14:textId="77777777" w:rsidR="00ED02A4" w:rsidRPr="00D14720" w:rsidRDefault="00ED02A4" w:rsidP="00ED02A4">
      <w:pPr>
        <w:spacing w:after="0" w:line="240" w:lineRule="auto"/>
        <w:jc w:val="center"/>
        <w:rPr>
          <w:rFonts w:ascii="Calibri" w:eastAsia="Times New Roman" w:hAnsi="Calibri" w:cs="Times New Roman"/>
          <w:b/>
          <w:bCs/>
          <w:color w:val="000000"/>
          <w:sz w:val="24"/>
          <w:szCs w:val="24"/>
          <w:lang w:eastAsia="en-IE"/>
        </w:rPr>
      </w:pPr>
      <w:r w:rsidRPr="00D14720">
        <w:rPr>
          <w:noProof/>
          <w:lang w:val="en-US"/>
        </w:rPr>
        <w:drawing>
          <wp:inline distT="0" distB="0" distL="0" distR="0" wp14:anchorId="063C4136" wp14:editId="509E7488">
            <wp:extent cx="5400000" cy="1800000"/>
            <wp:effectExtent l="0" t="0" r="10795" b="101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DA8FB3" w14:textId="77777777" w:rsidR="00ED02A4" w:rsidRPr="00D14720" w:rsidRDefault="00ED02A4" w:rsidP="00ED02A4">
      <w:pPr>
        <w:spacing w:after="0" w:line="240" w:lineRule="auto"/>
        <w:jc w:val="center"/>
        <w:rPr>
          <w:rFonts w:ascii="Calibri" w:eastAsia="Times New Roman" w:hAnsi="Calibri" w:cs="Times New Roman"/>
          <w:b/>
          <w:bCs/>
          <w:color w:val="000000"/>
          <w:sz w:val="24"/>
          <w:szCs w:val="24"/>
          <w:lang w:eastAsia="en-IE"/>
        </w:rPr>
      </w:pPr>
      <w:r w:rsidRPr="00D14720">
        <w:rPr>
          <w:noProof/>
          <w:lang w:val="en-US"/>
        </w:rPr>
        <w:drawing>
          <wp:inline distT="0" distB="0" distL="0" distR="0" wp14:anchorId="69E95CEC" wp14:editId="389EA992">
            <wp:extent cx="5400000" cy="1800000"/>
            <wp:effectExtent l="0" t="0" r="10795" b="1016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D6FE02B" w14:textId="77777777" w:rsidR="00C83932" w:rsidRDefault="00C83932" w:rsidP="00ED02A4">
      <w:pPr>
        <w:spacing w:line="240" w:lineRule="auto"/>
        <w:jc w:val="both"/>
      </w:pPr>
    </w:p>
    <w:p w14:paraId="48C795E7" w14:textId="39E57445" w:rsidR="00ED02A4" w:rsidRPr="00D14720" w:rsidRDefault="00ED02A4" w:rsidP="00ED02A4">
      <w:pPr>
        <w:spacing w:line="240" w:lineRule="auto"/>
        <w:jc w:val="both"/>
      </w:pPr>
      <w:r w:rsidRPr="00D14720">
        <w:t>Notes: This figure shows the average diversification indexes for each asset class between 1986 and 2012 broken out for developed and emerging markets.  The diversification index is 100 minus the average R-square (in percent) from a multi-factor returns model</w:t>
      </w:r>
      <w:r w:rsidRPr="00D14720">
        <w:rPr>
          <w:u w:val="single"/>
        </w:rPr>
        <w:t xml:space="preserve"> </w:t>
      </w:r>
      <w:r w:rsidRPr="00D14720">
        <w:t xml:space="preserve">fitted using daily data during every calendar year, 1986-2012.  The dependent variable in each regression is a country-specific return on an asset class and the explanatory variables are global factors. The global factors are 16 principal components obtained from the pre-1986 markets.  Countries and asset classes in separate regression are for equities: Australia, Austria, Belgium, Canada, Denmark, France, Germany, Hong Kong, Ireland, Italy, Japan, Netherlands, Singapore, South Africa, Switzerland, UK, US, Brazil, Malaysia, Norway, South Korea, Spain, Sweden; for bond: Austria, Belgium, Canada, Denmark, France, Germany, Ireland, Japan, Netherlands, Sweden, Switzerland, UK, US, and for REITs: Australia, Netherlands, UK, and US). To be included, a country/asset class must have at least 50 valid daily returns during the year.   The categorization of “developed” and “emerging” economies relies on the United Nations Human Development Index that incorporates </w:t>
      </w:r>
      <w:proofErr w:type="gramStart"/>
      <w:r w:rsidRPr="00D14720">
        <w:t>a number of</w:t>
      </w:r>
      <w:proofErr w:type="gramEnd"/>
      <w:r w:rsidRPr="00D14720">
        <w:t xml:space="preserve"> distinguishing features such as income and education.  The United Nations country category </w:t>
      </w:r>
      <w:proofErr w:type="gramStart"/>
      <w:r w:rsidRPr="00D14720">
        <w:t xml:space="preserve">of </w:t>
      </w:r>
      <w:r w:rsidR="00C83932">
        <w:t xml:space="preserve"> </w:t>
      </w:r>
      <w:r w:rsidR="00D93F34">
        <w:t>“</w:t>
      </w:r>
      <w:proofErr w:type="gramEnd"/>
      <w:r w:rsidRPr="00D14720">
        <w:t>very high human development” is taken here as a developed economies; those outside that category are taken here as emerging economies.</w:t>
      </w:r>
    </w:p>
    <w:p w14:paraId="7DC43061" w14:textId="77777777" w:rsidR="00ED02A4" w:rsidRPr="00D14720" w:rsidRDefault="00ED02A4" w:rsidP="00ED02A4">
      <w:pPr>
        <w:jc w:val="center"/>
        <w:rPr>
          <w:b/>
          <w:bCs/>
          <w:sz w:val="24"/>
          <w:szCs w:val="24"/>
        </w:rPr>
      </w:pPr>
      <w:r w:rsidRPr="00D14720">
        <w:rPr>
          <w:b/>
          <w:bCs/>
          <w:sz w:val="24"/>
          <w:szCs w:val="24"/>
        </w:rPr>
        <w:lastRenderedPageBreak/>
        <w:t>Table 1</w:t>
      </w:r>
    </w:p>
    <w:p w14:paraId="6A80F5D7" w14:textId="77777777" w:rsidR="00ED02A4" w:rsidRDefault="00ED02A4" w:rsidP="00ED02A4">
      <w:pPr>
        <w:jc w:val="center"/>
        <w:rPr>
          <w:b/>
          <w:bCs/>
          <w:sz w:val="24"/>
          <w:szCs w:val="24"/>
        </w:rPr>
      </w:pPr>
      <w:r w:rsidRPr="00D14720">
        <w:rPr>
          <w:b/>
          <w:bCs/>
          <w:sz w:val="24"/>
          <w:szCs w:val="24"/>
        </w:rPr>
        <w:t>Cohort Members for Asset Classes</w:t>
      </w:r>
    </w:p>
    <w:tbl>
      <w:tblPr>
        <w:tblW w:w="8780" w:type="dxa"/>
        <w:tblInd w:w="103" w:type="dxa"/>
        <w:tblLook w:val="04A0" w:firstRow="1" w:lastRow="0" w:firstColumn="1" w:lastColumn="0" w:noHBand="0" w:noVBand="1"/>
      </w:tblPr>
      <w:tblGrid>
        <w:gridCol w:w="968"/>
        <w:gridCol w:w="968"/>
        <w:gridCol w:w="1092"/>
        <w:gridCol w:w="1164"/>
        <w:gridCol w:w="1130"/>
        <w:gridCol w:w="1164"/>
        <w:gridCol w:w="1138"/>
        <w:gridCol w:w="1169"/>
      </w:tblGrid>
      <w:tr w:rsidR="00ED02A4" w:rsidRPr="004508AF" w14:paraId="17F4C7D5" w14:textId="77777777" w:rsidTr="00367A87">
        <w:trPr>
          <w:trHeight w:val="288"/>
        </w:trPr>
        <w:tc>
          <w:tcPr>
            <w:tcW w:w="968" w:type="dxa"/>
            <w:tcBorders>
              <w:top w:val="single" w:sz="4" w:space="0" w:color="auto"/>
              <w:left w:val="single" w:sz="4" w:space="0" w:color="auto"/>
              <w:bottom w:val="nil"/>
              <w:right w:val="nil"/>
            </w:tcBorders>
            <w:shd w:val="clear" w:color="auto" w:fill="auto"/>
            <w:noWrap/>
            <w:vAlign w:val="bottom"/>
            <w:hideMark/>
          </w:tcPr>
          <w:p w14:paraId="70643C01"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Equity</w:t>
            </w:r>
          </w:p>
        </w:tc>
        <w:tc>
          <w:tcPr>
            <w:tcW w:w="968" w:type="dxa"/>
            <w:tcBorders>
              <w:top w:val="single" w:sz="4" w:space="0" w:color="auto"/>
              <w:left w:val="nil"/>
              <w:bottom w:val="nil"/>
              <w:right w:val="nil"/>
            </w:tcBorders>
            <w:shd w:val="clear" w:color="auto" w:fill="auto"/>
            <w:noWrap/>
            <w:vAlign w:val="bottom"/>
            <w:hideMark/>
          </w:tcPr>
          <w:p w14:paraId="505ED8B7"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Pre 1974</w:t>
            </w:r>
          </w:p>
        </w:tc>
        <w:tc>
          <w:tcPr>
            <w:tcW w:w="1092" w:type="dxa"/>
            <w:tcBorders>
              <w:top w:val="single" w:sz="4" w:space="0" w:color="auto"/>
              <w:left w:val="nil"/>
              <w:bottom w:val="nil"/>
              <w:right w:val="nil"/>
            </w:tcBorders>
            <w:shd w:val="clear" w:color="auto" w:fill="auto"/>
            <w:noWrap/>
            <w:vAlign w:val="bottom"/>
            <w:hideMark/>
          </w:tcPr>
          <w:p w14:paraId="61ACC2F7"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Australia</w:t>
            </w:r>
          </w:p>
        </w:tc>
        <w:tc>
          <w:tcPr>
            <w:tcW w:w="1164" w:type="dxa"/>
            <w:tcBorders>
              <w:top w:val="single" w:sz="4" w:space="0" w:color="auto"/>
              <w:left w:val="nil"/>
              <w:bottom w:val="nil"/>
              <w:right w:val="nil"/>
            </w:tcBorders>
            <w:shd w:val="clear" w:color="auto" w:fill="auto"/>
            <w:noWrap/>
            <w:vAlign w:val="bottom"/>
            <w:hideMark/>
          </w:tcPr>
          <w:p w14:paraId="3BC05971"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Austria</w:t>
            </w:r>
          </w:p>
        </w:tc>
        <w:tc>
          <w:tcPr>
            <w:tcW w:w="1117" w:type="dxa"/>
            <w:tcBorders>
              <w:top w:val="single" w:sz="4" w:space="0" w:color="auto"/>
              <w:left w:val="nil"/>
              <w:bottom w:val="nil"/>
              <w:right w:val="nil"/>
            </w:tcBorders>
            <w:shd w:val="clear" w:color="auto" w:fill="auto"/>
            <w:noWrap/>
            <w:vAlign w:val="bottom"/>
            <w:hideMark/>
          </w:tcPr>
          <w:p w14:paraId="5D342A7A"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Belgium</w:t>
            </w:r>
          </w:p>
        </w:tc>
        <w:tc>
          <w:tcPr>
            <w:tcW w:w="1164" w:type="dxa"/>
            <w:tcBorders>
              <w:top w:val="single" w:sz="4" w:space="0" w:color="auto"/>
              <w:left w:val="nil"/>
              <w:bottom w:val="nil"/>
              <w:right w:val="nil"/>
            </w:tcBorders>
            <w:shd w:val="clear" w:color="auto" w:fill="auto"/>
            <w:noWrap/>
            <w:vAlign w:val="bottom"/>
            <w:hideMark/>
          </w:tcPr>
          <w:p w14:paraId="354E6FC6"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Canada</w:t>
            </w:r>
          </w:p>
        </w:tc>
        <w:tc>
          <w:tcPr>
            <w:tcW w:w="1138" w:type="dxa"/>
            <w:tcBorders>
              <w:top w:val="single" w:sz="4" w:space="0" w:color="auto"/>
              <w:left w:val="nil"/>
              <w:bottom w:val="nil"/>
              <w:right w:val="nil"/>
            </w:tcBorders>
            <w:shd w:val="clear" w:color="auto" w:fill="auto"/>
            <w:noWrap/>
            <w:vAlign w:val="bottom"/>
            <w:hideMark/>
          </w:tcPr>
          <w:p w14:paraId="1D22D686"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Denmark</w:t>
            </w:r>
          </w:p>
        </w:tc>
        <w:tc>
          <w:tcPr>
            <w:tcW w:w="1169" w:type="dxa"/>
            <w:tcBorders>
              <w:top w:val="single" w:sz="4" w:space="0" w:color="auto"/>
              <w:left w:val="nil"/>
              <w:bottom w:val="nil"/>
              <w:right w:val="single" w:sz="4" w:space="0" w:color="auto"/>
            </w:tcBorders>
            <w:shd w:val="clear" w:color="auto" w:fill="auto"/>
            <w:noWrap/>
            <w:vAlign w:val="bottom"/>
            <w:hideMark/>
          </w:tcPr>
          <w:p w14:paraId="5C8C931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France</w:t>
            </w:r>
          </w:p>
        </w:tc>
      </w:tr>
      <w:tr w:rsidR="00ED02A4" w:rsidRPr="004508AF" w14:paraId="31826BBD"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24A2F95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1B454D76"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4CB97831"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Germany</w:t>
            </w:r>
          </w:p>
        </w:tc>
        <w:tc>
          <w:tcPr>
            <w:tcW w:w="1164" w:type="dxa"/>
            <w:tcBorders>
              <w:top w:val="nil"/>
              <w:left w:val="nil"/>
              <w:bottom w:val="nil"/>
              <w:right w:val="nil"/>
            </w:tcBorders>
            <w:shd w:val="clear" w:color="auto" w:fill="auto"/>
            <w:noWrap/>
            <w:vAlign w:val="bottom"/>
            <w:hideMark/>
          </w:tcPr>
          <w:p w14:paraId="0244BEDB"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Hong Kong</w:t>
            </w:r>
          </w:p>
        </w:tc>
        <w:tc>
          <w:tcPr>
            <w:tcW w:w="1117" w:type="dxa"/>
            <w:tcBorders>
              <w:top w:val="nil"/>
              <w:left w:val="nil"/>
              <w:bottom w:val="nil"/>
              <w:right w:val="nil"/>
            </w:tcBorders>
            <w:shd w:val="clear" w:color="auto" w:fill="auto"/>
            <w:noWrap/>
            <w:vAlign w:val="bottom"/>
            <w:hideMark/>
          </w:tcPr>
          <w:p w14:paraId="225A7CE0"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Ireland</w:t>
            </w:r>
          </w:p>
        </w:tc>
        <w:tc>
          <w:tcPr>
            <w:tcW w:w="1164" w:type="dxa"/>
            <w:tcBorders>
              <w:top w:val="nil"/>
              <w:left w:val="nil"/>
              <w:bottom w:val="nil"/>
              <w:right w:val="nil"/>
            </w:tcBorders>
            <w:shd w:val="clear" w:color="auto" w:fill="auto"/>
            <w:noWrap/>
            <w:vAlign w:val="bottom"/>
            <w:hideMark/>
          </w:tcPr>
          <w:p w14:paraId="0475626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Italy</w:t>
            </w:r>
          </w:p>
        </w:tc>
        <w:tc>
          <w:tcPr>
            <w:tcW w:w="1138" w:type="dxa"/>
            <w:tcBorders>
              <w:top w:val="nil"/>
              <w:left w:val="nil"/>
              <w:bottom w:val="nil"/>
              <w:right w:val="nil"/>
            </w:tcBorders>
            <w:shd w:val="clear" w:color="auto" w:fill="auto"/>
            <w:noWrap/>
            <w:vAlign w:val="bottom"/>
            <w:hideMark/>
          </w:tcPr>
          <w:p w14:paraId="264C459C"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Japan</w:t>
            </w:r>
          </w:p>
        </w:tc>
        <w:tc>
          <w:tcPr>
            <w:tcW w:w="1169" w:type="dxa"/>
            <w:tcBorders>
              <w:top w:val="nil"/>
              <w:left w:val="nil"/>
              <w:bottom w:val="nil"/>
              <w:right w:val="single" w:sz="4" w:space="0" w:color="auto"/>
            </w:tcBorders>
            <w:shd w:val="clear" w:color="auto" w:fill="auto"/>
            <w:noWrap/>
            <w:vAlign w:val="bottom"/>
            <w:hideMark/>
          </w:tcPr>
          <w:p w14:paraId="57173CC0"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Netherlands</w:t>
            </w:r>
          </w:p>
        </w:tc>
      </w:tr>
      <w:tr w:rsidR="00ED02A4" w:rsidRPr="004508AF" w14:paraId="6ECA989A"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736C114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13DF5537"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79D4EE07"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Singapore</w:t>
            </w:r>
          </w:p>
        </w:tc>
        <w:tc>
          <w:tcPr>
            <w:tcW w:w="1164" w:type="dxa"/>
            <w:tcBorders>
              <w:top w:val="nil"/>
              <w:left w:val="nil"/>
              <w:bottom w:val="nil"/>
              <w:right w:val="nil"/>
            </w:tcBorders>
            <w:shd w:val="clear" w:color="auto" w:fill="auto"/>
            <w:noWrap/>
            <w:vAlign w:val="bottom"/>
            <w:hideMark/>
          </w:tcPr>
          <w:p w14:paraId="78BC7495"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South Africa</w:t>
            </w:r>
          </w:p>
        </w:tc>
        <w:tc>
          <w:tcPr>
            <w:tcW w:w="1117" w:type="dxa"/>
            <w:tcBorders>
              <w:top w:val="nil"/>
              <w:left w:val="nil"/>
              <w:bottom w:val="nil"/>
              <w:right w:val="nil"/>
            </w:tcBorders>
            <w:shd w:val="clear" w:color="auto" w:fill="auto"/>
            <w:noWrap/>
            <w:vAlign w:val="bottom"/>
            <w:hideMark/>
          </w:tcPr>
          <w:p w14:paraId="70D16380"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Switzerland</w:t>
            </w:r>
          </w:p>
        </w:tc>
        <w:tc>
          <w:tcPr>
            <w:tcW w:w="1164" w:type="dxa"/>
            <w:tcBorders>
              <w:top w:val="nil"/>
              <w:left w:val="nil"/>
              <w:bottom w:val="nil"/>
              <w:right w:val="nil"/>
            </w:tcBorders>
            <w:shd w:val="clear" w:color="auto" w:fill="auto"/>
            <w:noWrap/>
            <w:vAlign w:val="bottom"/>
            <w:hideMark/>
          </w:tcPr>
          <w:p w14:paraId="2BE30A9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UK</w:t>
            </w:r>
          </w:p>
        </w:tc>
        <w:tc>
          <w:tcPr>
            <w:tcW w:w="1138" w:type="dxa"/>
            <w:tcBorders>
              <w:top w:val="nil"/>
              <w:left w:val="nil"/>
              <w:bottom w:val="nil"/>
              <w:right w:val="nil"/>
            </w:tcBorders>
            <w:shd w:val="clear" w:color="auto" w:fill="auto"/>
            <w:noWrap/>
            <w:vAlign w:val="bottom"/>
            <w:hideMark/>
          </w:tcPr>
          <w:p w14:paraId="4019AAF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US</w:t>
            </w:r>
          </w:p>
        </w:tc>
        <w:tc>
          <w:tcPr>
            <w:tcW w:w="1169" w:type="dxa"/>
            <w:tcBorders>
              <w:top w:val="nil"/>
              <w:left w:val="nil"/>
              <w:bottom w:val="nil"/>
              <w:right w:val="single" w:sz="4" w:space="0" w:color="auto"/>
            </w:tcBorders>
            <w:shd w:val="clear" w:color="auto" w:fill="auto"/>
            <w:noWrap/>
            <w:vAlign w:val="bottom"/>
            <w:hideMark/>
          </w:tcPr>
          <w:p w14:paraId="33C02EA7"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r>
      <w:tr w:rsidR="00ED02A4" w:rsidRPr="004508AF" w14:paraId="429C1F9E"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6D4D4746"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48B447E2"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1974-1983</w:t>
            </w:r>
          </w:p>
        </w:tc>
        <w:tc>
          <w:tcPr>
            <w:tcW w:w="1092" w:type="dxa"/>
            <w:tcBorders>
              <w:top w:val="nil"/>
              <w:left w:val="nil"/>
              <w:bottom w:val="nil"/>
              <w:right w:val="nil"/>
            </w:tcBorders>
            <w:shd w:val="clear" w:color="auto" w:fill="auto"/>
            <w:noWrap/>
            <w:vAlign w:val="bottom"/>
            <w:hideMark/>
          </w:tcPr>
          <w:p w14:paraId="473681E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Brazil</w:t>
            </w:r>
          </w:p>
        </w:tc>
        <w:tc>
          <w:tcPr>
            <w:tcW w:w="1164" w:type="dxa"/>
            <w:tcBorders>
              <w:top w:val="nil"/>
              <w:left w:val="nil"/>
              <w:bottom w:val="nil"/>
              <w:right w:val="nil"/>
            </w:tcBorders>
            <w:shd w:val="clear" w:color="auto" w:fill="auto"/>
            <w:noWrap/>
            <w:vAlign w:val="bottom"/>
            <w:hideMark/>
          </w:tcPr>
          <w:p w14:paraId="1121EB09"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Malaysia</w:t>
            </w:r>
          </w:p>
        </w:tc>
        <w:tc>
          <w:tcPr>
            <w:tcW w:w="1117" w:type="dxa"/>
            <w:tcBorders>
              <w:top w:val="nil"/>
              <w:left w:val="nil"/>
              <w:bottom w:val="nil"/>
              <w:right w:val="nil"/>
            </w:tcBorders>
            <w:shd w:val="clear" w:color="auto" w:fill="auto"/>
            <w:noWrap/>
            <w:vAlign w:val="bottom"/>
            <w:hideMark/>
          </w:tcPr>
          <w:p w14:paraId="5D427EA0"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Norway</w:t>
            </w:r>
          </w:p>
        </w:tc>
        <w:tc>
          <w:tcPr>
            <w:tcW w:w="1164" w:type="dxa"/>
            <w:tcBorders>
              <w:top w:val="nil"/>
              <w:left w:val="nil"/>
              <w:bottom w:val="nil"/>
              <w:right w:val="nil"/>
            </w:tcBorders>
            <w:shd w:val="clear" w:color="auto" w:fill="auto"/>
            <w:noWrap/>
            <w:vAlign w:val="bottom"/>
            <w:hideMark/>
          </w:tcPr>
          <w:p w14:paraId="5B00AF78"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South Korea</w:t>
            </w:r>
          </w:p>
        </w:tc>
        <w:tc>
          <w:tcPr>
            <w:tcW w:w="1138" w:type="dxa"/>
            <w:tcBorders>
              <w:top w:val="nil"/>
              <w:left w:val="nil"/>
              <w:bottom w:val="nil"/>
              <w:right w:val="nil"/>
            </w:tcBorders>
            <w:shd w:val="clear" w:color="auto" w:fill="auto"/>
            <w:noWrap/>
            <w:vAlign w:val="bottom"/>
            <w:hideMark/>
          </w:tcPr>
          <w:p w14:paraId="44586549"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Spain</w:t>
            </w:r>
          </w:p>
        </w:tc>
        <w:tc>
          <w:tcPr>
            <w:tcW w:w="1169" w:type="dxa"/>
            <w:tcBorders>
              <w:top w:val="nil"/>
              <w:left w:val="nil"/>
              <w:bottom w:val="nil"/>
              <w:right w:val="single" w:sz="4" w:space="0" w:color="auto"/>
            </w:tcBorders>
            <w:shd w:val="clear" w:color="auto" w:fill="auto"/>
            <w:noWrap/>
            <w:vAlign w:val="bottom"/>
            <w:hideMark/>
          </w:tcPr>
          <w:p w14:paraId="0E32816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Sweden</w:t>
            </w:r>
          </w:p>
        </w:tc>
      </w:tr>
      <w:tr w:rsidR="00ED02A4" w:rsidRPr="004508AF" w14:paraId="7F642138"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7A75D540"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1582E4D3"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1984-1993</w:t>
            </w:r>
          </w:p>
        </w:tc>
        <w:tc>
          <w:tcPr>
            <w:tcW w:w="1092" w:type="dxa"/>
            <w:tcBorders>
              <w:top w:val="nil"/>
              <w:left w:val="nil"/>
              <w:bottom w:val="nil"/>
              <w:right w:val="nil"/>
            </w:tcBorders>
            <w:shd w:val="clear" w:color="auto" w:fill="auto"/>
            <w:noWrap/>
            <w:vAlign w:val="bottom"/>
            <w:hideMark/>
          </w:tcPr>
          <w:p w14:paraId="59912DC5"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Argentina</w:t>
            </w:r>
          </w:p>
        </w:tc>
        <w:tc>
          <w:tcPr>
            <w:tcW w:w="1164" w:type="dxa"/>
            <w:tcBorders>
              <w:top w:val="nil"/>
              <w:left w:val="nil"/>
              <w:bottom w:val="nil"/>
              <w:right w:val="nil"/>
            </w:tcBorders>
            <w:shd w:val="clear" w:color="auto" w:fill="auto"/>
            <w:noWrap/>
            <w:vAlign w:val="bottom"/>
            <w:hideMark/>
          </w:tcPr>
          <w:p w14:paraId="3195C478"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Bangladesh</w:t>
            </w:r>
          </w:p>
        </w:tc>
        <w:tc>
          <w:tcPr>
            <w:tcW w:w="1117" w:type="dxa"/>
            <w:tcBorders>
              <w:top w:val="nil"/>
              <w:left w:val="nil"/>
              <w:bottom w:val="nil"/>
              <w:right w:val="nil"/>
            </w:tcBorders>
            <w:shd w:val="clear" w:color="auto" w:fill="auto"/>
            <w:noWrap/>
            <w:vAlign w:val="bottom"/>
            <w:hideMark/>
          </w:tcPr>
          <w:p w14:paraId="599F0AA1"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Chile</w:t>
            </w:r>
          </w:p>
        </w:tc>
        <w:tc>
          <w:tcPr>
            <w:tcW w:w="1164" w:type="dxa"/>
            <w:tcBorders>
              <w:top w:val="nil"/>
              <w:left w:val="nil"/>
              <w:bottom w:val="nil"/>
              <w:right w:val="nil"/>
            </w:tcBorders>
            <w:shd w:val="clear" w:color="auto" w:fill="auto"/>
            <w:noWrap/>
            <w:vAlign w:val="bottom"/>
            <w:hideMark/>
          </w:tcPr>
          <w:p w14:paraId="4567B6ED"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Colombia</w:t>
            </w:r>
          </w:p>
        </w:tc>
        <w:tc>
          <w:tcPr>
            <w:tcW w:w="1138" w:type="dxa"/>
            <w:tcBorders>
              <w:top w:val="nil"/>
              <w:left w:val="nil"/>
              <w:bottom w:val="nil"/>
              <w:right w:val="nil"/>
            </w:tcBorders>
            <w:shd w:val="clear" w:color="auto" w:fill="auto"/>
            <w:noWrap/>
            <w:vAlign w:val="bottom"/>
            <w:hideMark/>
          </w:tcPr>
          <w:p w14:paraId="36E18647"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Czech Rep.</w:t>
            </w:r>
          </w:p>
        </w:tc>
        <w:tc>
          <w:tcPr>
            <w:tcW w:w="1169" w:type="dxa"/>
            <w:tcBorders>
              <w:top w:val="nil"/>
              <w:left w:val="nil"/>
              <w:bottom w:val="nil"/>
              <w:right w:val="single" w:sz="4" w:space="0" w:color="auto"/>
            </w:tcBorders>
            <w:shd w:val="clear" w:color="auto" w:fill="auto"/>
            <w:noWrap/>
            <w:vAlign w:val="bottom"/>
            <w:hideMark/>
          </w:tcPr>
          <w:p w14:paraId="04E9260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Ecuador</w:t>
            </w:r>
          </w:p>
        </w:tc>
      </w:tr>
      <w:tr w:rsidR="00ED02A4" w:rsidRPr="004508AF" w14:paraId="75799A0F"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3F5B6345"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2FFC268F"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77600347"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Finland</w:t>
            </w:r>
          </w:p>
        </w:tc>
        <w:tc>
          <w:tcPr>
            <w:tcW w:w="1164" w:type="dxa"/>
            <w:tcBorders>
              <w:top w:val="nil"/>
              <w:left w:val="nil"/>
              <w:bottom w:val="nil"/>
              <w:right w:val="nil"/>
            </w:tcBorders>
            <w:shd w:val="clear" w:color="auto" w:fill="auto"/>
            <w:noWrap/>
            <w:vAlign w:val="bottom"/>
            <w:hideMark/>
          </w:tcPr>
          <w:p w14:paraId="396AB800"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Greece</w:t>
            </w:r>
          </w:p>
        </w:tc>
        <w:tc>
          <w:tcPr>
            <w:tcW w:w="1117" w:type="dxa"/>
            <w:tcBorders>
              <w:top w:val="nil"/>
              <w:left w:val="nil"/>
              <w:bottom w:val="nil"/>
              <w:right w:val="nil"/>
            </w:tcBorders>
            <w:shd w:val="clear" w:color="auto" w:fill="auto"/>
            <w:noWrap/>
            <w:vAlign w:val="bottom"/>
            <w:hideMark/>
          </w:tcPr>
          <w:p w14:paraId="4E219F8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Hungary</w:t>
            </w:r>
          </w:p>
        </w:tc>
        <w:tc>
          <w:tcPr>
            <w:tcW w:w="1164" w:type="dxa"/>
            <w:tcBorders>
              <w:top w:val="nil"/>
              <w:left w:val="nil"/>
              <w:bottom w:val="nil"/>
              <w:right w:val="nil"/>
            </w:tcBorders>
            <w:shd w:val="clear" w:color="auto" w:fill="auto"/>
            <w:noWrap/>
            <w:vAlign w:val="bottom"/>
            <w:hideMark/>
          </w:tcPr>
          <w:p w14:paraId="7AF2F65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Iceland</w:t>
            </w:r>
          </w:p>
        </w:tc>
        <w:tc>
          <w:tcPr>
            <w:tcW w:w="1138" w:type="dxa"/>
            <w:tcBorders>
              <w:top w:val="nil"/>
              <w:left w:val="nil"/>
              <w:bottom w:val="nil"/>
              <w:right w:val="nil"/>
            </w:tcBorders>
            <w:shd w:val="clear" w:color="auto" w:fill="auto"/>
            <w:noWrap/>
            <w:vAlign w:val="bottom"/>
            <w:hideMark/>
          </w:tcPr>
          <w:p w14:paraId="55E0FC5C"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India</w:t>
            </w:r>
          </w:p>
        </w:tc>
        <w:tc>
          <w:tcPr>
            <w:tcW w:w="1169" w:type="dxa"/>
            <w:tcBorders>
              <w:top w:val="nil"/>
              <w:left w:val="nil"/>
              <w:bottom w:val="nil"/>
              <w:right w:val="single" w:sz="4" w:space="0" w:color="auto"/>
            </w:tcBorders>
            <w:shd w:val="clear" w:color="auto" w:fill="auto"/>
            <w:noWrap/>
            <w:vAlign w:val="bottom"/>
            <w:hideMark/>
          </w:tcPr>
          <w:p w14:paraId="333E3B66"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Israel</w:t>
            </w:r>
          </w:p>
        </w:tc>
      </w:tr>
      <w:tr w:rsidR="00ED02A4" w:rsidRPr="004508AF" w14:paraId="7CF81D9A"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551821C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19D440D6"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7EC8030B"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Jordan</w:t>
            </w:r>
          </w:p>
        </w:tc>
        <w:tc>
          <w:tcPr>
            <w:tcW w:w="1164" w:type="dxa"/>
            <w:tcBorders>
              <w:top w:val="nil"/>
              <w:left w:val="nil"/>
              <w:bottom w:val="nil"/>
              <w:right w:val="nil"/>
            </w:tcBorders>
            <w:shd w:val="clear" w:color="auto" w:fill="auto"/>
            <w:noWrap/>
            <w:vAlign w:val="bottom"/>
            <w:hideMark/>
          </w:tcPr>
          <w:p w14:paraId="5A29AAC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Kenya</w:t>
            </w:r>
          </w:p>
        </w:tc>
        <w:tc>
          <w:tcPr>
            <w:tcW w:w="1117" w:type="dxa"/>
            <w:tcBorders>
              <w:top w:val="nil"/>
              <w:left w:val="nil"/>
              <w:bottom w:val="nil"/>
              <w:right w:val="nil"/>
            </w:tcBorders>
            <w:shd w:val="clear" w:color="auto" w:fill="auto"/>
            <w:noWrap/>
            <w:vAlign w:val="bottom"/>
            <w:hideMark/>
          </w:tcPr>
          <w:p w14:paraId="0B88FF18"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Luxembourg</w:t>
            </w:r>
          </w:p>
        </w:tc>
        <w:tc>
          <w:tcPr>
            <w:tcW w:w="1164" w:type="dxa"/>
            <w:tcBorders>
              <w:top w:val="nil"/>
              <w:left w:val="nil"/>
              <w:bottom w:val="nil"/>
              <w:right w:val="nil"/>
            </w:tcBorders>
            <w:shd w:val="clear" w:color="auto" w:fill="auto"/>
            <w:noWrap/>
            <w:vAlign w:val="bottom"/>
            <w:hideMark/>
          </w:tcPr>
          <w:p w14:paraId="21AEDFB0"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Mexico</w:t>
            </w:r>
          </w:p>
        </w:tc>
        <w:tc>
          <w:tcPr>
            <w:tcW w:w="1138" w:type="dxa"/>
            <w:tcBorders>
              <w:top w:val="nil"/>
              <w:left w:val="nil"/>
              <w:bottom w:val="nil"/>
              <w:right w:val="nil"/>
            </w:tcBorders>
            <w:shd w:val="clear" w:color="auto" w:fill="auto"/>
            <w:noWrap/>
            <w:vAlign w:val="bottom"/>
            <w:hideMark/>
          </w:tcPr>
          <w:p w14:paraId="4CC81D9B"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Morocco</w:t>
            </w:r>
          </w:p>
        </w:tc>
        <w:tc>
          <w:tcPr>
            <w:tcW w:w="1169" w:type="dxa"/>
            <w:tcBorders>
              <w:top w:val="nil"/>
              <w:left w:val="nil"/>
              <w:bottom w:val="nil"/>
              <w:right w:val="single" w:sz="4" w:space="0" w:color="auto"/>
            </w:tcBorders>
            <w:shd w:val="clear" w:color="auto" w:fill="auto"/>
            <w:noWrap/>
            <w:vAlign w:val="bottom"/>
            <w:hideMark/>
          </w:tcPr>
          <w:p w14:paraId="3424A5C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New Zealand</w:t>
            </w:r>
          </w:p>
        </w:tc>
      </w:tr>
      <w:tr w:rsidR="00ED02A4" w:rsidRPr="004508AF" w14:paraId="53E4C990"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55948F23"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3F4404A9"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2F73A428"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Pakistan</w:t>
            </w:r>
          </w:p>
        </w:tc>
        <w:tc>
          <w:tcPr>
            <w:tcW w:w="1164" w:type="dxa"/>
            <w:tcBorders>
              <w:top w:val="nil"/>
              <w:left w:val="nil"/>
              <w:bottom w:val="nil"/>
              <w:right w:val="nil"/>
            </w:tcBorders>
            <w:shd w:val="clear" w:color="auto" w:fill="auto"/>
            <w:noWrap/>
            <w:vAlign w:val="bottom"/>
            <w:hideMark/>
          </w:tcPr>
          <w:p w14:paraId="026D676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Panama</w:t>
            </w:r>
          </w:p>
        </w:tc>
        <w:tc>
          <w:tcPr>
            <w:tcW w:w="1117" w:type="dxa"/>
            <w:tcBorders>
              <w:top w:val="nil"/>
              <w:left w:val="nil"/>
              <w:bottom w:val="nil"/>
              <w:right w:val="nil"/>
            </w:tcBorders>
            <w:shd w:val="clear" w:color="auto" w:fill="auto"/>
            <w:noWrap/>
            <w:vAlign w:val="bottom"/>
            <w:hideMark/>
          </w:tcPr>
          <w:p w14:paraId="3A2592B8"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Peru</w:t>
            </w:r>
          </w:p>
        </w:tc>
        <w:tc>
          <w:tcPr>
            <w:tcW w:w="1164" w:type="dxa"/>
            <w:tcBorders>
              <w:top w:val="nil"/>
              <w:left w:val="nil"/>
              <w:bottom w:val="nil"/>
              <w:right w:val="nil"/>
            </w:tcBorders>
            <w:shd w:val="clear" w:color="auto" w:fill="auto"/>
            <w:noWrap/>
            <w:vAlign w:val="bottom"/>
            <w:hideMark/>
          </w:tcPr>
          <w:p w14:paraId="4E7A79AF"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Philippines</w:t>
            </w:r>
          </w:p>
        </w:tc>
        <w:tc>
          <w:tcPr>
            <w:tcW w:w="1138" w:type="dxa"/>
            <w:tcBorders>
              <w:top w:val="nil"/>
              <w:left w:val="nil"/>
              <w:bottom w:val="nil"/>
              <w:right w:val="nil"/>
            </w:tcBorders>
            <w:shd w:val="clear" w:color="auto" w:fill="auto"/>
            <w:noWrap/>
            <w:vAlign w:val="bottom"/>
            <w:hideMark/>
          </w:tcPr>
          <w:p w14:paraId="4B9AFB13"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Poland</w:t>
            </w:r>
          </w:p>
        </w:tc>
        <w:tc>
          <w:tcPr>
            <w:tcW w:w="1169" w:type="dxa"/>
            <w:tcBorders>
              <w:top w:val="nil"/>
              <w:left w:val="nil"/>
              <w:bottom w:val="nil"/>
              <w:right w:val="single" w:sz="4" w:space="0" w:color="auto"/>
            </w:tcBorders>
            <w:shd w:val="clear" w:color="auto" w:fill="auto"/>
            <w:noWrap/>
            <w:vAlign w:val="bottom"/>
            <w:hideMark/>
          </w:tcPr>
          <w:p w14:paraId="139EF33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Portugal</w:t>
            </w:r>
          </w:p>
        </w:tc>
      </w:tr>
      <w:tr w:rsidR="00ED02A4" w:rsidRPr="004508AF" w14:paraId="3A3D2D39"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0B157195"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50B3138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010211CC"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Slovakia</w:t>
            </w:r>
          </w:p>
        </w:tc>
        <w:tc>
          <w:tcPr>
            <w:tcW w:w="1164" w:type="dxa"/>
            <w:tcBorders>
              <w:top w:val="nil"/>
              <w:left w:val="nil"/>
              <w:bottom w:val="nil"/>
              <w:right w:val="nil"/>
            </w:tcBorders>
            <w:shd w:val="clear" w:color="auto" w:fill="auto"/>
            <w:noWrap/>
            <w:vAlign w:val="bottom"/>
            <w:hideMark/>
          </w:tcPr>
          <w:p w14:paraId="47715F1B"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Sri Lanka</w:t>
            </w:r>
          </w:p>
        </w:tc>
        <w:tc>
          <w:tcPr>
            <w:tcW w:w="1117" w:type="dxa"/>
            <w:tcBorders>
              <w:top w:val="nil"/>
              <w:left w:val="nil"/>
              <w:bottom w:val="nil"/>
              <w:right w:val="nil"/>
            </w:tcBorders>
            <w:shd w:val="clear" w:color="auto" w:fill="auto"/>
            <w:noWrap/>
            <w:vAlign w:val="bottom"/>
            <w:hideMark/>
          </w:tcPr>
          <w:p w14:paraId="635A57CA"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Taiwan</w:t>
            </w:r>
          </w:p>
        </w:tc>
        <w:tc>
          <w:tcPr>
            <w:tcW w:w="1164" w:type="dxa"/>
            <w:tcBorders>
              <w:top w:val="nil"/>
              <w:left w:val="nil"/>
              <w:bottom w:val="nil"/>
              <w:right w:val="nil"/>
            </w:tcBorders>
            <w:shd w:val="clear" w:color="auto" w:fill="auto"/>
            <w:noWrap/>
            <w:vAlign w:val="bottom"/>
            <w:hideMark/>
          </w:tcPr>
          <w:p w14:paraId="1BE6C28B"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Thailand</w:t>
            </w:r>
          </w:p>
        </w:tc>
        <w:tc>
          <w:tcPr>
            <w:tcW w:w="1138" w:type="dxa"/>
            <w:tcBorders>
              <w:top w:val="nil"/>
              <w:left w:val="nil"/>
              <w:bottom w:val="nil"/>
              <w:right w:val="nil"/>
            </w:tcBorders>
            <w:shd w:val="clear" w:color="auto" w:fill="auto"/>
            <w:noWrap/>
            <w:vAlign w:val="bottom"/>
            <w:hideMark/>
          </w:tcPr>
          <w:p w14:paraId="7EC20005"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Turkey</w:t>
            </w:r>
          </w:p>
        </w:tc>
        <w:tc>
          <w:tcPr>
            <w:tcW w:w="1169" w:type="dxa"/>
            <w:tcBorders>
              <w:top w:val="nil"/>
              <w:left w:val="nil"/>
              <w:bottom w:val="nil"/>
              <w:right w:val="single" w:sz="4" w:space="0" w:color="auto"/>
            </w:tcBorders>
            <w:shd w:val="clear" w:color="auto" w:fill="auto"/>
            <w:noWrap/>
            <w:vAlign w:val="bottom"/>
            <w:hideMark/>
          </w:tcPr>
          <w:p w14:paraId="7387C27D"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Venezuela</w:t>
            </w:r>
          </w:p>
        </w:tc>
      </w:tr>
      <w:tr w:rsidR="00ED02A4" w:rsidRPr="004508AF" w14:paraId="568C0AC2"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57FCA84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12D01A43"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Post 1993</w:t>
            </w:r>
          </w:p>
        </w:tc>
        <w:tc>
          <w:tcPr>
            <w:tcW w:w="1092" w:type="dxa"/>
            <w:tcBorders>
              <w:top w:val="nil"/>
              <w:left w:val="nil"/>
              <w:bottom w:val="nil"/>
              <w:right w:val="nil"/>
            </w:tcBorders>
            <w:shd w:val="clear" w:color="auto" w:fill="auto"/>
            <w:noWrap/>
            <w:vAlign w:val="bottom"/>
            <w:hideMark/>
          </w:tcPr>
          <w:p w14:paraId="548C42D9"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Bahrain</w:t>
            </w:r>
          </w:p>
        </w:tc>
        <w:tc>
          <w:tcPr>
            <w:tcW w:w="1164" w:type="dxa"/>
            <w:tcBorders>
              <w:top w:val="nil"/>
              <w:left w:val="nil"/>
              <w:bottom w:val="nil"/>
              <w:right w:val="nil"/>
            </w:tcBorders>
            <w:shd w:val="clear" w:color="auto" w:fill="auto"/>
            <w:noWrap/>
            <w:vAlign w:val="bottom"/>
            <w:hideMark/>
          </w:tcPr>
          <w:p w14:paraId="23ED55C0"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Botswana</w:t>
            </w:r>
          </w:p>
        </w:tc>
        <w:tc>
          <w:tcPr>
            <w:tcW w:w="1117" w:type="dxa"/>
            <w:tcBorders>
              <w:top w:val="nil"/>
              <w:left w:val="nil"/>
              <w:bottom w:val="nil"/>
              <w:right w:val="nil"/>
            </w:tcBorders>
            <w:shd w:val="clear" w:color="auto" w:fill="auto"/>
            <w:noWrap/>
            <w:vAlign w:val="bottom"/>
            <w:hideMark/>
          </w:tcPr>
          <w:p w14:paraId="62FF7533"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Bulgaria</w:t>
            </w:r>
          </w:p>
        </w:tc>
        <w:tc>
          <w:tcPr>
            <w:tcW w:w="1164" w:type="dxa"/>
            <w:tcBorders>
              <w:top w:val="nil"/>
              <w:left w:val="nil"/>
              <w:bottom w:val="nil"/>
              <w:right w:val="nil"/>
            </w:tcBorders>
            <w:shd w:val="clear" w:color="auto" w:fill="auto"/>
            <w:noWrap/>
            <w:vAlign w:val="bottom"/>
            <w:hideMark/>
          </w:tcPr>
          <w:p w14:paraId="7D40062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China</w:t>
            </w:r>
          </w:p>
        </w:tc>
        <w:tc>
          <w:tcPr>
            <w:tcW w:w="1138" w:type="dxa"/>
            <w:tcBorders>
              <w:top w:val="nil"/>
              <w:left w:val="nil"/>
              <w:bottom w:val="nil"/>
              <w:right w:val="nil"/>
            </w:tcBorders>
            <w:shd w:val="clear" w:color="auto" w:fill="auto"/>
            <w:noWrap/>
            <w:vAlign w:val="bottom"/>
            <w:hideMark/>
          </w:tcPr>
          <w:p w14:paraId="1C3A1F0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Cote d'Ivoire</w:t>
            </w:r>
          </w:p>
        </w:tc>
        <w:tc>
          <w:tcPr>
            <w:tcW w:w="1169" w:type="dxa"/>
            <w:tcBorders>
              <w:top w:val="nil"/>
              <w:left w:val="nil"/>
              <w:bottom w:val="nil"/>
              <w:right w:val="single" w:sz="4" w:space="0" w:color="auto"/>
            </w:tcBorders>
            <w:shd w:val="clear" w:color="auto" w:fill="auto"/>
            <w:noWrap/>
            <w:vAlign w:val="bottom"/>
            <w:hideMark/>
          </w:tcPr>
          <w:p w14:paraId="7CC617CD"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Croatia</w:t>
            </w:r>
          </w:p>
        </w:tc>
      </w:tr>
      <w:tr w:rsidR="00ED02A4" w:rsidRPr="004508AF" w14:paraId="080E1F3F"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558594E9"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00AE7FB9"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41667DDA"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Cyprus</w:t>
            </w:r>
          </w:p>
        </w:tc>
        <w:tc>
          <w:tcPr>
            <w:tcW w:w="1164" w:type="dxa"/>
            <w:tcBorders>
              <w:top w:val="nil"/>
              <w:left w:val="nil"/>
              <w:bottom w:val="nil"/>
              <w:right w:val="nil"/>
            </w:tcBorders>
            <w:shd w:val="clear" w:color="auto" w:fill="auto"/>
            <w:noWrap/>
            <w:vAlign w:val="bottom"/>
            <w:hideMark/>
          </w:tcPr>
          <w:p w14:paraId="13F6DD08"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Egypt</w:t>
            </w:r>
          </w:p>
        </w:tc>
        <w:tc>
          <w:tcPr>
            <w:tcW w:w="1117" w:type="dxa"/>
            <w:tcBorders>
              <w:top w:val="nil"/>
              <w:left w:val="nil"/>
              <w:bottom w:val="nil"/>
              <w:right w:val="nil"/>
            </w:tcBorders>
            <w:shd w:val="clear" w:color="auto" w:fill="auto"/>
            <w:noWrap/>
            <w:vAlign w:val="bottom"/>
            <w:hideMark/>
          </w:tcPr>
          <w:p w14:paraId="008A29C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Estonia</w:t>
            </w:r>
          </w:p>
        </w:tc>
        <w:tc>
          <w:tcPr>
            <w:tcW w:w="1164" w:type="dxa"/>
            <w:tcBorders>
              <w:top w:val="nil"/>
              <w:left w:val="nil"/>
              <w:bottom w:val="nil"/>
              <w:right w:val="nil"/>
            </w:tcBorders>
            <w:shd w:val="clear" w:color="auto" w:fill="auto"/>
            <w:noWrap/>
            <w:vAlign w:val="bottom"/>
            <w:hideMark/>
          </w:tcPr>
          <w:p w14:paraId="4F70FDF9"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Ghana</w:t>
            </w:r>
          </w:p>
        </w:tc>
        <w:tc>
          <w:tcPr>
            <w:tcW w:w="1138" w:type="dxa"/>
            <w:tcBorders>
              <w:top w:val="nil"/>
              <w:left w:val="nil"/>
              <w:bottom w:val="nil"/>
              <w:right w:val="nil"/>
            </w:tcBorders>
            <w:shd w:val="clear" w:color="auto" w:fill="auto"/>
            <w:noWrap/>
            <w:vAlign w:val="bottom"/>
            <w:hideMark/>
          </w:tcPr>
          <w:p w14:paraId="3CCC1505"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Iceland</w:t>
            </w:r>
          </w:p>
        </w:tc>
        <w:tc>
          <w:tcPr>
            <w:tcW w:w="1169" w:type="dxa"/>
            <w:tcBorders>
              <w:top w:val="nil"/>
              <w:left w:val="nil"/>
              <w:bottom w:val="nil"/>
              <w:right w:val="single" w:sz="4" w:space="0" w:color="auto"/>
            </w:tcBorders>
            <w:shd w:val="clear" w:color="auto" w:fill="auto"/>
            <w:noWrap/>
            <w:vAlign w:val="bottom"/>
            <w:hideMark/>
          </w:tcPr>
          <w:p w14:paraId="7C4F44C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Indonesia</w:t>
            </w:r>
          </w:p>
        </w:tc>
      </w:tr>
      <w:tr w:rsidR="00ED02A4" w:rsidRPr="004508AF" w14:paraId="3E00A75F"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20D17A19"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1F45CC21"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53B4C68F"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Jamaica</w:t>
            </w:r>
          </w:p>
        </w:tc>
        <w:tc>
          <w:tcPr>
            <w:tcW w:w="1164" w:type="dxa"/>
            <w:tcBorders>
              <w:top w:val="nil"/>
              <w:left w:val="nil"/>
              <w:bottom w:val="nil"/>
              <w:right w:val="nil"/>
            </w:tcBorders>
            <w:shd w:val="clear" w:color="auto" w:fill="auto"/>
            <w:noWrap/>
            <w:vAlign w:val="bottom"/>
            <w:hideMark/>
          </w:tcPr>
          <w:p w14:paraId="59323B1B"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Kazakhstan</w:t>
            </w:r>
          </w:p>
        </w:tc>
        <w:tc>
          <w:tcPr>
            <w:tcW w:w="1117" w:type="dxa"/>
            <w:tcBorders>
              <w:top w:val="nil"/>
              <w:left w:val="nil"/>
              <w:bottom w:val="nil"/>
              <w:right w:val="nil"/>
            </w:tcBorders>
            <w:shd w:val="clear" w:color="auto" w:fill="auto"/>
            <w:noWrap/>
            <w:vAlign w:val="bottom"/>
            <w:hideMark/>
          </w:tcPr>
          <w:p w14:paraId="77126EDF"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Kuwait</w:t>
            </w:r>
          </w:p>
        </w:tc>
        <w:tc>
          <w:tcPr>
            <w:tcW w:w="1164" w:type="dxa"/>
            <w:tcBorders>
              <w:top w:val="nil"/>
              <w:left w:val="nil"/>
              <w:bottom w:val="nil"/>
              <w:right w:val="nil"/>
            </w:tcBorders>
            <w:shd w:val="clear" w:color="auto" w:fill="auto"/>
            <w:noWrap/>
            <w:vAlign w:val="bottom"/>
            <w:hideMark/>
          </w:tcPr>
          <w:p w14:paraId="193448B7"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Latvia</w:t>
            </w:r>
          </w:p>
        </w:tc>
        <w:tc>
          <w:tcPr>
            <w:tcW w:w="1138" w:type="dxa"/>
            <w:tcBorders>
              <w:top w:val="nil"/>
              <w:left w:val="nil"/>
              <w:bottom w:val="nil"/>
              <w:right w:val="nil"/>
            </w:tcBorders>
            <w:shd w:val="clear" w:color="auto" w:fill="auto"/>
            <w:noWrap/>
            <w:vAlign w:val="bottom"/>
            <w:hideMark/>
          </w:tcPr>
          <w:p w14:paraId="05D656F2"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Lebanon</w:t>
            </w:r>
          </w:p>
        </w:tc>
        <w:tc>
          <w:tcPr>
            <w:tcW w:w="1169" w:type="dxa"/>
            <w:tcBorders>
              <w:top w:val="nil"/>
              <w:left w:val="nil"/>
              <w:bottom w:val="nil"/>
              <w:right w:val="single" w:sz="4" w:space="0" w:color="auto"/>
            </w:tcBorders>
            <w:shd w:val="clear" w:color="auto" w:fill="auto"/>
            <w:noWrap/>
            <w:vAlign w:val="bottom"/>
            <w:hideMark/>
          </w:tcPr>
          <w:p w14:paraId="0AD239D0"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Lithuania</w:t>
            </w:r>
          </w:p>
        </w:tc>
      </w:tr>
      <w:tr w:rsidR="00ED02A4" w:rsidRPr="004508AF" w14:paraId="0DBEA038"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3A21B3F0"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3A00E28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4EFEC41C"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Macedonia</w:t>
            </w:r>
          </w:p>
        </w:tc>
        <w:tc>
          <w:tcPr>
            <w:tcW w:w="1164" w:type="dxa"/>
            <w:tcBorders>
              <w:top w:val="nil"/>
              <w:left w:val="nil"/>
              <w:bottom w:val="nil"/>
              <w:right w:val="nil"/>
            </w:tcBorders>
            <w:shd w:val="clear" w:color="auto" w:fill="auto"/>
            <w:noWrap/>
            <w:vAlign w:val="bottom"/>
            <w:hideMark/>
          </w:tcPr>
          <w:p w14:paraId="1EB63E11"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Malta</w:t>
            </w:r>
          </w:p>
        </w:tc>
        <w:tc>
          <w:tcPr>
            <w:tcW w:w="1117" w:type="dxa"/>
            <w:tcBorders>
              <w:top w:val="nil"/>
              <w:left w:val="nil"/>
              <w:bottom w:val="nil"/>
              <w:right w:val="nil"/>
            </w:tcBorders>
            <w:shd w:val="clear" w:color="auto" w:fill="auto"/>
            <w:noWrap/>
            <w:vAlign w:val="bottom"/>
            <w:hideMark/>
          </w:tcPr>
          <w:p w14:paraId="5077C820"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Mauritius</w:t>
            </w:r>
          </w:p>
        </w:tc>
        <w:tc>
          <w:tcPr>
            <w:tcW w:w="1164" w:type="dxa"/>
            <w:tcBorders>
              <w:top w:val="nil"/>
              <w:left w:val="nil"/>
              <w:bottom w:val="nil"/>
              <w:right w:val="nil"/>
            </w:tcBorders>
            <w:shd w:val="clear" w:color="auto" w:fill="auto"/>
            <w:noWrap/>
            <w:vAlign w:val="bottom"/>
            <w:hideMark/>
          </w:tcPr>
          <w:p w14:paraId="1E454513"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Montenegro</w:t>
            </w:r>
          </w:p>
        </w:tc>
        <w:tc>
          <w:tcPr>
            <w:tcW w:w="1138" w:type="dxa"/>
            <w:tcBorders>
              <w:top w:val="nil"/>
              <w:left w:val="nil"/>
              <w:bottom w:val="nil"/>
              <w:right w:val="nil"/>
            </w:tcBorders>
            <w:shd w:val="clear" w:color="auto" w:fill="auto"/>
            <w:noWrap/>
            <w:vAlign w:val="bottom"/>
            <w:hideMark/>
          </w:tcPr>
          <w:p w14:paraId="6277AE63"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Namibia</w:t>
            </w:r>
          </w:p>
        </w:tc>
        <w:tc>
          <w:tcPr>
            <w:tcW w:w="1169" w:type="dxa"/>
            <w:tcBorders>
              <w:top w:val="nil"/>
              <w:left w:val="nil"/>
              <w:bottom w:val="nil"/>
              <w:right w:val="single" w:sz="4" w:space="0" w:color="auto"/>
            </w:tcBorders>
            <w:shd w:val="clear" w:color="auto" w:fill="auto"/>
            <w:noWrap/>
            <w:vAlign w:val="bottom"/>
            <w:hideMark/>
          </w:tcPr>
          <w:p w14:paraId="2469E68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Nigeria</w:t>
            </w:r>
          </w:p>
        </w:tc>
      </w:tr>
      <w:tr w:rsidR="00ED02A4" w:rsidRPr="004508AF" w14:paraId="55ECD35F"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65153485"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798CCAA6"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29473792"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Oman</w:t>
            </w:r>
          </w:p>
        </w:tc>
        <w:tc>
          <w:tcPr>
            <w:tcW w:w="1164" w:type="dxa"/>
            <w:tcBorders>
              <w:top w:val="nil"/>
              <w:left w:val="nil"/>
              <w:bottom w:val="nil"/>
              <w:right w:val="nil"/>
            </w:tcBorders>
            <w:shd w:val="clear" w:color="auto" w:fill="auto"/>
            <w:noWrap/>
            <w:vAlign w:val="bottom"/>
            <w:hideMark/>
          </w:tcPr>
          <w:p w14:paraId="2C2B99DB"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Qatar</w:t>
            </w:r>
          </w:p>
        </w:tc>
        <w:tc>
          <w:tcPr>
            <w:tcW w:w="1117" w:type="dxa"/>
            <w:tcBorders>
              <w:top w:val="nil"/>
              <w:left w:val="nil"/>
              <w:bottom w:val="nil"/>
              <w:right w:val="nil"/>
            </w:tcBorders>
            <w:shd w:val="clear" w:color="auto" w:fill="auto"/>
            <w:noWrap/>
            <w:vAlign w:val="bottom"/>
            <w:hideMark/>
          </w:tcPr>
          <w:p w14:paraId="1FBA3AC8"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Romania</w:t>
            </w:r>
          </w:p>
        </w:tc>
        <w:tc>
          <w:tcPr>
            <w:tcW w:w="1164" w:type="dxa"/>
            <w:tcBorders>
              <w:top w:val="nil"/>
              <w:left w:val="nil"/>
              <w:bottom w:val="nil"/>
              <w:right w:val="nil"/>
            </w:tcBorders>
            <w:shd w:val="clear" w:color="auto" w:fill="auto"/>
            <w:noWrap/>
            <w:vAlign w:val="bottom"/>
            <w:hideMark/>
          </w:tcPr>
          <w:p w14:paraId="466DC46D"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Russia</w:t>
            </w:r>
          </w:p>
        </w:tc>
        <w:tc>
          <w:tcPr>
            <w:tcW w:w="1138" w:type="dxa"/>
            <w:tcBorders>
              <w:top w:val="nil"/>
              <w:left w:val="nil"/>
              <w:bottom w:val="nil"/>
              <w:right w:val="nil"/>
            </w:tcBorders>
            <w:shd w:val="clear" w:color="auto" w:fill="auto"/>
            <w:noWrap/>
            <w:vAlign w:val="bottom"/>
            <w:hideMark/>
          </w:tcPr>
          <w:p w14:paraId="7C156528"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Saudi Arabia</w:t>
            </w:r>
          </w:p>
        </w:tc>
        <w:tc>
          <w:tcPr>
            <w:tcW w:w="1169" w:type="dxa"/>
            <w:tcBorders>
              <w:top w:val="nil"/>
              <w:left w:val="nil"/>
              <w:bottom w:val="nil"/>
              <w:right w:val="single" w:sz="4" w:space="0" w:color="auto"/>
            </w:tcBorders>
            <w:shd w:val="clear" w:color="auto" w:fill="auto"/>
            <w:noWrap/>
            <w:vAlign w:val="bottom"/>
            <w:hideMark/>
          </w:tcPr>
          <w:p w14:paraId="5BD6AE62"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Serbia</w:t>
            </w:r>
          </w:p>
        </w:tc>
      </w:tr>
      <w:tr w:rsidR="00ED02A4" w:rsidRPr="004508AF" w14:paraId="69751D77"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7975C152"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3586508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7CCB96D1"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Slovenia</w:t>
            </w:r>
          </w:p>
        </w:tc>
        <w:tc>
          <w:tcPr>
            <w:tcW w:w="1164" w:type="dxa"/>
            <w:tcBorders>
              <w:top w:val="nil"/>
              <w:left w:val="nil"/>
              <w:bottom w:val="nil"/>
              <w:right w:val="nil"/>
            </w:tcBorders>
            <w:shd w:val="clear" w:color="auto" w:fill="auto"/>
            <w:noWrap/>
            <w:vAlign w:val="bottom"/>
            <w:hideMark/>
          </w:tcPr>
          <w:p w14:paraId="2965B8FA"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Trinidad</w:t>
            </w:r>
          </w:p>
        </w:tc>
        <w:tc>
          <w:tcPr>
            <w:tcW w:w="1117" w:type="dxa"/>
            <w:tcBorders>
              <w:top w:val="nil"/>
              <w:left w:val="nil"/>
              <w:bottom w:val="nil"/>
              <w:right w:val="nil"/>
            </w:tcBorders>
            <w:shd w:val="clear" w:color="auto" w:fill="auto"/>
            <w:noWrap/>
            <w:vAlign w:val="bottom"/>
            <w:hideMark/>
          </w:tcPr>
          <w:p w14:paraId="3E761B9F"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Tunisia</w:t>
            </w:r>
          </w:p>
        </w:tc>
        <w:tc>
          <w:tcPr>
            <w:tcW w:w="1164" w:type="dxa"/>
            <w:tcBorders>
              <w:top w:val="nil"/>
              <w:left w:val="nil"/>
              <w:bottom w:val="nil"/>
              <w:right w:val="nil"/>
            </w:tcBorders>
            <w:shd w:val="clear" w:color="auto" w:fill="auto"/>
            <w:noWrap/>
            <w:vAlign w:val="bottom"/>
            <w:hideMark/>
          </w:tcPr>
          <w:p w14:paraId="540E8391"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Ukraine</w:t>
            </w:r>
          </w:p>
        </w:tc>
        <w:tc>
          <w:tcPr>
            <w:tcW w:w="1138" w:type="dxa"/>
            <w:tcBorders>
              <w:top w:val="nil"/>
              <w:left w:val="nil"/>
              <w:bottom w:val="nil"/>
              <w:right w:val="nil"/>
            </w:tcBorders>
            <w:shd w:val="clear" w:color="auto" w:fill="auto"/>
            <w:noWrap/>
            <w:vAlign w:val="bottom"/>
            <w:hideMark/>
          </w:tcPr>
          <w:p w14:paraId="4BDA4597"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UAE</w:t>
            </w:r>
          </w:p>
        </w:tc>
        <w:tc>
          <w:tcPr>
            <w:tcW w:w="1169" w:type="dxa"/>
            <w:tcBorders>
              <w:top w:val="nil"/>
              <w:left w:val="nil"/>
              <w:bottom w:val="nil"/>
              <w:right w:val="single" w:sz="4" w:space="0" w:color="auto"/>
            </w:tcBorders>
            <w:shd w:val="clear" w:color="auto" w:fill="auto"/>
            <w:noWrap/>
            <w:vAlign w:val="bottom"/>
            <w:hideMark/>
          </w:tcPr>
          <w:p w14:paraId="0FAC8B9F"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Vietnam</w:t>
            </w:r>
          </w:p>
        </w:tc>
      </w:tr>
      <w:tr w:rsidR="00ED02A4" w:rsidRPr="004508AF" w14:paraId="1B7F33D7"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4CF83BB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6A18B5DF"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510621A6"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Zambia</w:t>
            </w:r>
          </w:p>
        </w:tc>
        <w:tc>
          <w:tcPr>
            <w:tcW w:w="1164" w:type="dxa"/>
            <w:tcBorders>
              <w:top w:val="nil"/>
              <w:left w:val="nil"/>
              <w:bottom w:val="nil"/>
              <w:right w:val="nil"/>
            </w:tcBorders>
            <w:shd w:val="clear" w:color="auto" w:fill="auto"/>
            <w:noWrap/>
            <w:vAlign w:val="bottom"/>
            <w:hideMark/>
          </w:tcPr>
          <w:p w14:paraId="7345BDE2"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17" w:type="dxa"/>
            <w:tcBorders>
              <w:top w:val="nil"/>
              <w:left w:val="nil"/>
              <w:bottom w:val="nil"/>
              <w:right w:val="nil"/>
            </w:tcBorders>
            <w:shd w:val="clear" w:color="auto" w:fill="auto"/>
            <w:noWrap/>
            <w:vAlign w:val="bottom"/>
            <w:hideMark/>
          </w:tcPr>
          <w:p w14:paraId="55928C79"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64" w:type="dxa"/>
            <w:tcBorders>
              <w:top w:val="nil"/>
              <w:left w:val="nil"/>
              <w:bottom w:val="nil"/>
              <w:right w:val="nil"/>
            </w:tcBorders>
            <w:shd w:val="clear" w:color="auto" w:fill="auto"/>
            <w:noWrap/>
            <w:vAlign w:val="bottom"/>
            <w:hideMark/>
          </w:tcPr>
          <w:p w14:paraId="7223E415"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38" w:type="dxa"/>
            <w:tcBorders>
              <w:top w:val="nil"/>
              <w:left w:val="nil"/>
              <w:bottom w:val="nil"/>
              <w:right w:val="nil"/>
            </w:tcBorders>
            <w:shd w:val="clear" w:color="auto" w:fill="auto"/>
            <w:noWrap/>
            <w:vAlign w:val="bottom"/>
            <w:hideMark/>
          </w:tcPr>
          <w:p w14:paraId="65F1E992"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69" w:type="dxa"/>
            <w:tcBorders>
              <w:top w:val="nil"/>
              <w:left w:val="nil"/>
              <w:bottom w:val="nil"/>
              <w:right w:val="single" w:sz="4" w:space="0" w:color="auto"/>
            </w:tcBorders>
            <w:shd w:val="clear" w:color="auto" w:fill="auto"/>
            <w:noWrap/>
            <w:vAlign w:val="bottom"/>
            <w:hideMark/>
          </w:tcPr>
          <w:p w14:paraId="0C9A6E1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r>
      <w:tr w:rsidR="00ED02A4" w:rsidRPr="004508AF" w14:paraId="70F7907D"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79F488C2"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352F6985"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76EFF47F"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64" w:type="dxa"/>
            <w:tcBorders>
              <w:top w:val="nil"/>
              <w:left w:val="nil"/>
              <w:bottom w:val="nil"/>
              <w:right w:val="nil"/>
            </w:tcBorders>
            <w:shd w:val="clear" w:color="auto" w:fill="auto"/>
            <w:noWrap/>
            <w:vAlign w:val="bottom"/>
            <w:hideMark/>
          </w:tcPr>
          <w:p w14:paraId="6E839C87"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17" w:type="dxa"/>
            <w:tcBorders>
              <w:top w:val="nil"/>
              <w:left w:val="nil"/>
              <w:bottom w:val="nil"/>
              <w:right w:val="nil"/>
            </w:tcBorders>
            <w:shd w:val="clear" w:color="auto" w:fill="auto"/>
            <w:noWrap/>
            <w:vAlign w:val="bottom"/>
            <w:hideMark/>
          </w:tcPr>
          <w:p w14:paraId="4A18D291"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64" w:type="dxa"/>
            <w:tcBorders>
              <w:top w:val="nil"/>
              <w:left w:val="nil"/>
              <w:bottom w:val="nil"/>
              <w:right w:val="nil"/>
            </w:tcBorders>
            <w:shd w:val="clear" w:color="auto" w:fill="auto"/>
            <w:noWrap/>
            <w:vAlign w:val="bottom"/>
            <w:hideMark/>
          </w:tcPr>
          <w:p w14:paraId="3552D15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38" w:type="dxa"/>
            <w:tcBorders>
              <w:top w:val="nil"/>
              <w:left w:val="nil"/>
              <w:bottom w:val="nil"/>
              <w:right w:val="nil"/>
            </w:tcBorders>
            <w:shd w:val="clear" w:color="auto" w:fill="auto"/>
            <w:noWrap/>
            <w:vAlign w:val="bottom"/>
            <w:hideMark/>
          </w:tcPr>
          <w:p w14:paraId="45355663"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69" w:type="dxa"/>
            <w:tcBorders>
              <w:top w:val="nil"/>
              <w:left w:val="nil"/>
              <w:bottom w:val="nil"/>
              <w:right w:val="single" w:sz="4" w:space="0" w:color="auto"/>
            </w:tcBorders>
            <w:shd w:val="clear" w:color="auto" w:fill="auto"/>
            <w:noWrap/>
            <w:vAlign w:val="bottom"/>
            <w:hideMark/>
          </w:tcPr>
          <w:p w14:paraId="2A3FE9C2"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r>
      <w:tr w:rsidR="00ED02A4" w:rsidRPr="004508AF" w14:paraId="4867AED0"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646F0385"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Bond</w:t>
            </w:r>
          </w:p>
        </w:tc>
        <w:tc>
          <w:tcPr>
            <w:tcW w:w="968" w:type="dxa"/>
            <w:tcBorders>
              <w:top w:val="nil"/>
              <w:left w:val="nil"/>
              <w:bottom w:val="nil"/>
              <w:right w:val="nil"/>
            </w:tcBorders>
            <w:shd w:val="clear" w:color="auto" w:fill="auto"/>
            <w:noWrap/>
            <w:vAlign w:val="bottom"/>
            <w:hideMark/>
          </w:tcPr>
          <w:p w14:paraId="11E6E5C1"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Pre 1986</w:t>
            </w:r>
          </w:p>
        </w:tc>
        <w:tc>
          <w:tcPr>
            <w:tcW w:w="1092" w:type="dxa"/>
            <w:tcBorders>
              <w:top w:val="nil"/>
              <w:left w:val="nil"/>
              <w:bottom w:val="nil"/>
              <w:right w:val="nil"/>
            </w:tcBorders>
            <w:shd w:val="clear" w:color="auto" w:fill="auto"/>
            <w:noWrap/>
            <w:vAlign w:val="bottom"/>
            <w:hideMark/>
          </w:tcPr>
          <w:p w14:paraId="6208C7D2"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Austria</w:t>
            </w:r>
          </w:p>
        </w:tc>
        <w:tc>
          <w:tcPr>
            <w:tcW w:w="1164" w:type="dxa"/>
            <w:tcBorders>
              <w:top w:val="nil"/>
              <w:left w:val="nil"/>
              <w:bottom w:val="nil"/>
              <w:right w:val="nil"/>
            </w:tcBorders>
            <w:shd w:val="clear" w:color="auto" w:fill="auto"/>
            <w:noWrap/>
            <w:vAlign w:val="bottom"/>
            <w:hideMark/>
          </w:tcPr>
          <w:p w14:paraId="05E6B1AA"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Belgium</w:t>
            </w:r>
          </w:p>
        </w:tc>
        <w:tc>
          <w:tcPr>
            <w:tcW w:w="1117" w:type="dxa"/>
            <w:tcBorders>
              <w:top w:val="nil"/>
              <w:left w:val="nil"/>
              <w:bottom w:val="nil"/>
              <w:right w:val="nil"/>
            </w:tcBorders>
            <w:shd w:val="clear" w:color="auto" w:fill="auto"/>
            <w:noWrap/>
            <w:vAlign w:val="bottom"/>
            <w:hideMark/>
          </w:tcPr>
          <w:p w14:paraId="7E3A6939"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Canada</w:t>
            </w:r>
          </w:p>
        </w:tc>
        <w:tc>
          <w:tcPr>
            <w:tcW w:w="1164" w:type="dxa"/>
            <w:tcBorders>
              <w:top w:val="nil"/>
              <w:left w:val="nil"/>
              <w:bottom w:val="nil"/>
              <w:right w:val="nil"/>
            </w:tcBorders>
            <w:shd w:val="clear" w:color="auto" w:fill="auto"/>
            <w:noWrap/>
            <w:vAlign w:val="bottom"/>
            <w:hideMark/>
          </w:tcPr>
          <w:p w14:paraId="21E39ED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Denmark</w:t>
            </w:r>
          </w:p>
        </w:tc>
        <w:tc>
          <w:tcPr>
            <w:tcW w:w="1138" w:type="dxa"/>
            <w:tcBorders>
              <w:top w:val="nil"/>
              <w:left w:val="nil"/>
              <w:bottom w:val="nil"/>
              <w:right w:val="nil"/>
            </w:tcBorders>
            <w:shd w:val="clear" w:color="auto" w:fill="auto"/>
            <w:noWrap/>
            <w:vAlign w:val="bottom"/>
            <w:hideMark/>
          </w:tcPr>
          <w:p w14:paraId="3450ECE1"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France</w:t>
            </w:r>
          </w:p>
        </w:tc>
        <w:tc>
          <w:tcPr>
            <w:tcW w:w="1169" w:type="dxa"/>
            <w:tcBorders>
              <w:top w:val="nil"/>
              <w:left w:val="nil"/>
              <w:bottom w:val="nil"/>
              <w:right w:val="single" w:sz="4" w:space="0" w:color="auto"/>
            </w:tcBorders>
            <w:shd w:val="clear" w:color="auto" w:fill="auto"/>
            <w:noWrap/>
            <w:vAlign w:val="bottom"/>
            <w:hideMark/>
          </w:tcPr>
          <w:p w14:paraId="1F9C409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Germany</w:t>
            </w:r>
          </w:p>
        </w:tc>
      </w:tr>
      <w:tr w:rsidR="00ED02A4" w:rsidRPr="004508AF" w14:paraId="0F8F727B"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4CAA2AF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37402C6A"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33F4A5B1"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Ireland</w:t>
            </w:r>
          </w:p>
        </w:tc>
        <w:tc>
          <w:tcPr>
            <w:tcW w:w="1164" w:type="dxa"/>
            <w:tcBorders>
              <w:top w:val="nil"/>
              <w:left w:val="nil"/>
              <w:bottom w:val="nil"/>
              <w:right w:val="nil"/>
            </w:tcBorders>
            <w:shd w:val="clear" w:color="auto" w:fill="auto"/>
            <w:noWrap/>
            <w:vAlign w:val="bottom"/>
            <w:hideMark/>
          </w:tcPr>
          <w:p w14:paraId="4B854035"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Japan</w:t>
            </w:r>
          </w:p>
        </w:tc>
        <w:tc>
          <w:tcPr>
            <w:tcW w:w="1117" w:type="dxa"/>
            <w:tcBorders>
              <w:top w:val="nil"/>
              <w:left w:val="nil"/>
              <w:bottom w:val="nil"/>
              <w:right w:val="nil"/>
            </w:tcBorders>
            <w:shd w:val="clear" w:color="auto" w:fill="auto"/>
            <w:noWrap/>
            <w:vAlign w:val="bottom"/>
            <w:hideMark/>
          </w:tcPr>
          <w:p w14:paraId="51FD00FA"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Netherlands</w:t>
            </w:r>
          </w:p>
        </w:tc>
        <w:tc>
          <w:tcPr>
            <w:tcW w:w="1164" w:type="dxa"/>
            <w:tcBorders>
              <w:top w:val="nil"/>
              <w:left w:val="nil"/>
              <w:bottom w:val="nil"/>
              <w:right w:val="nil"/>
            </w:tcBorders>
            <w:shd w:val="clear" w:color="auto" w:fill="auto"/>
            <w:noWrap/>
            <w:vAlign w:val="bottom"/>
            <w:hideMark/>
          </w:tcPr>
          <w:p w14:paraId="721B5AD9"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Sweden</w:t>
            </w:r>
          </w:p>
        </w:tc>
        <w:tc>
          <w:tcPr>
            <w:tcW w:w="1138" w:type="dxa"/>
            <w:tcBorders>
              <w:top w:val="nil"/>
              <w:left w:val="nil"/>
              <w:bottom w:val="nil"/>
              <w:right w:val="nil"/>
            </w:tcBorders>
            <w:shd w:val="clear" w:color="auto" w:fill="auto"/>
            <w:noWrap/>
            <w:vAlign w:val="bottom"/>
            <w:hideMark/>
          </w:tcPr>
          <w:p w14:paraId="1E79237B"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Switzerland</w:t>
            </w:r>
          </w:p>
        </w:tc>
        <w:tc>
          <w:tcPr>
            <w:tcW w:w="1169" w:type="dxa"/>
            <w:tcBorders>
              <w:top w:val="nil"/>
              <w:left w:val="nil"/>
              <w:bottom w:val="nil"/>
              <w:right w:val="single" w:sz="4" w:space="0" w:color="auto"/>
            </w:tcBorders>
            <w:shd w:val="clear" w:color="auto" w:fill="auto"/>
            <w:noWrap/>
            <w:vAlign w:val="bottom"/>
            <w:hideMark/>
          </w:tcPr>
          <w:p w14:paraId="2852E7B2"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UK</w:t>
            </w:r>
          </w:p>
        </w:tc>
      </w:tr>
      <w:tr w:rsidR="00ED02A4" w:rsidRPr="004508AF" w14:paraId="7F01BAD7"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0D2791DB"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421348BD"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78DA4DC1"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US</w:t>
            </w:r>
          </w:p>
        </w:tc>
        <w:tc>
          <w:tcPr>
            <w:tcW w:w="1164" w:type="dxa"/>
            <w:tcBorders>
              <w:top w:val="nil"/>
              <w:left w:val="nil"/>
              <w:bottom w:val="nil"/>
              <w:right w:val="nil"/>
            </w:tcBorders>
            <w:shd w:val="clear" w:color="auto" w:fill="auto"/>
            <w:noWrap/>
            <w:vAlign w:val="bottom"/>
            <w:hideMark/>
          </w:tcPr>
          <w:p w14:paraId="69E5CFCF"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17" w:type="dxa"/>
            <w:tcBorders>
              <w:top w:val="nil"/>
              <w:left w:val="nil"/>
              <w:bottom w:val="nil"/>
              <w:right w:val="nil"/>
            </w:tcBorders>
            <w:shd w:val="clear" w:color="auto" w:fill="auto"/>
            <w:noWrap/>
            <w:vAlign w:val="bottom"/>
            <w:hideMark/>
          </w:tcPr>
          <w:p w14:paraId="30622B37"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64" w:type="dxa"/>
            <w:tcBorders>
              <w:top w:val="nil"/>
              <w:left w:val="nil"/>
              <w:bottom w:val="nil"/>
              <w:right w:val="nil"/>
            </w:tcBorders>
            <w:shd w:val="clear" w:color="auto" w:fill="auto"/>
            <w:noWrap/>
            <w:vAlign w:val="bottom"/>
            <w:hideMark/>
          </w:tcPr>
          <w:p w14:paraId="4120AFDA"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38" w:type="dxa"/>
            <w:tcBorders>
              <w:top w:val="nil"/>
              <w:left w:val="nil"/>
              <w:bottom w:val="nil"/>
              <w:right w:val="nil"/>
            </w:tcBorders>
            <w:shd w:val="clear" w:color="auto" w:fill="auto"/>
            <w:noWrap/>
            <w:vAlign w:val="bottom"/>
            <w:hideMark/>
          </w:tcPr>
          <w:p w14:paraId="1E0713F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69" w:type="dxa"/>
            <w:tcBorders>
              <w:top w:val="nil"/>
              <w:left w:val="nil"/>
              <w:bottom w:val="nil"/>
              <w:right w:val="single" w:sz="4" w:space="0" w:color="auto"/>
            </w:tcBorders>
            <w:shd w:val="clear" w:color="auto" w:fill="auto"/>
            <w:noWrap/>
            <w:vAlign w:val="bottom"/>
            <w:hideMark/>
          </w:tcPr>
          <w:p w14:paraId="1096A9E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r>
      <w:tr w:rsidR="00ED02A4" w:rsidRPr="004508AF" w14:paraId="6E00EE8E"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0069D0D5"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767D1F1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1986-1999</w:t>
            </w:r>
          </w:p>
        </w:tc>
        <w:tc>
          <w:tcPr>
            <w:tcW w:w="1092" w:type="dxa"/>
            <w:tcBorders>
              <w:top w:val="nil"/>
              <w:left w:val="nil"/>
              <w:bottom w:val="nil"/>
              <w:right w:val="nil"/>
            </w:tcBorders>
            <w:shd w:val="clear" w:color="auto" w:fill="auto"/>
            <w:noWrap/>
            <w:vAlign w:val="bottom"/>
            <w:hideMark/>
          </w:tcPr>
          <w:p w14:paraId="391FB46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Australia</w:t>
            </w:r>
          </w:p>
        </w:tc>
        <w:tc>
          <w:tcPr>
            <w:tcW w:w="1164" w:type="dxa"/>
            <w:tcBorders>
              <w:top w:val="nil"/>
              <w:left w:val="nil"/>
              <w:bottom w:val="nil"/>
              <w:right w:val="nil"/>
            </w:tcBorders>
            <w:shd w:val="clear" w:color="auto" w:fill="auto"/>
            <w:noWrap/>
            <w:vAlign w:val="bottom"/>
            <w:hideMark/>
          </w:tcPr>
          <w:p w14:paraId="1058372C"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Finland</w:t>
            </w:r>
          </w:p>
        </w:tc>
        <w:tc>
          <w:tcPr>
            <w:tcW w:w="1117" w:type="dxa"/>
            <w:tcBorders>
              <w:top w:val="nil"/>
              <w:left w:val="nil"/>
              <w:bottom w:val="nil"/>
              <w:right w:val="nil"/>
            </w:tcBorders>
            <w:shd w:val="clear" w:color="auto" w:fill="auto"/>
            <w:noWrap/>
            <w:vAlign w:val="bottom"/>
            <w:hideMark/>
          </w:tcPr>
          <w:p w14:paraId="23495A78"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Italy</w:t>
            </w:r>
          </w:p>
        </w:tc>
        <w:tc>
          <w:tcPr>
            <w:tcW w:w="1164" w:type="dxa"/>
            <w:tcBorders>
              <w:top w:val="nil"/>
              <w:left w:val="nil"/>
              <w:bottom w:val="nil"/>
              <w:right w:val="nil"/>
            </w:tcBorders>
            <w:shd w:val="clear" w:color="auto" w:fill="auto"/>
            <w:noWrap/>
            <w:vAlign w:val="bottom"/>
            <w:hideMark/>
          </w:tcPr>
          <w:p w14:paraId="50206C02"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New Zealand</w:t>
            </w:r>
          </w:p>
        </w:tc>
        <w:tc>
          <w:tcPr>
            <w:tcW w:w="1138" w:type="dxa"/>
            <w:tcBorders>
              <w:top w:val="nil"/>
              <w:left w:val="nil"/>
              <w:bottom w:val="nil"/>
              <w:right w:val="nil"/>
            </w:tcBorders>
            <w:shd w:val="clear" w:color="auto" w:fill="auto"/>
            <w:noWrap/>
            <w:vAlign w:val="bottom"/>
            <w:hideMark/>
          </w:tcPr>
          <w:p w14:paraId="06DC6E55"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Norway</w:t>
            </w:r>
          </w:p>
        </w:tc>
        <w:tc>
          <w:tcPr>
            <w:tcW w:w="1169" w:type="dxa"/>
            <w:tcBorders>
              <w:top w:val="nil"/>
              <w:left w:val="nil"/>
              <w:bottom w:val="nil"/>
              <w:right w:val="single" w:sz="4" w:space="0" w:color="auto"/>
            </w:tcBorders>
            <w:shd w:val="clear" w:color="auto" w:fill="auto"/>
            <w:noWrap/>
            <w:vAlign w:val="bottom"/>
            <w:hideMark/>
          </w:tcPr>
          <w:p w14:paraId="5181720B"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Portugal</w:t>
            </w:r>
          </w:p>
        </w:tc>
      </w:tr>
      <w:tr w:rsidR="00ED02A4" w:rsidRPr="004508AF" w14:paraId="0E89DACE"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34CCA04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292D3316"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460D996D"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Spain</w:t>
            </w:r>
          </w:p>
        </w:tc>
        <w:tc>
          <w:tcPr>
            <w:tcW w:w="1164" w:type="dxa"/>
            <w:tcBorders>
              <w:top w:val="nil"/>
              <w:left w:val="nil"/>
              <w:bottom w:val="nil"/>
              <w:right w:val="nil"/>
            </w:tcBorders>
            <w:shd w:val="clear" w:color="auto" w:fill="auto"/>
            <w:noWrap/>
            <w:vAlign w:val="bottom"/>
            <w:hideMark/>
          </w:tcPr>
          <w:p w14:paraId="12C3BA8D"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17" w:type="dxa"/>
            <w:tcBorders>
              <w:top w:val="nil"/>
              <w:left w:val="nil"/>
              <w:bottom w:val="nil"/>
              <w:right w:val="nil"/>
            </w:tcBorders>
            <w:shd w:val="clear" w:color="auto" w:fill="auto"/>
            <w:noWrap/>
            <w:vAlign w:val="bottom"/>
            <w:hideMark/>
          </w:tcPr>
          <w:p w14:paraId="79D85F6D"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64" w:type="dxa"/>
            <w:tcBorders>
              <w:top w:val="nil"/>
              <w:left w:val="nil"/>
              <w:bottom w:val="nil"/>
              <w:right w:val="nil"/>
            </w:tcBorders>
            <w:shd w:val="clear" w:color="auto" w:fill="auto"/>
            <w:noWrap/>
            <w:vAlign w:val="bottom"/>
            <w:hideMark/>
          </w:tcPr>
          <w:p w14:paraId="7CD1DF3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38" w:type="dxa"/>
            <w:tcBorders>
              <w:top w:val="nil"/>
              <w:left w:val="nil"/>
              <w:bottom w:val="nil"/>
              <w:right w:val="nil"/>
            </w:tcBorders>
            <w:shd w:val="clear" w:color="auto" w:fill="auto"/>
            <w:noWrap/>
            <w:vAlign w:val="bottom"/>
            <w:hideMark/>
          </w:tcPr>
          <w:p w14:paraId="1A6E371A"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69" w:type="dxa"/>
            <w:tcBorders>
              <w:top w:val="nil"/>
              <w:left w:val="nil"/>
              <w:bottom w:val="nil"/>
              <w:right w:val="single" w:sz="4" w:space="0" w:color="auto"/>
            </w:tcBorders>
            <w:shd w:val="clear" w:color="auto" w:fill="auto"/>
            <w:noWrap/>
            <w:vAlign w:val="bottom"/>
            <w:hideMark/>
          </w:tcPr>
          <w:p w14:paraId="11449160"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r>
      <w:tr w:rsidR="00ED02A4" w:rsidRPr="004508AF" w14:paraId="27D2832E"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599BDCE3"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4B75D851"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Post 1999</w:t>
            </w:r>
          </w:p>
        </w:tc>
        <w:tc>
          <w:tcPr>
            <w:tcW w:w="1092" w:type="dxa"/>
            <w:tcBorders>
              <w:top w:val="nil"/>
              <w:left w:val="nil"/>
              <w:bottom w:val="nil"/>
              <w:right w:val="nil"/>
            </w:tcBorders>
            <w:shd w:val="clear" w:color="auto" w:fill="auto"/>
            <w:noWrap/>
            <w:vAlign w:val="bottom"/>
            <w:hideMark/>
          </w:tcPr>
          <w:p w14:paraId="02F86BD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China</w:t>
            </w:r>
          </w:p>
        </w:tc>
        <w:tc>
          <w:tcPr>
            <w:tcW w:w="1164" w:type="dxa"/>
            <w:tcBorders>
              <w:top w:val="nil"/>
              <w:left w:val="nil"/>
              <w:bottom w:val="nil"/>
              <w:right w:val="nil"/>
            </w:tcBorders>
            <w:shd w:val="clear" w:color="auto" w:fill="auto"/>
            <w:noWrap/>
            <w:vAlign w:val="bottom"/>
            <w:hideMark/>
          </w:tcPr>
          <w:p w14:paraId="0F4D53AC"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Czech Rep.</w:t>
            </w:r>
          </w:p>
        </w:tc>
        <w:tc>
          <w:tcPr>
            <w:tcW w:w="1117" w:type="dxa"/>
            <w:tcBorders>
              <w:top w:val="nil"/>
              <w:left w:val="nil"/>
              <w:bottom w:val="nil"/>
              <w:right w:val="nil"/>
            </w:tcBorders>
            <w:shd w:val="clear" w:color="auto" w:fill="auto"/>
            <w:noWrap/>
            <w:vAlign w:val="bottom"/>
            <w:hideMark/>
          </w:tcPr>
          <w:p w14:paraId="248FB50C"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Mexico</w:t>
            </w:r>
          </w:p>
        </w:tc>
        <w:tc>
          <w:tcPr>
            <w:tcW w:w="1164" w:type="dxa"/>
            <w:tcBorders>
              <w:top w:val="nil"/>
              <w:left w:val="nil"/>
              <w:bottom w:val="nil"/>
              <w:right w:val="nil"/>
            </w:tcBorders>
            <w:shd w:val="clear" w:color="auto" w:fill="auto"/>
            <w:noWrap/>
            <w:vAlign w:val="bottom"/>
            <w:hideMark/>
          </w:tcPr>
          <w:p w14:paraId="38214362"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Poland</w:t>
            </w:r>
          </w:p>
        </w:tc>
        <w:tc>
          <w:tcPr>
            <w:tcW w:w="2307" w:type="dxa"/>
            <w:gridSpan w:val="2"/>
            <w:tcBorders>
              <w:top w:val="nil"/>
              <w:left w:val="nil"/>
              <w:bottom w:val="nil"/>
              <w:right w:val="single" w:sz="4" w:space="0" w:color="000000"/>
            </w:tcBorders>
            <w:shd w:val="clear" w:color="auto" w:fill="auto"/>
            <w:noWrap/>
            <w:vAlign w:val="bottom"/>
            <w:hideMark/>
          </w:tcPr>
          <w:p w14:paraId="6F22DF0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South Africa</w:t>
            </w:r>
          </w:p>
        </w:tc>
      </w:tr>
      <w:tr w:rsidR="00ED02A4" w:rsidRPr="004508AF" w14:paraId="46A1E6DE"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51FF56BF"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4BAFD1D3"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33116FD5"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64" w:type="dxa"/>
            <w:tcBorders>
              <w:top w:val="nil"/>
              <w:left w:val="nil"/>
              <w:bottom w:val="nil"/>
              <w:right w:val="nil"/>
            </w:tcBorders>
            <w:shd w:val="clear" w:color="auto" w:fill="auto"/>
            <w:noWrap/>
            <w:vAlign w:val="bottom"/>
            <w:hideMark/>
          </w:tcPr>
          <w:p w14:paraId="3EFC1299"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17" w:type="dxa"/>
            <w:tcBorders>
              <w:top w:val="nil"/>
              <w:left w:val="nil"/>
              <w:bottom w:val="nil"/>
              <w:right w:val="nil"/>
            </w:tcBorders>
            <w:shd w:val="clear" w:color="auto" w:fill="auto"/>
            <w:noWrap/>
            <w:vAlign w:val="bottom"/>
            <w:hideMark/>
          </w:tcPr>
          <w:p w14:paraId="676257B7"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64" w:type="dxa"/>
            <w:tcBorders>
              <w:top w:val="nil"/>
              <w:left w:val="nil"/>
              <w:bottom w:val="nil"/>
              <w:right w:val="nil"/>
            </w:tcBorders>
            <w:shd w:val="clear" w:color="auto" w:fill="auto"/>
            <w:noWrap/>
            <w:vAlign w:val="bottom"/>
            <w:hideMark/>
          </w:tcPr>
          <w:p w14:paraId="42CBE30B"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38" w:type="dxa"/>
            <w:tcBorders>
              <w:top w:val="nil"/>
              <w:left w:val="nil"/>
              <w:bottom w:val="nil"/>
              <w:right w:val="nil"/>
            </w:tcBorders>
            <w:shd w:val="clear" w:color="auto" w:fill="auto"/>
            <w:noWrap/>
            <w:vAlign w:val="bottom"/>
            <w:hideMark/>
          </w:tcPr>
          <w:p w14:paraId="22D1F57D"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69" w:type="dxa"/>
            <w:tcBorders>
              <w:top w:val="nil"/>
              <w:left w:val="nil"/>
              <w:bottom w:val="nil"/>
              <w:right w:val="single" w:sz="4" w:space="0" w:color="auto"/>
            </w:tcBorders>
            <w:shd w:val="clear" w:color="auto" w:fill="auto"/>
            <w:noWrap/>
            <w:vAlign w:val="bottom"/>
            <w:hideMark/>
          </w:tcPr>
          <w:p w14:paraId="6BC383BD"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r>
      <w:tr w:rsidR="00ED02A4" w:rsidRPr="004508AF" w14:paraId="734CB05D"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4C229A3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REITs</w:t>
            </w:r>
          </w:p>
        </w:tc>
        <w:tc>
          <w:tcPr>
            <w:tcW w:w="968" w:type="dxa"/>
            <w:tcBorders>
              <w:top w:val="nil"/>
              <w:left w:val="nil"/>
              <w:bottom w:val="nil"/>
              <w:right w:val="nil"/>
            </w:tcBorders>
            <w:shd w:val="clear" w:color="auto" w:fill="auto"/>
            <w:noWrap/>
            <w:vAlign w:val="bottom"/>
            <w:hideMark/>
          </w:tcPr>
          <w:p w14:paraId="6682A8A3"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Pre 2000</w:t>
            </w:r>
          </w:p>
        </w:tc>
        <w:tc>
          <w:tcPr>
            <w:tcW w:w="1092" w:type="dxa"/>
            <w:tcBorders>
              <w:top w:val="nil"/>
              <w:left w:val="nil"/>
              <w:bottom w:val="nil"/>
              <w:right w:val="nil"/>
            </w:tcBorders>
            <w:shd w:val="clear" w:color="auto" w:fill="auto"/>
            <w:noWrap/>
            <w:vAlign w:val="bottom"/>
            <w:hideMark/>
          </w:tcPr>
          <w:p w14:paraId="3D8C56B2"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Australia</w:t>
            </w:r>
          </w:p>
        </w:tc>
        <w:tc>
          <w:tcPr>
            <w:tcW w:w="1164" w:type="dxa"/>
            <w:tcBorders>
              <w:top w:val="nil"/>
              <w:left w:val="nil"/>
              <w:bottom w:val="nil"/>
              <w:right w:val="nil"/>
            </w:tcBorders>
            <w:shd w:val="clear" w:color="auto" w:fill="auto"/>
            <w:noWrap/>
            <w:vAlign w:val="bottom"/>
            <w:hideMark/>
          </w:tcPr>
          <w:p w14:paraId="4BE6D091"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Belgium</w:t>
            </w:r>
          </w:p>
        </w:tc>
        <w:tc>
          <w:tcPr>
            <w:tcW w:w="1117" w:type="dxa"/>
            <w:tcBorders>
              <w:top w:val="nil"/>
              <w:left w:val="nil"/>
              <w:bottom w:val="nil"/>
              <w:right w:val="nil"/>
            </w:tcBorders>
            <w:shd w:val="clear" w:color="auto" w:fill="auto"/>
            <w:noWrap/>
            <w:vAlign w:val="bottom"/>
            <w:hideMark/>
          </w:tcPr>
          <w:p w14:paraId="70DC25B6"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Canada</w:t>
            </w:r>
          </w:p>
        </w:tc>
        <w:tc>
          <w:tcPr>
            <w:tcW w:w="1164" w:type="dxa"/>
            <w:tcBorders>
              <w:top w:val="nil"/>
              <w:left w:val="nil"/>
              <w:bottom w:val="nil"/>
              <w:right w:val="nil"/>
            </w:tcBorders>
            <w:shd w:val="clear" w:color="auto" w:fill="auto"/>
            <w:noWrap/>
            <w:vAlign w:val="bottom"/>
            <w:hideMark/>
          </w:tcPr>
          <w:p w14:paraId="489FAB8E"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France</w:t>
            </w:r>
          </w:p>
        </w:tc>
        <w:tc>
          <w:tcPr>
            <w:tcW w:w="1138" w:type="dxa"/>
            <w:tcBorders>
              <w:top w:val="nil"/>
              <w:left w:val="nil"/>
              <w:bottom w:val="nil"/>
              <w:right w:val="nil"/>
            </w:tcBorders>
            <w:shd w:val="clear" w:color="auto" w:fill="auto"/>
            <w:noWrap/>
            <w:vAlign w:val="bottom"/>
            <w:hideMark/>
          </w:tcPr>
          <w:p w14:paraId="30854AC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Germany</w:t>
            </w:r>
          </w:p>
        </w:tc>
        <w:tc>
          <w:tcPr>
            <w:tcW w:w="1169" w:type="dxa"/>
            <w:tcBorders>
              <w:top w:val="nil"/>
              <w:left w:val="nil"/>
              <w:bottom w:val="nil"/>
              <w:right w:val="single" w:sz="4" w:space="0" w:color="auto"/>
            </w:tcBorders>
            <w:shd w:val="clear" w:color="auto" w:fill="auto"/>
            <w:noWrap/>
            <w:vAlign w:val="bottom"/>
            <w:hideMark/>
          </w:tcPr>
          <w:p w14:paraId="0492156D"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Netherlands</w:t>
            </w:r>
          </w:p>
        </w:tc>
      </w:tr>
      <w:tr w:rsidR="00ED02A4" w:rsidRPr="004508AF" w14:paraId="5BB8BFE3"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6016E1B6"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68DDDB9B"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092" w:type="dxa"/>
            <w:tcBorders>
              <w:top w:val="nil"/>
              <w:left w:val="nil"/>
              <w:bottom w:val="nil"/>
              <w:right w:val="nil"/>
            </w:tcBorders>
            <w:shd w:val="clear" w:color="auto" w:fill="auto"/>
            <w:noWrap/>
            <w:vAlign w:val="bottom"/>
            <w:hideMark/>
          </w:tcPr>
          <w:p w14:paraId="223EB701"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South Africa</w:t>
            </w:r>
          </w:p>
        </w:tc>
        <w:tc>
          <w:tcPr>
            <w:tcW w:w="1164" w:type="dxa"/>
            <w:tcBorders>
              <w:top w:val="nil"/>
              <w:left w:val="nil"/>
              <w:bottom w:val="nil"/>
              <w:right w:val="nil"/>
            </w:tcBorders>
            <w:shd w:val="clear" w:color="auto" w:fill="auto"/>
            <w:noWrap/>
            <w:vAlign w:val="bottom"/>
            <w:hideMark/>
          </w:tcPr>
          <w:p w14:paraId="5AFF783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UK</w:t>
            </w:r>
          </w:p>
        </w:tc>
        <w:tc>
          <w:tcPr>
            <w:tcW w:w="1117" w:type="dxa"/>
            <w:tcBorders>
              <w:top w:val="nil"/>
              <w:left w:val="nil"/>
              <w:bottom w:val="nil"/>
              <w:right w:val="nil"/>
            </w:tcBorders>
            <w:shd w:val="clear" w:color="auto" w:fill="auto"/>
            <w:noWrap/>
            <w:vAlign w:val="bottom"/>
            <w:hideMark/>
          </w:tcPr>
          <w:p w14:paraId="15B350BD"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US</w:t>
            </w:r>
          </w:p>
        </w:tc>
        <w:tc>
          <w:tcPr>
            <w:tcW w:w="1164" w:type="dxa"/>
            <w:tcBorders>
              <w:top w:val="nil"/>
              <w:left w:val="nil"/>
              <w:bottom w:val="nil"/>
              <w:right w:val="nil"/>
            </w:tcBorders>
            <w:shd w:val="clear" w:color="auto" w:fill="auto"/>
            <w:noWrap/>
            <w:vAlign w:val="bottom"/>
            <w:hideMark/>
          </w:tcPr>
          <w:p w14:paraId="1B2D2114"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38" w:type="dxa"/>
            <w:tcBorders>
              <w:top w:val="nil"/>
              <w:left w:val="nil"/>
              <w:bottom w:val="nil"/>
              <w:right w:val="nil"/>
            </w:tcBorders>
            <w:shd w:val="clear" w:color="auto" w:fill="auto"/>
            <w:noWrap/>
            <w:vAlign w:val="bottom"/>
            <w:hideMark/>
          </w:tcPr>
          <w:p w14:paraId="2D5ABB82"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p>
        </w:tc>
        <w:tc>
          <w:tcPr>
            <w:tcW w:w="1169" w:type="dxa"/>
            <w:tcBorders>
              <w:top w:val="nil"/>
              <w:left w:val="nil"/>
              <w:bottom w:val="nil"/>
              <w:right w:val="single" w:sz="4" w:space="0" w:color="auto"/>
            </w:tcBorders>
            <w:shd w:val="clear" w:color="auto" w:fill="auto"/>
            <w:noWrap/>
            <w:vAlign w:val="bottom"/>
            <w:hideMark/>
          </w:tcPr>
          <w:p w14:paraId="0CD82965"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r>
      <w:tr w:rsidR="00ED02A4" w:rsidRPr="004508AF" w14:paraId="7AEFE2D2" w14:textId="77777777" w:rsidTr="00367A87">
        <w:trPr>
          <w:trHeight w:val="288"/>
        </w:trPr>
        <w:tc>
          <w:tcPr>
            <w:tcW w:w="968" w:type="dxa"/>
            <w:tcBorders>
              <w:top w:val="nil"/>
              <w:left w:val="single" w:sz="4" w:space="0" w:color="auto"/>
              <w:bottom w:val="nil"/>
              <w:right w:val="nil"/>
            </w:tcBorders>
            <w:shd w:val="clear" w:color="auto" w:fill="auto"/>
            <w:noWrap/>
            <w:vAlign w:val="bottom"/>
            <w:hideMark/>
          </w:tcPr>
          <w:p w14:paraId="59A64A25"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nil"/>
              <w:right w:val="nil"/>
            </w:tcBorders>
            <w:shd w:val="clear" w:color="auto" w:fill="auto"/>
            <w:noWrap/>
            <w:vAlign w:val="bottom"/>
            <w:hideMark/>
          </w:tcPr>
          <w:p w14:paraId="5B774FBF"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Post 2000</w:t>
            </w:r>
          </w:p>
        </w:tc>
        <w:tc>
          <w:tcPr>
            <w:tcW w:w="1092" w:type="dxa"/>
            <w:tcBorders>
              <w:top w:val="nil"/>
              <w:left w:val="nil"/>
              <w:bottom w:val="nil"/>
              <w:right w:val="nil"/>
            </w:tcBorders>
            <w:shd w:val="clear" w:color="auto" w:fill="auto"/>
            <w:noWrap/>
            <w:vAlign w:val="bottom"/>
            <w:hideMark/>
          </w:tcPr>
          <w:p w14:paraId="0B3B3838"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Bulgaria</w:t>
            </w:r>
          </w:p>
        </w:tc>
        <w:tc>
          <w:tcPr>
            <w:tcW w:w="1164" w:type="dxa"/>
            <w:tcBorders>
              <w:top w:val="nil"/>
              <w:left w:val="nil"/>
              <w:bottom w:val="nil"/>
              <w:right w:val="nil"/>
            </w:tcBorders>
            <w:shd w:val="clear" w:color="auto" w:fill="auto"/>
            <w:noWrap/>
            <w:vAlign w:val="bottom"/>
            <w:hideMark/>
          </w:tcPr>
          <w:p w14:paraId="79E86A0C"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Greece</w:t>
            </w:r>
          </w:p>
        </w:tc>
        <w:tc>
          <w:tcPr>
            <w:tcW w:w="1117" w:type="dxa"/>
            <w:tcBorders>
              <w:top w:val="nil"/>
              <w:left w:val="nil"/>
              <w:bottom w:val="nil"/>
              <w:right w:val="nil"/>
            </w:tcBorders>
            <w:shd w:val="clear" w:color="auto" w:fill="auto"/>
            <w:noWrap/>
            <w:vAlign w:val="bottom"/>
            <w:hideMark/>
          </w:tcPr>
          <w:p w14:paraId="643946EB"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Hong Kong</w:t>
            </w:r>
          </w:p>
        </w:tc>
        <w:tc>
          <w:tcPr>
            <w:tcW w:w="1164" w:type="dxa"/>
            <w:tcBorders>
              <w:top w:val="nil"/>
              <w:left w:val="nil"/>
              <w:bottom w:val="nil"/>
              <w:right w:val="nil"/>
            </w:tcBorders>
            <w:shd w:val="clear" w:color="auto" w:fill="auto"/>
            <w:noWrap/>
            <w:vAlign w:val="bottom"/>
            <w:hideMark/>
          </w:tcPr>
          <w:p w14:paraId="04628941"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Italy</w:t>
            </w:r>
          </w:p>
        </w:tc>
        <w:tc>
          <w:tcPr>
            <w:tcW w:w="1138" w:type="dxa"/>
            <w:tcBorders>
              <w:top w:val="nil"/>
              <w:left w:val="nil"/>
              <w:bottom w:val="nil"/>
              <w:right w:val="nil"/>
            </w:tcBorders>
            <w:shd w:val="clear" w:color="auto" w:fill="auto"/>
            <w:noWrap/>
            <w:vAlign w:val="bottom"/>
            <w:hideMark/>
          </w:tcPr>
          <w:p w14:paraId="53383AF5"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Japan</w:t>
            </w:r>
          </w:p>
        </w:tc>
        <w:tc>
          <w:tcPr>
            <w:tcW w:w="1169" w:type="dxa"/>
            <w:tcBorders>
              <w:top w:val="nil"/>
              <w:left w:val="nil"/>
              <w:bottom w:val="nil"/>
              <w:right w:val="single" w:sz="4" w:space="0" w:color="auto"/>
            </w:tcBorders>
            <w:shd w:val="clear" w:color="auto" w:fill="auto"/>
            <w:noWrap/>
            <w:vAlign w:val="bottom"/>
            <w:hideMark/>
          </w:tcPr>
          <w:p w14:paraId="2F3AB99F"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Malaysia</w:t>
            </w:r>
          </w:p>
        </w:tc>
      </w:tr>
      <w:tr w:rsidR="00ED02A4" w:rsidRPr="004508AF" w14:paraId="548C7C38" w14:textId="77777777" w:rsidTr="00367A87">
        <w:trPr>
          <w:trHeight w:val="288"/>
        </w:trPr>
        <w:tc>
          <w:tcPr>
            <w:tcW w:w="968" w:type="dxa"/>
            <w:tcBorders>
              <w:top w:val="nil"/>
              <w:left w:val="single" w:sz="4" w:space="0" w:color="auto"/>
              <w:bottom w:val="single" w:sz="4" w:space="0" w:color="auto"/>
              <w:right w:val="nil"/>
            </w:tcBorders>
            <w:shd w:val="clear" w:color="auto" w:fill="auto"/>
            <w:noWrap/>
            <w:vAlign w:val="bottom"/>
            <w:hideMark/>
          </w:tcPr>
          <w:p w14:paraId="5FDD9F3A"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968" w:type="dxa"/>
            <w:tcBorders>
              <w:top w:val="nil"/>
              <w:left w:val="nil"/>
              <w:bottom w:val="single" w:sz="4" w:space="0" w:color="auto"/>
              <w:right w:val="nil"/>
            </w:tcBorders>
            <w:shd w:val="clear" w:color="auto" w:fill="auto"/>
            <w:noWrap/>
            <w:vAlign w:val="bottom"/>
            <w:hideMark/>
          </w:tcPr>
          <w:p w14:paraId="54326789"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1092" w:type="dxa"/>
            <w:tcBorders>
              <w:top w:val="nil"/>
              <w:left w:val="nil"/>
              <w:bottom w:val="single" w:sz="4" w:space="0" w:color="auto"/>
              <w:right w:val="nil"/>
            </w:tcBorders>
            <w:shd w:val="clear" w:color="auto" w:fill="auto"/>
            <w:noWrap/>
            <w:vAlign w:val="bottom"/>
            <w:hideMark/>
          </w:tcPr>
          <w:p w14:paraId="2CBAC917"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Mexico</w:t>
            </w:r>
          </w:p>
        </w:tc>
        <w:tc>
          <w:tcPr>
            <w:tcW w:w="1164" w:type="dxa"/>
            <w:tcBorders>
              <w:top w:val="nil"/>
              <w:left w:val="nil"/>
              <w:bottom w:val="single" w:sz="4" w:space="0" w:color="auto"/>
              <w:right w:val="nil"/>
            </w:tcBorders>
            <w:shd w:val="clear" w:color="auto" w:fill="auto"/>
            <w:noWrap/>
            <w:vAlign w:val="bottom"/>
            <w:hideMark/>
          </w:tcPr>
          <w:p w14:paraId="14C1346D"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New Zealand</w:t>
            </w:r>
          </w:p>
        </w:tc>
        <w:tc>
          <w:tcPr>
            <w:tcW w:w="1117" w:type="dxa"/>
            <w:tcBorders>
              <w:top w:val="nil"/>
              <w:left w:val="nil"/>
              <w:bottom w:val="single" w:sz="4" w:space="0" w:color="auto"/>
              <w:right w:val="nil"/>
            </w:tcBorders>
            <w:shd w:val="clear" w:color="auto" w:fill="auto"/>
            <w:noWrap/>
            <w:vAlign w:val="bottom"/>
            <w:hideMark/>
          </w:tcPr>
          <w:p w14:paraId="5304EE7F"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Singapore</w:t>
            </w:r>
          </w:p>
        </w:tc>
        <w:tc>
          <w:tcPr>
            <w:tcW w:w="1164" w:type="dxa"/>
            <w:tcBorders>
              <w:top w:val="nil"/>
              <w:left w:val="nil"/>
              <w:bottom w:val="single" w:sz="4" w:space="0" w:color="auto"/>
              <w:right w:val="nil"/>
            </w:tcBorders>
            <w:shd w:val="clear" w:color="auto" w:fill="auto"/>
            <w:noWrap/>
            <w:vAlign w:val="bottom"/>
            <w:hideMark/>
          </w:tcPr>
          <w:p w14:paraId="7F3E611D"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Turkey</w:t>
            </w:r>
          </w:p>
        </w:tc>
        <w:tc>
          <w:tcPr>
            <w:tcW w:w="1138" w:type="dxa"/>
            <w:tcBorders>
              <w:top w:val="nil"/>
              <w:left w:val="nil"/>
              <w:bottom w:val="single" w:sz="4" w:space="0" w:color="auto"/>
              <w:right w:val="nil"/>
            </w:tcBorders>
            <w:shd w:val="clear" w:color="auto" w:fill="auto"/>
            <w:noWrap/>
            <w:vAlign w:val="bottom"/>
            <w:hideMark/>
          </w:tcPr>
          <w:p w14:paraId="172093B8"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c>
          <w:tcPr>
            <w:tcW w:w="1169" w:type="dxa"/>
            <w:tcBorders>
              <w:top w:val="nil"/>
              <w:left w:val="nil"/>
              <w:bottom w:val="single" w:sz="4" w:space="0" w:color="auto"/>
              <w:right w:val="single" w:sz="4" w:space="0" w:color="auto"/>
            </w:tcBorders>
            <w:shd w:val="clear" w:color="auto" w:fill="auto"/>
            <w:noWrap/>
            <w:vAlign w:val="bottom"/>
            <w:hideMark/>
          </w:tcPr>
          <w:p w14:paraId="57CFA8D3" w14:textId="77777777" w:rsidR="00ED02A4" w:rsidRPr="00380104" w:rsidRDefault="00ED02A4" w:rsidP="00367A87">
            <w:pPr>
              <w:spacing w:after="0" w:line="240" w:lineRule="auto"/>
              <w:rPr>
                <w:rFonts w:ascii="Calibri" w:eastAsia="Times New Roman" w:hAnsi="Calibri" w:cs="Calibri"/>
                <w:color w:val="000000"/>
                <w:sz w:val="18"/>
                <w:szCs w:val="18"/>
                <w:lang w:eastAsia="en-IE"/>
              </w:rPr>
            </w:pPr>
            <w:r w:rsidRPr="00380104">
              <w:rPr>
                <w:rFonts w:ascii="Calibri" w:eastAsia="Times New Roman" w:hAnsi="Calibri" w:cs="Calibri"/>
                <w:color w:val="000000"/>
                <w:sz w:val="18"/>
                <w:szCs w:val="18"/>
                <w:lang w:eastAsia="en-IE"/>
              </w:rPr>
              <w:t> </w:t>
            </w:r>
          </w:p>
        </w:tc>
      </w:tr>
    </w:tbl>
    <w:p w14:paraId="2C865AD2" w14:textId="77777777" w:rsidR="00ED02A4" w:rsidRDefault="00ED02A4" w:rsidP="00ED02A4">
      <w:pPr>
        <w:spacing w:line="240" w:lineRule="auto"/>
        <w:jc w:val="both"/>
      </w:pPr>
    </w:p>
    <w:p w14:paraId="3956E209" w14:textId="77777777" w:rsidR="00ED02A4" w:rsidRPr="00D14720" w:rsidRDefault="00ED02A4" w:rsidP="00ED02A4">
      <w:pPr>
        <w:spacing w:line="240" w:lineRule="auto"/>
        <w:jc w:val="both"/>
      </w:pPr>
      <w:r w:rsidRPr="00D14720">
        <w:t xml:space="preserve">Notes: This table lists the markets used in estimating diversification indexes for equities, bond and REITS broken out by cohort years.  There are 89 equity indexes, 25 bond indexes and 19 REIT indexes with data obtained from DataStream.  Cohorts for equities are pre1974, 1974-1983, 1984-1993 and post1993; for bonds are pre1986, 1986-1999 and post1999; and for REITs are pre2000 and post2000.  </w:t>
      </w:r>
    </w:p>
    <w:p w14:paraId="552A5281" w14:textId="77777777" w:rsidR="00ED02A4" w:rsidRPr="00D14720" w:rsidRDefault="00ED02A4" w:rsidP="00ED02A4"/>
    <w:p w14:paraId="3ED708DF" w14:textId="77777777" w:rsidR="00586033" w:rsidRDefault="00586033">
      <w:pPr>
        <w:rPr>
          <w:rFonts w:ascii="Calibri" w:eastAsia="Times New Roman" w:hAnsi="Calibri" w:cs="Times New Roman"/>
          <w:b/>
          <w:bCs/>
          <w:color w:val="000000"/>
          <w:sz w:val="24"/>
          <w:szCs w:val="24"/>
          <w:lang w:eastAsia="en-IE"/>
        </w:rPr>
      </w:pPr>
      <w:r>
        <w:rPr>
          <w:rFonts w:ascii="Calibri" w:eastAsia="Times New Roman" w:hAnsi="Calibri" w:cs="Times New Roman"/>
          <w:b/>
          <w:bCs/>
          <w:color w:val="000000"/>
          <w:sz w:val="24"/>
          <w:szCs w:val="24"/>
          <w:lang w:eastAsia="en-IE"/>
        </w:rPr>
        <w:br w:type="page"/>
      </w:r>
    </w:p>
    <w:p w14:paraId="53ABF388" w14:textId="053E372A" w:rsidR="00ED02A4" w:rsidRPr="00D14720" w:rsidRDefault="00ED02A4" w:rsidP="00ED02A4">
      <w:pPr>
        <w:spacing w:after="0" w:line="240" w:lineRule="auto"/>
        <w:jc w:val="center"/>
        <w:rPr>
          <w:rFonts w:ascii="Calibri" w:eastAsia="Times New Roman" w:hAnsi="Calibri" w:cs="Times New Roman"/>
          <w:b/>
          <w:bCs/>
          <w:color w:val="000000"/>
          <w:sz w:val="24"/>
          <w:szCs w:val="24"/>
          <w:lang w:eastAsia="en-IE"/>
        </w:rPr>
      </w:pPr>
      <w:r w:rsidRPr="00D14720">
        <w:rPr>
          <w:rFonts w:ascii="Calibri" w:eastAsia="Times New Roman" w:hAnsi="Calibri" w:cs="Times New Roman"/>
          <w:b/>
          <w:bCs/>
          <w:color w:val="000000"/>
          <w:sz w:val="24"/>
          <w:szCs w:val="24"/>
          <w:lang w:eastAsia="en-IE"/>
        </w:rPr>
        <w:lastRenderedPageBreak/>
        <w:t>Table 2</w:t>
      </w:r>
    </w:p>
    <w:p w14:paraId="06AA8BFD" w14:textId="77777777" w:rsidR="00ED02A4" w:rsidRDefault="00ED02A4" w:rsidP="00ED02A4">
      <w:pPr>
        <w:spacing w:after="0" w:line="240" w:lineRule="auto"/>
        <w:jc w:val="center"/>
        <w:rPr>
          <w:rFonts w:ascii="Calibri" w:eastAsia="Times New Roman" w:hAnsi="Calibri" w:cs="Times New Roman"/>
          <w:b/>
          <w:bCs/>
          <w:color w:val="000000"/>
          <w:sz w:val="24"/>
          <w:szCs w:val="24"/>
          <w:lang w:eastAsia="en-IE"/>
        </w:rPr>
      </w:pPr>
      <w:r w:rsidRPr="00D14720">
        <w:rPr>
          <w:rFonts w:ascii="Calibri" w:eastAsia="Times New Roman" w:hAnsi="Calibri" w:cs="Times New Roman"/>
          <w:b/>
          <w:bCs/>
          <w:color w:val="000000"/>
          <w:sz w:val="24"/>
          <w:szCs w:val="24"/>
          <w:lang w:eastAsia="en-IE"/>
        </w:rPr>
        <w:t>Time Trends for Diversification Indexes for Equities, Bonds and REITs</w:t>
      </w:r>
    </w:p>
    <w:tbl>
      <w:tblPr>
        <w:tblW w:w="7680" w:type="dxa"/>
        <w:tblInd w:w="103" w:type="dxa"/>
        <w:tblLook w:val="04A0" w:firstRow="1" w:lastRow="0" w:firstColumn="1" w:lastColumn="0" w:noHBand="0" w:noVBand="1"/>
      </w:tblPr>
      <w:tblGrid>
        <w:gridCol w:w="999"/>
        <w:gridCol w:w="935"/>
        <w:gridCol w:w="1136"/>
        <w:gridCol w:w="956"/>
        <w:gridCol w:w="1130"/>
        <w:gridCol w:w="1116"/>
        <w:gridCol w:w="1041"/>
        <w:gridCol w:w="1116"/>
      </w:tblGrid>
      <w:tr w:rsidR="00ED02A4" w:rsidRPr="00AC0EE7" w14:paraId="5BA01920" w14:textId="77777777" w:rsidTr="00367A87">
        <w:trPr>
          <w:trHeight w:val="288"/>
        </w:trPr>
        <w:tc>
          <w:tcPr>
            <w:tcW w:w="7680" w:type="dxa"/>
            <w:gridSpan w:val="8"/>
            <w:tcBorders>
              <w:top w:val="single" w:sz="4" w:space="0" w:color="auto"/>
              <w:left w:val="single" w:sz="4" w:space="0" w:color="auto"/>
              <w:bottom w:val="nil"/>
              <w:right w:val="single" w:sz="4" w:space="0" w:color="000000"/>
            </w:tcBorders>
            <w:shd w:val="clear" w:color="auto" w:fill="auto"/>
            <w:noWrap/>
            <w:vAlign w:val="center"/>
            <w:hideMark/>
          </w:tcPr>
          <w:p w14:paraId="57C92BBF" w14:textId="77777777" w:rsidR="00ED02A4" w:rsidRPr="00AC0EE7" w:rsidRDefault="00ED02A4" w:rsidP="00367A87">
            <w:pPr>
              <w:spacing w:after="0" w:line="240" w:lineRule="auto"/>
              <w:jc w:val="center"/>
              <w:rPr>
                <w:rFonts w:ascii="Calibri" w:eastAsia="Times New Roman" w:hAnsi="Calibri" w:cs="Calibri"/>
                <w:b/>
                <w:bCs/>
                <w:color w:val="000000"/>
                <w:lang w:eastAsia="en-IE"/>
              </w:rPr>
            </w:pPr>
            <w:r w:rsidRPr="00AC0EE7">
              <w:rPr>
                <w:rFonts w:ascii="Calibri" w:eastAsia="Times New Roman" w:hAnsi="Calibri" w:cs="Calibri"/>
                <w:b/>
                <w:bCs/>
                <w:color w:val="000000"/>
                <w:lang w:eastAsia="en-IE"/>
              </w:rPr>
              <w:t>Full Sample</w:t>
            </w:r>
          </w:p>
        </w:tc>
      </w:tr>
      <w:tr w:rsidR="00ED02A4" w:rsidRPr="00AC0EE7" w14:paraId="58FD5B1A" w14:textId="77777777" w:rsidTr="00367A87">
        <w:trPr>
          <w:trHeight w:val="288"/>
        </w:trPr>
        <w:tc>
          <w:tcPr>
            <w:tcW w:w="768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7F0B931" w14:textId="77777777" w:rsidR="00ED02A4" w:rsidRPr="00AC0EE7" w:rsidRDefault="00ED02A4" w:rsidP="00367A87">
            <w:pPr>
              <w:spacing w:after="0" w:line="240" w:lineRule="auto"/>
              <w:jc w:val="center"/>
              <w:rPr>
                <w:rFonts w:ascii="Calibri" w:eastAsia="Times New Roman" w:hAnsi="Calibri" w:cs="Calibri"/>
                <w:b/>
                <w:bCs/>
                <w:color w:val="000000"/>
                <w:lang w:eastAsia="en-IE"/>
              </w:rPr>
            </w:pPr>
            <w:r w:rsidRPr="00AC0EE7">
              <w:rPr>
                <w:rFonts w:ascii="Calibri" w:eastAsia="Times New Roman" w:hAnsi="Calibri" w:cs="Calibri"/>
                <w:b/>
                <w:bCs/>
                <w:color w:val="000000"/>
                <w:lang w:eastAsia="en-IE"/>
              </w:rPr>
              <w:t>Equity</w:t>
            </w:r>
          </w:p>
        </w:tc>
      </w:tr>
      <w:tr w:rsidR="00ED02A4" w:rsidRPr="00AC0EE7" w14:paraId="6C9DD18A"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0A9CC72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World Index</w:t>
            </w:r>
          </w:p>
        </w:tc>
        <w:tc>
          <w:tcPr>
            <w:tcW w:w="934" w:type="dxa"/>
            <w:tcBorders>
              <w:top w:val="nil"/>
              <w:left w:val="nil"/>
              <w:bottom w:val="nil"/>
              <w:right w:val="nil"/>
            </w:tcBorders>
            <w:shd w:val="clear" w:color="auto" w:fill="auto"/>
            <w:noWrap/>
            <w:vAlign w:val="center"/>
            <w:hideMark/>
          </w:tcPr>
          <w:p w14:paraId="3B91847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Argentina</w:t>
            </w:r>
          </w:p>
        </w:tc>
        <w:tc>
          <w:tcPr>
            <w:tcW w:w="960" w:type="dxa"/>
            <w:tcBorders>
              <w:top w:val="nil"/>
              <w:left w:val="nil"/>
              <w:bottom w:val="nil"/>
              <w:right w:val="nil"/>
            </w:tcBorders>
            <w:shd w:val="clear" w:color="auto" w:fill="auto"/>
            <w:noWrap/>
            <w:vAlign w:val="center"/>
            <w:hideMark/>
          </w:tcPr>
          <w:p w14:paraId="58941D9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Australia</w:t>
            </w:r>
          </w:p>
        </w:tc>
        <w:tc>
          <w:tcPr>
            <w:tcW w:w="956" w:type="dxa"/>
            <w:tcBorders>
              <w:top w:val="nil"/>
              <w:left w:val="nil"/>
              <w:bottom w:val="nil"/>
              <w:right w:val="nil"/>
            </w:tcBorders>
            <w:shd w:val="clear" w:color="auto" w:fill="auto"/>
            <w:noWrap/>
            <w:vAlign w:val="center"/>
            <w:hideMark/>
          </w:tcPr>
          <w:p w14:paraId="453F87C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Austria</w:t>
            </w:r>
          </w:p>
        </w:tc>
        <w:tc>
          <w:tcPr>
            <w:tcW w:w="954" w:type="dxa"/>
            <w:tcBorders>
              <w:top w:val="nil"/>
              <w:left w:val="nil"/>
              <w:bottom w:val="nil"/>
              <w:right w:val="nil"/>
            </w:tcBorders>
            <w:shd w:val="clear" w:color="auto" w:fill="auto"/>
            <w:noWrap/>
            <w:vAlign w:val="center"/>
            <w:hideMark/>
          </w:tcPr>
          <w:p w14:paraId="31482B3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Bahrain</w:t>
            </w:r>
          </w:p>
        </w:tc>
        <w:tc>
          <w:tcPr>
            <w:tcW w:w="939" w:type="dxa"/>
            <w:tcBorders>
              <w:top w:val="nil"/>
              <w:left w:val="nil"/>
              <w:bottom w:val="nil"/>
              <w:right w:val="nil"/>
            </w:tcBorders>
            <w:shd w:val="clear" w:color="auto" w:fill="auto"/>
            <w:noWrap/>
            <w:vAlign w:val="center"/>
            <w:hideMark/>
          </w:tcPr>
          <w:p w14:paraId="38AFB67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Bangladesh</w:t>
            </w:r>
          </w:p>
        </w:tc>
        <w:tc>
          <w:tcPr>
            <w:tcW w:w="994" w:type="dxa"/>
            <w:tcBorders>
              <w:top w:val="nil"/>
              <w:left w:val="nil"/>
              <w:bottom w:val="nil"/>
              <w:right w:val="nil"/>
            </w:tcBorders>
            <w:shd w:val="clear" w:color="auto" w:fill="auto"/>
            <w:noWrap/>
            <w:vAlign w:val="center"/>
            <w:hideMark/>
          </w:tcPr>
          <w:p w14:paraId="47F82EB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Belgium</w:t>
            </w:r>
          </w:p>
        </w:tc>
        <w:tc>
          <w:tcPr>
            <w:tcW w:w="944" w:type="dxa"/>
            <w:tcBorders>
              <w:top w:val="nil"/>
              <w:left w:val="nil"/>
              <w:bottom w:val="nil"/>
              <w:right w:val="single" w:sz="4" w:space="0" w:color="auto"/>
            </w:tcBorders>
            <w:shd w:val="clear" w:color="auto" w:fill="auto"/>
            <w:noWrap/>
            <w:vAlign w:val="center"/>
            <w:hideMark/>
          </w:tcPr>
          <w:p w14:paraId="172474B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Botswana</w:t>
            </w:r>
          </w:p>
        </w:tc>
      </w:tr>
      <w:tr w:rsidR="00ED02A4" w:rsidRPr="00AC0EE7" w14:paraId="0219BE6F"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D7C852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-1.089</w:t>
            </w:r>
          </w:p>
        </w:tc>
        <w:tc>
          <w:tcPr>
            <w:tcW w:w="934" w:type="dxa"/>
            <w:tcBorders>
              <w:top w:val="nil"/>
              <w:left w:val="nil"/>
              <w:bottom w:val="nil"/>
              <w:right w:val="nil"/>
            </w:tcBorders>
            <w:shd w:val="clear" w:color="auto" w:fill="auto"/>
            <w:noWrap/>
            <w:vAlign w:val="center"/>
            <w:hideMark/>
          </w:tcPr>
          <w:p w14:paraId="2D0D2A4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-1.355</w:t>
            </w:r>
          </w:p>
        </w:tc>
        <w:tc>
          <w:tcPr>
            <w:tcW w:w="960" w:type="dxa"/>
            <w:tcBorders>
              <w:top w:val="nil"/>
              <w:left w:val="nil"/>
              <w:bottom w:val="nil"/>
              <w:right w:val="nil"/>
            </w:tcBorders>
            <w:shd w:val="clear" w:color="auto" w:fill="auto"/>
            <w:noWrap/>
            <w:vAlign w:val="center"/>
            <w:hideMark/>
          </w:tcPr>
          <w:p w14:paraId="6D1B71B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-1.968</w:t>
            </w:r>
          </w:p>
        </w:tc>
        <w:tc>
          <w:tcPr>
            <w:tcW w:w="956" w:type="dxa"/>
            <w:tcBorders>
              <w:top w:val="nil"/>
              <w:left w:val="nil"/>
              <w:bottom w:val="nil"/>
              <w:right w:val="nil"/>
            </w:tcBorders>
            <w:shd w:val="clear" w:color="auto" w:fill="auto"/>
            <w:noWrap/>
            <w:vAlign w:val="center"/>
            <w:hideMark/>
          </w:tcPr>
          <w:p w14:paraId="50E6020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-3.123</w:t>
            </w:r>
          </w:p>
        </w:tc>
        <w:tc>
          <w:tcPr>
            <w:tcW w:w="954" w:type="dxa"/>
            <w:tcBorders>
              <w:top w:val="nil"/>
              <w:left w:val="nil"/>
              <w:bottom w:val="nil"/>
              <w:right w:val="nil"/>
            </w:tcBorders>
            <w:shd w:val="clear" w:color="auto" w:fill="auto"/>
            <w:noWrap/>
            <w:vAlign w:val="center"/>
            <w:hideMark/>
          </w:tcPr>
          <w:p w14:paraId="22E86EC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-0.105</w:t>
            </w:r>
          </w:p>
        </w:tc>
        <w:tc>
          <w:tcPr>
            <w:tcW w:w="939" w:type="dxa"/>
            <w:tcBorders>
              <w:top w:val="nil"/>
              <w:left w:val="nil"/>
              <w:bottom w:val="nil"/>
              <w:right w:val="nil"/>
            </w:tcBorders>
            <w:shd w:val="clear" w:color="auto" w:fill="auto"/>
            <w:noWrap/>
            <w:vAlign w:val="center"/>
            <w:hideMark/>
          </w:tcPr>
          <w:p w14:paraId="49EEB6E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94" w:type="dxa"/>
            <w:tcBorders>
              <w:top w:val="nil"/>
              <w:left w:val="nil"/>
              <w:bottom w:val="nil"/>
              <w:right w:val="nil"/>
            </w:tcBorders>
            <w:shd w:val="clear" w:color="auto" w:fill="auto"/>
            <w:noWrap/>
            <w:vAlign w:val="center"/>
            <w:hideMark/>
          </w:tcPr>
          <w:p w14:paraId="65EB003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-3.387</w:t>
            </w:r>
          </w:p>
        </w:tc>
        <w:tc>
          <w:tcPr>
            <w:tcW w:w="944" w:type="dxa"/>
            <w:tcBorders>
              <w:top w:val="nil"/>
              <w:left w:val="nil"/>
              <w:bottom w:val="nil"/>
              <w:right w:val="single" w:sz="4" w:space="0" w:color="auto"/>
            </w:tcBorders>
            <w:shd w:val="clear" w:color="auto" w:fill="auto"/>
            <w:noWrap/>
            <w:vAlign w:val="center"/>
            <w:hideMark/>
          </w:tcPr>
          <w:p w14:paraId="0373874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-0.668</w:t>
            </w:r>
          </w:p>
        </w:tc>
      </w:tr>
      <w:tr w:rsidR="00ED02A4" w:rsidRPr="00AC0EE7" w14:paraId="7486288A"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0AB63A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-5.892</w:t>
            </w:r>
          </w:p>
        </w:tc>
        <w:tc>
          <w:tcPr>
            <w:tcW w:w="934" w:type="dxa"/>
            <w:tcBorders>
              <w:top w:val="nil"/>
              <w:left w:val="nil"/>
              <w:bottom w:val="nil"/>
              <w:right w:val="nil"/>
            </w:tcBorders>
            <w:shd w:val="clear" w:color="auto" w:fill="auto"/>
            <w:noWrap/>
            <w:vAlign w:val="center"/>
            <w:hideMark/>
          </w:tcPr>
          <w:p w14:paraId="3A1B6B9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-3.532</w:t>
            </w:r>
          </w:p>
        </w:tc>
        <w:tc>
          <w:tcPr>
            <w:tcW w:w="960" w:type="dxa"/>
            <w:tcBorders>
              <w:top w:val="nil"/>
              <w:left w:val="nil"/>
              <w:bottom w:val="nil"/>
              <w:right w:val="nil"/>
            </w:tcBorders>
            <w:shd w:val="clear" w:color="auto" w:fill="auto"/>
            <w:noWrap/>
            <w:vAlign w:val="center"/>
            <w:hideMark/>
          </w:tcPr>
          <w:p w14:paraId="48FA7F5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-5.573</w:t>
            </w:r>
          </w:p>
        </w:tc>
        <w:tc>
          <w:tcPr>
            <w:tcW w:w="956" w:type="dxa"/>
            <w:tcBorders>
              <w:top w:val="nil"/>
              <w:left w:val="nil"/>
              <w:bottom w:val="nil"/>
              <w:right w:val="nil"/>
            </w:tcBorders>
            <w:shd w:val="clear" w:color="auto" w:fill="auto"/>
            <w:noWrap/>
            <w:vAlign w:val="center"/>
            <w:hideMark/>
          </w:tcPr>
          <w:p w14:paraId="4CF48C3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-6.155</w:t>
            </w:r>
          </w:p>
        </w:tc>
        <w:tc>
          <w:tcPr>
            <w:tcW w:w="954" w:type="dxa"/>
            <w:tcBorders>
              <w:top w:val="nil"/>
              <w:left w:val="nil"/>
              <w:bottom w:val="nil"/>
              <w:right w:val="nil"/>
            </w:tcBorders>
            <w:shd w:val="clear" w:color="auto" w:fill="auto"/>
            <w:noWrap/>
            <w:vAlign w:val="center"/>
            <w:hideMark/>
          </w:tcPr>
          <w:p w14:paraId="5CB30E3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-1.662</w:t>
            </w:r>
          </w:p>
        </w:tc>
        <w:tc>
          <w:tcPr>
            <w:tcW w:w="939" w:type="dxa"/>
            <w:tcBorders>
              <w:top w:val="nil"/>
              <w:left w:val="nil"/>
              <w:bottom w:val="nil"/>
              <w:right w:val="nil"/>
            </w:tcBorders>
            <w:shd w:val="clear" w:color="auto" w:fill="auto"/>
            <w:noWrap/>
            <w:vAlign w:val="center"/>
            <w:hideMark/>
          </w:tcPr>
          <w:p w14:paraId="5C361D3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94" w:type="dxa"/>
            <w:tcBorders>
              <w:top w:val="nil"/>
              <w:left w:val="nil"/>
              <w:bottom w:val="nil"/>
              <w:right w:val="nil"/>
            </w:tcBorders>
            <w:shd w:val="clear" w:color="auto" w:fill="auto"/>
            <w:noWrap/>
            <w:vAlign w:val="center"/>
            <w:hideMark/>
          </w:tcPr>
          <w:p w14:paraId="230BA5C4" w14:textId="56EE4CA6"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-7.35</w:t>
            </w:r>
            <w:r w:rsidR="00AF71F0">
              <w:rPr>
                <w:rFonts w:ascii="Calibri" w:eastAsia="Times New Roman" w:hAnsi="Calibri" w:cs="Calibri"/>
                <w:b/>
                <w:bCs/>
                <w:i/>
                <w:iCs/>
                <w:color w:val="000000"/>
                <w:sz w:val="18"/>
                <w:szCs w:val="18"/>
                <w:lang w:eastAsia="en-IE"/>
              </w:rPr>
              <w:t>0</w:t>
            </w:r>
          </w:p>
        </w:tc>
        <w:tc>
          <w:tcPr>
            <w:tcW w:w="944" w:type="dxa"/>
            <w:tcBorders>
              <w:top w:val="nil"/>
              <w:left w:val="nil"/>
              <w:bottom w:val="nil"/>
              <w:right w:val="single" w:sz="4" w:space="0" w:color="auto"/>
            </w:tcBorders>
            <w:shd w:val="clear" w:color="auto" w:fill="auto"/>
            <w:noWrap/>
            <w:vAlign w:val="center"/>
            <w:hideMark/>
          </w:tcPr>
          <w:p w14:paraId="10E3216E"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-0.303</w:t>
            </w:r>
          </w:p>
        </w:tc>
      </w:tr>
      <w:tr w:rsidR="00ED02A4" w:rsidRPr="00AC0EE7" w14:paraId="222EFEA5"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9CE1D1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Brazil</w:t>
            </w:r>
          </w:p>
        </w:tc>
        <w:tc>
          <w:tcPr>
            <w:tcW w:w="934" w:type="dxa"/>
            <w:tcBorders>
              <w:top w:val="nil"/>
              <w:left w:val="nil"/>
              <w:bottom w:val="nil"/>
              <w:right w:val="nil"/>
            </w:tcBorders>
            <w:shd w:val="clear" w:color="auto" w:fill="auto"/>
            <w:noWrap/>
            <w:vAlign w:val="center"/>
            <w:hideMark/>
          </w:tcPr>
          <w:p w14:paraId="533E9E7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Bulgaria</w:t>
            </w:r>
          </w:p>
        </w:tc>
        <w:tc>
          <w:tcPr>
            <w:tcW w:w="960" w:type="dxa"/>
            <w:tcBorders>
              <w:top w:val="nil"/>
              <w:left w:val="nil"/>
              <w:bottom w:val="nil"/>
              <w:right w:val="nil"/>
            </w:tcBorders>
            <w:shd w:val="clear" w:color="auto" w:fill="auto"/>
            <w:noWrap/>
            <w:vAlign w:val="center"/>
            <w:hideMark/>
          </w:tcPr>
          <w:p w14:paraId="24534F3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Canada</w:t>
            </w:r>
          </w:p>
        </w:tc>
        <w:tc>
          <w:tcPr>
            <w:tcW w:w="956" w:type="dxa"/>
            <w:tcBorders>
              <w:top w:val="nil"/>
              <w:left w:val="nil"/>
              <w:bottom w:val="nil"/>
              <w:right w:val="nil"/>
            </w:tcBorders>
            <w:shd w:val="clear" w:color="auto" w:fill="auto"/>
            <w:noWrap/>
            <w:vAlign w:val="center"/>
            <w:hideMark/>
          </w:tcPr>
          <w:p w14:paraId="2B13E6F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Chile</w:t>
            </w:r>
          </w:p>
        </w:tc>
        <w:tc>
          <w:tcPr>
            <w:tcW w:w="954" w:type="dxa"/>
            <w:tcBorders>
              <w:top w:val="nil"/>
              <w:left w:val="nil"/>
              <w:bottom w:val="nil"/>
              <w:right w:val="nil"/>
            </w:tcBorders>
            <w:shd w:val="clear" w:color="auto" w:fill="auto"/>
            <w:noWrap/>
            <w:vAlign w:val="center"/>
            <w:hideMark/>
          </w:tcPr>
          <w:p w14:paraId="358FC18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China</w:t>
            </w:r>
          </w:p>
        </w:tc>
        <w:tc>
          <w:tcPr>
            <w:tcW w:w="939" w:type="dxa"/>
            <w:tcBorders>
              <w:top w:val="nil"/>
              <w:left w:val="nil"/>
              <w:bottom w:val="nil"/>
              <w:right w:val="nil"/>
            </w:tcBorders>
            <w:shd w:val="clear" w:color="auto" w:fill="auto"/>
            <w:noWrap/>
            <w:vAlign w:val="center"/>
            <w:hideMark/>
          </w:tcPr>
          <w:p w14:paraId="6701572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Colombia</w:t>
            </w:r>
          </w:p>
        </w:tc>
        <w:tc>
          <w:tcPr>
            <w:tcW w:w="994" w:type="dxa"/>
            <w:tcBorders>
              <w:top w:val="nil"/>
              <w:left w:val="nil"/>
              <w:bottom w:val="nil"/>
              <w:right w:val="nil"/>
            </w:tcBorders>
            <w:shd w:val="clear" w:color="auto" w:fill="auto"/>
            <w:noWrap/>
            <w:vAlign w:val="center"/>
            <w:hideMark/>
          </w:tcPr>
          <w:p w14:paraId="3979429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Cote d'Ivoire</w:t>
            </w:r>
          </w:p>
        </w:tc>
        <w:tc>
          <w:tcPr>
            <w:tcW w:w="944" w:type="dxa"/>
            <w:tcBorders>
              <w:top w:val="nil"/>
              <w:left w:val="nil"/>
              <w:bottom w:val="nil"/>
              <w:right w:val="single" w:sz="4" w:space="0" w:color="auto"/>
            </w:tcBorders>
            <w:shd w:val="clear" w:color="auto" w:fill="auto"/>
            <w:noWrap/>
            <w:vAlign w:val="center"/>
            <w:hideMark/>
          </w:tcPr>
          <w:p w14:paraId="7BFC895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Croatia</w:t>
            </w:r>
          </w:p>
        </w:tc>
      </w:tr>
      <w:tr w:rsidR="00ED02A4" w:rsidRPr="00AC0EE7" w14:paraId="2500138B"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FEBC07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-2.292</w:t>
            </w:r>
          </w:p>
        </w:tc>
        <w:tc>
          <w:tcPr>
            <w:tcW w:w="934" w:type="dxa"/>
            <w:tcBorders>
              <w:top w:val="nil"/>
              <w:left w:val="nil"/>
              <w:bottom w:val="nil"/>
              <w:right w:val="nil"/>
            </w:tcBorders>
            <w:shd w:val="clear" w:color="auto" w:fill="auto"/>
            <w:noWrap/>
            <w:vAlign w:val="center"/>
            <w:hideMark/>
          </w:tcPr>
          <w:p w14:paraId="12430B0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-3.96</w:t>
            </w:r>
          </w:p>
        </w:tc>
        <w:tc>
          <w:tcPr>
            <w:tcW w:w="960" w:type="dxa"/>
            <w:tcBorders>
              <w:top w:val="nil"/>
              <w:left w:val="nil"/>
              <w:bottom w:val="nil"/>
              <w:right w:val="nil"/>
            </w:tcBorders>
            <w:shd w:val="clear" w:color="auto" w:fill="auto"/>
            <w:noWrap/>
            <w:vAlign w:val="center"/>
            <w:hideMark/>
          </w:tcPr>
          <w:p w14:paraId="310B63D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-2.453</w:t>
            </w:r>
          </w:p>
        </w:tc>
        <w:tc>
          <w:tcPr>
            <w:tcW w:w="956" w:type="dxa"/>
            <w:tcBorders>
              <w:top w:val="nil"/>
              <w:left w:val="nil"/>
              <w:bottom w:val="nil"/>
              <w:right w:val="nil"/>
            </w:tcBorders>
            <w:shd w:val="clear" w:color="auto" w:fill="auto"/>
            <w:noWrap/>
            <w:vAlign w:val="center"/>
            <w:hideMark/>
          </w:tcPr>
          <w:p w14:paraId="1D02D7F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-2.191</w:t>
            </w:r>
          </w:p>
        </w:tc>
        <w:tc>
          <w:tcPr>
            <w:tcW w:w="954" w:type="dxa"/>
            <w:tcBorders>
              <w:top w:val="nil"/>
              <w:left w:val="nil"/>
              <w:bottom w:val="nil"/>
              <w:right w:val="nil"/>
            </w:tcBorders>
            <w:shd w:val="clear" w:color="auto" w:fill="auto"/>
            <w:noWrap/>
            <w:vAlign w:val="center"/>
            <w:hideMark/>
          </w:tcPr>
          <w:p w14:paraId="11243843" w14:textId="7C8C675D"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-0.29</w:t>
            </w:r>
            <w:r w:rsidR="00C10819">
              <w:rPr>
                <w:rFonts w:ascii="Calibri" w:eastAsia="Times New Roman" w:hAnsi="Calibri" w:cs="Calibri"/>
                <w:color w:val="000000"/>
                <w:sz w:val="18"/>
                <w:szCs w:val="18"/>
                <w:lang w:eastAsia="en-IE"/>
              </w:rPr>
              <w:t>0</w:t>
            </w:r>
          </w:p>
        </w:tc>
        <w:tc>
          <w:tcPr>
            <w:tcW w:w="939" w:type="dxa"/>
            <w:tcBorders>
              <w:top w:val="nil"/>
              <w:left w:val="nil"/>
              <w:bottom w:val="nil"/>
              <w:right w:val="nil"/>
            </w:tcBorders>
            <w:shd w:val="clear" w:color="auto" w:fill="auto"/>
            <w:noWrap/>
            <w:vAlign w:val="center"/>
            <w:hideMark/>
          </w:tcPr>
          <w:p w14:paraId="358F1CC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-2.586</w:t>
            </w:r>
          </w:p>
        </w:tc>
        <w:tc>
          <w:tcPr>
            <w:tcW w:w="994" w:type="dxa"/>
            <w:tcBorders>
              <w:top w:val="nil"/>
              <w:left w:val="nil"/>
              <w:bottom w:val="nil"/>
              <w:right w:val="nil"/>
            </w:tcBorders>
            <w:shd w:val="clear" w:color="auto" w:fill="auto"/>
            <w:noWrap/>
            <w:vAlign w:val="center"/>
            <w:hideMark/>
          </w:tcPr>
          <w:p w14:paraId="4E50189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-1.761</w:t>
            </w:r>
          </w:p>
        </w:tc>
        <w:tc>
          <w:tcPr>
            <w:tcW w:w="944" w:type="dxa"/>
            <w:tcBorders>
              <w:top w:val="nil"/>
              <w:left w:val="nil"/>
              <w:bottom w:val="nil"/>
              <w:right w:val="single" w:sz="4" w:space="0" w:color="auto"/>
            </w:tcBorders>
            <w:shd w:val="clear" w:color="auto" w:fill="auto"/>
            <w:noWrap/>
            <w:vAlign w:val="center"/>
            <w:hideMark/>
          </w:tcPr>
          <w:p w14:paraId="71CB72C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-3.974</w:t>
            </w:r>
          </w:p>
        </w:tc>
      </w:tr>
      <w:tr w:rsidR="00ED02A4" w:rsidRPr="00AC0EE7" w14:paraId="24E568C9"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0EFA72B9"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-8.952</w:t>
            </w:r>
          </w:p>
        </w:tc>
        <w:tc>
          <w:tcPr>
            <w:tcW w:w="934" w:type="dxa"/>
            <w:tcBorders>
              <w:top w:val="nil"/>
              <w:left w:val="nil"/>
              <w:bottom w:val="nil"/>
              <w:right w:val="nil"/>
            </w:tcBorders>
            <w:shd w:val="clear" w:color="auto" w:fill="auto"/>
            <w:noWrap/>
            <w:vAlign w:val="center"/>
            <w:hideMark/>
          </w:tcPr>
          <w:p w14:paraId="390FD1A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-7.725</w:t>
            </w:r>
          </w:p>
        </w:tc>
        <w:tc>
          <w:tcPr>
            <w:tcW w:w="960" w:type="dxa"/>
            <w:tcBorders>
              <w:top w:val="nil"/>
              <w:left w:val="nil"/>
              <w:bottom w:val="nil"/>
              <w:right w:val="nil"/>
            </w:tcBorders>
            <w:shd w:val="clear" w:color="auto" w:fill="auto"/>
            <w:noWrap/>
            <w:vAlign w:val="center"/>
            <w:hideMark/>
          </w:tcPr>
          <w:p w14:paraId="2EEB31EA" w14:textId="1A52FBA3"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-9.86</w:t>
            </w:r>
            <w:r w:rsidR="00C10819">
              <w:rPr>
                <w:rFonts w:ascii="Calibri" w:eastAsia="Times New Roman" w:hAnsi="Calibri" w:cs="Calibri"/>
                <w:b/>
                <w:bCs/>
                <w:i/>
                <w:iCs/>
                <w:color w:val="000000"/>
                <w:sz w:val="18"/>
                <w:szCs w:val="18"/>
                <w:lang w:eastAsia="en-IE"/>
              </w:rPr>
              <w:t>0</w:t>
            </w:r>
          </w:p>
        </w:tc>
        <w:tc>
          <w:tcPr>
            <w:tcW w:w="956" w:type="dxa"/>
            <w:tcBorders>
              <w:top w:val="nil"/>
              <w:left w:val="nil"/>
              <w:bottom w:val="nil"/>
              <w:right w:val="nil"/>
            </w:tcBorders>
            <w:shd w:val="clear" w:color="auto" w:fill="auto"/>
            <w:noWrap/>
            <w:vAlign w:val="center"/>
            <w:hideMark/>
          </w:tcPr>
          <w:p w14:paraId="0FE6989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-8.674</w:t>
            </w:r>
          </w:p>
        </w:tc>
        <w:tc>
          <w:tcPr>
            <w:tcW w:w="954" w:type="dxa"/>
            <w:tcBorders>
              <w:top w:val="nil"/>
              <w:left w:val="nil"/>
              <w:bottom w:val="nil"/>
              <w:right w:val="nil"/>
            </w:tcBorders>
            <w:shd w:val="clear" w:color="auto" w:fill="auto"/>
            <w:noWrap/>
            <w:vAlign w:val="center"/>
            <w:hideMark/>
          </w:tcPr>
          <w:p w14:paraId="1C79276F" w14:textId="3166621B"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-4.43</w:t>
            </w:r>
            <w:r w:rsidR="00C10819">
              <w:rPr>
                <w:rFonts w:ascii="Calibri" w:eastAsia="Times New Roman" w:hAnsi="Calibri" w:cs="Calibri"/>
                <w:b/>
                <w:bCs/>
                <w:i/>
                <w:iCs/>
                <w:color w:val="000000"/>
                <w:sz w:val="18"/>
                <w:szCs w:val="18"/>
                <w:lang w:eastAsia="en-IE"/>
              </w:rPr>
              <w:t>0</w:t>
            </w:r>
          </w:p>
        </w:tc>
        <w:tc>
          <w:tcPr>
            <w:tcW w:w="939" w:type="dxa"/>
            <w:tcBorders>
              <w:top w:val="nil"/>
              <w:left w:val="nil"/>
              <w:bottom w:val="nil"/>
              <w:right w:val="nil"/>
            </w:tcBorders>
            <w:shd w:val="clear" w:color="auto" w:fill="auto"/>
            <w:noWrap/>
            <w:vAlign w:val="center"/>
            <w:hideMark/>
          </w:tcPr>
          <w:p w14:paraId="6EEA9ED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-5.554</w:t>
            </w:r>
          </w:p>
        </w:tc>
        <w:tc>
          <w:tcPr>
            <w:tcW w:w="994" w:type="dxa"/>
            <w:tcBorders>
              <w:top w:val="nil"/>
              <w:left w:val="nil"/>
              <w:bottom w:val="nil"/>
              <w:right w:val="nil"/>
            </w:tcBorders>
            <w:shd w:val="clear" w:color="auto" w:fill="auto"/>
            <w:noWrap/>
            <w:vAlign w:val="center"/>
            <w:hideMark/>
          </w:tcPr>
          <w:p w14:paraId="39DCB649"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-5.598</w:t>
            </w:r>
          </w:p>
        </w:tc>
        <w:tc>
          <w:tcPr>
            <w:tcW w:w="944" w:type="dxa"/>
            <w:tcBorders>
              <w:top w:val="nil"/>
              <w:left w:val="nil"/>
              <w:bottom w:val="nil"/>
              <w:right w:val="single" w:sz="4" w:space="0" w:color="auto"/>
            </w:tcBorders>
            <w:shd w:val="clear" w:color="auto" w:fill="auto"/>
            <w:noWrap/>
            <w:vAlign w:val="center"/>
            <w:hideMark/>
          </w:tcPr>
          <w:p w14:paraId="6349E50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-6.524</w:t>
            </w:r>
          </w:p>
        </w:tc>
      </w:tr>
      <w:tr w:rsidR="00ED02A4" w:rsidRPr="00AC0EE7" w14:paraId="3B4FA04D"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0FF1B5E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Cyprus</w:t>
            </w:r>
          </w:p>
        </w:tc>
        <w:tc>
          <w:tcPr>
            <w:tcW w:w="934" w:type="dxa"/>
            <w:tcBorders>
              <w:top w:val="nil"/>
              <w:left w:val="nil"/>
              <w:bottom w:val="nil"/>
              <w:right w:val="nil"/>
            </w:tcBorders>
            <w:shd w:val="clear" w:color="auto" w:fill="auto"/>
            <w:noWrap/>
            <w:vAlign w:val="center"/>
            <w:hideMark/>
          </w:tcPr>
          <w:p w14:paraId="46DCDC7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Czech Rep.</w:t>
            </w:r>
          </w:p>
        </w:tc>
        <w:tc>
          <w:tcPr>
            <w:tcW w:w="960" w:type="dxa"/>
            <w:tcBorders>
              <w:top w:val="nil"/>
              <w:left w:val="nil"/>
              <w:bottom w:val="nil"/>
              <w:right w:val="nil"/>
            </w:tcBorders>
            <w:shd w:val="clear" w:color="auto" w:fill="auto"/>
            <w:noWrap/>
            <w:vAlign w:val="center"/>
            <w:hideMark/>
          </w:tcPr>
          <w:p w14:paraId="2203019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Denmark</w:t>
            </w:r>
          </w:p>
        </w:tc>
        <w:tc>
          <w:tcPr>
            <w:tcW w:w="956" w:type="dxa"/>
            <w:tcBorders>
              <w:top w:val="nil"/>
              <w:left w:val="nil"/>
              <w:bottom w:val="nil"/>
              <w:right w:val="nil"/>
            </w:tcBorders>
            <w:shd w:val="clear" w:color="auto" w:fill="auto"/>
            <w:noWrap/>
            <w:vAlign w:val="center"/>
            <w:hideMark/>
          </w:tcPr>
          <w:p w14:paraId="6860224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Ecuador</w:t>
            </w:r>
          </w:p>
        </w:tc>
        <w:tc>
          <w:tcPr>
            <w:tcW w:w="954" w:type="dxa"/>
            <w:tcBorders>
              <w:top w:val="nil"/>
              <w:left w:val="nil"/>
              <w:bottom w:val="nil"/>
              <w:right w:val="nil"/>
            </w:tcBorders>
            <w:shd w:val="clear" w:color="auto" w:fill="auto"/>
            <w:noWrap/>
            <w:vAlign w:val="center"/>
            <w:hideMark/>
          </w:tcPr>
          <w:p w14:paraId="4B10726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Egypt</w:t>
            </w:r>
          </w:p>
        </w:tc>
        <w:tc>
          <w:tcPr>
            <w:tcW w:w="939" w:type="dxa"/>
            <w:tcBorders>
              <w:top w:val="nil"/>
              <w:left w:val="nil"/>
              <w:bottom w:val="nil"/>
              <w:right w:val="nil"/>
            </w:tcBorders>
            <w:shd w:val="clear" w:color="auto" w:fill="auto"/>
            <w:noWrap/>
            <w:vAlign w:val="center"/>
            <w:hideMark/>
          </w:tcPr>
          <w:p w14:paraId="5102E85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Estonia</w:t>
            </w:r>
          </w:p>
        </w:tc>
        <w:tc>
          <w:tcPr>
            <w:tcW w:w="994" w:type="dxa"/>
            <w:tcBorders>
              <w:top w:val="nil"/>
              <w:left w:val="nil"/>
              <w:bottom w:val="nil"/>
              <w:right w:val="nil"/>
            </w:tcBorders>
            <w:shd w:val="clear" w:color="auto" w:fill="auto"/>
            <w:noWrap/>
            <w:vAlign w:val="center"/>
            <w:hideMark/>
          </w:tcPr>
          <w:p w14:paraId="7798072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Finland</w:t>
            </w:r>
          </w:p>
        </w:tc>
        <w:tc>
          <w:tcPr>
            <w:tcW w:w="944" w:type="dxa"/>
            <w:tcBorders>
              <w:top w:val="nil"/>
              <w:left w:val="nil"/>
              <w:bottom w:val="nil"/>
              <w:right w:val="single" w:sz="4" w:space="0" w:color="auto"/>
            </w:tcBorders>
            <w:shd w:val="clear" w:color="auto" w:fill="auto"/>
            <w:noWrap/>
            <w:vAlign w:val="center"/>
            <w:hideMark/>
          </w:tcPr>
          <w:p w14:paraId="1E5844A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France</w:t>
            </w:r>
          </w:p>
        </w:tc>
      </w:tr>
      <w:tr w:rsidR="00ED02A4" w:rsidRPr="00AC0EE7" w14:paraId="1A6D736D"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8C582A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-1.998</w:t>
            </w:r>
          </w:p>
        </w:tc>
        <w:tc>
          <w:tcPr>
            <w:tcW w:w="934" w:type="dxa"/>
            <w:tcBorders>
              <w:top w:val="nil"/>
              <w:left w:val="nil"/>
              <w:bottom w:val="nil"/>
              <w:right w:val="nil"/>
            </w:tcBorders>
            <w:shd w:val="clear" w:color="auto" w:fill="auto"/>
            <w:noWrap/>
            <w:vAlign w:val="center"/>
            <w:hideMark/>
          </w:tcPr>
          <w:p w14:paraId="4C33762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-3.359</w:t>
            </w:r>
          </w:p>
        </w:tc>
        <w:tc>
          <w:tcPr>
            <w:tcW w:w="960" w:type="dxa"/>
            <w:tcBorders>
              <w:top w:val="nil"/>
              <w:left w:val="nil"/>
              <w:bottom w:val="nil"/>
              <w:right w:val="nil"/>
            </w:tcBorders>
            <w:shd w:val="clear" w:color="auto" w:fill="auto"/>
            <w:noWrap/>
            <w:vAlign w:val="center"/>
            <w:hideMark/>
          </w:tcPr>
          <w:p w14:paraId="6D4966E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-3.237</w:t>
            </w:r>
          </w:p>
        </w:tc>
        <w:tc>
          <w:tcPr>
            <w:tcW w:w="956" w:type="dxa"/>
            <w:tcBorders>
              <w:top w:val="nil"/>
              <w:left w:val="nil"/>
              <w:bottom w:val="nil"/>
              <w:right w:val="nil"/>
            </w:tcBorders>
            <w:shd w:val="clear" w:color="auto" w:fill="auto"/>
            <w:noWrap/>
            <w:vAlign w:val="center"/>
            <w:hideMark/>
          </w:tcPr>
          <w:p w14:paraId="33FD7B7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1E7766DE" w14:textId="3FCE8172"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-0.74</w:t>
            </w:r>
            <w:r w:rsidR="00C10819">
              <w:rPr>
                <w:rFonts w:ascii="Calibri" w:eastAsia="Times New Roman" w:hAnsi="Calibri" w:cs="Calibri"/>
                <w:color w:val="000000"/>
                <w:sz w:val="18"/>
                <w:szCs w:val="18"/>
                <w:lang w:eastAsia="en-IE"/>
              </w:rPr>
              <w:t>0</w:t>
            </w:r>
          </w:p>
        </w:tc>
        <w:tc>
          <w:tcPr>
            <w:tcW w:w="939" w:type="dxa"/>
            <w:tcBorders>
              <w:top w:val="nil"/>
              <w:left w:val="nil"/>
              <w:bottom w:val="nil"/>
              <w:right w:val="nil"/>
            </w:tcBorders>
            <w:shd w:val="clear" w:color="auto" w:fill="auto"/>
            <w:noWrap/>
            <w:vAlign w:val="center"/>
            <w:hideMark/>
          </w:tcPr>
          <w:p w14:paraId="65B2212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-2.912</w:t>
            </w:r>
          </w:p>
        </w:tc>
        <w:tc>
          <w:tcPr>
            <w:tcW w:w="994" w:type="dxa"/>
            <w:tcBorders>
              <w:top w:val="nil"/>
              <w:left w:val="nil"/>
              <w:bottom w:val="nil"/>
              <w:right w:val="nil"/>
            </w:tcBorders>
            <w:shd w:val="clear" w:color="auto" w:fill="auto"/>
            <w:noWrap/>
            <w:vAlign w:val="center"/>
            <w:hideMark/>
          </w:tcPr>
          <w:p w14:paraId="7DAF7C9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-4.507</w:t>
            </w:r>
          </w:p>
        </w:tc>
        <w:tc>
          <w:tcPr>
            <w:tcW w:w="944" w:type="dxa"/>
            <w:tcBorders>
              <w:top w:val="nil"/>
              <w:left w:val="nil"/>
              <w:bottom w:val="nil"/>
              <w:right w:val="single" w:sz="4" w:space="0" w:color="auto"/>
            </w:tcBorders>
            <w:shd w:val="clear" w:color="auto" w:fill="auto"/>
            <w:noWrap/>
            <w:vAlign w:val="center"/>
            <w:hideMark/>
          </w:tcPr>
          <w:p w14:paraId="504C4E8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-3.812</w:t>
            </w:r>
          </w:p>
        </w:tc>
      </w:tr>
      <w:tr w:rsidR="00ED02A4" w:rsidRPr="00AC0EE7" w14:paraId="132D8362"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3F1E307" w14:textId="19A473F8"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-0.89</w:t>
            </w:r>
            <w:r w:rsidR="00BA4657">
              <w:rPr>
                <w:rFonts w:ascii="Calibri" w:eastAsia="Times New Roman" w:hAnsi="Calibri" w:cs="Calibri"/>
                <w:b/>
                <w:bCs/>
                <w:i/>
                <w:iCs/>
                <w:color w:val="000000"/>
                <w:sz w:val="18"/>
                <w:szCs w:val="18"/>
                <w:lang w:eastAsia="en-IE"/>
              </w:rPr>
              <w:t>0</w:t>
            </w:r>
          </w:p>
        </w:tc>
        <w:tc>
          <w:tcPr>
            <w:tcW w:w="934" w:type="dxa"/>
            <w:tcBorders>
              <w:top w:val="nil"/>
              <w:left w:val="nil"/>
              <w:bottom w:val="nil"/>
              <w:right w:val="nil"/>
            </w:tcBorders>
            <w:shd w:val="clear" w:color="auto" w:fill="auto"/>
            <w:noWrap/>
            <w:vAlign w:val="center"/>
            <w:hideMark/>
          </w:tcPr>
          <w:p w14:paraId="219F79D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-6.676</w:t>
            </w:r>
          </w:p>
        </w:tc>
        <w:tc>
          <w:tcPr>
            <w:tcW w:w="960" w:type="dxa"/>
            <w:tcBorders>
              <w:top w:val="nil"/>
              <w:left w:val="nil"/>
              <w:bottom w:val="nil"/>
              <w:right w:val="nil"/>
            </w:tcBorders>
            <w:shd w:val="clear" w:color="auto" w:fill="auto"/>
            <w:noWrap/>
            <w:vAlign w:val="center"/>
            <w:hideMark/>
          </w:tcPr>
          <w:p w14:paraId="7E12993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-7.647</w:t>
            </w:r>
          </w:p>
        </w:tc>
        <w:tc>
          <w:tcPr>
            <w:tcW w:w="956" w:type="dxa"/>
            <w:tcBorders>
              <w:top w:val="nil"/>
              <w:left w:val="nil"/>
              <w:bottom w:val="nil"/>
              <w:right w:val="nil"/>
            </w:tcBorders>
            <w:shd w:val="clear" w:color="auto" w:fill="auto"/>
            <w:noWrap/>
            <w:vAlign w:val="center"/>
            <w:hideMark/>
          </w:tcPr>
          <w:p w14:paraId="2A8C4725"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6292157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-2.253</w:t>
            </w:r>
          </w:p>
        </w:tc>
        <w:tc>
          <w:tcPr>
            <w:tcW w:w="939" w:type="dxa"/>
            <w:tcBorders>
              <w:top w:val="nil"/>
              <w:left w:val="nil"/>
              <w:bottom w:val="nil"/>
              <w:right w:val="nil"/>
            </w:tcBorders>
            <w:shd w:val="clear" w:color="auto" w:fill="auto"/>
            <w:noWrap/>
            <w:vAlign w:val="center"/>
            <w:hideMark/>
          </w:tcPr>
          <w:p w14:paraId="194DFA2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-7.394</w:t>
            </w:r>
          </w:p>
        </w:tc>
        <w:tc>
          <w:tcPr>
            <w:tcW w:w="994" w:type="dxa"/>
            <w:tcBorders>
              <w:top w:val="nil"/>
              <w:left w:val="nil"/>
              <w:bottom w:val="nil"/>
              <w:right w:val="nil"/>
            </w:tcBorders>
            <w:shd w:val="clear" w:color="auto" w:fill="auto"/>
            <w:noWrap/>
            <w:vAlign w:val="center"/>
            <w:hideMark/>
          </w:tcPr>
          <w:p w14:paraId="5F81888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-8.652</w:t>
            </w:r>
          </w:p>
        </w:tc>
        <w:tc>
          <w:tcPr>
            <w:tcW w:w="944" w:type="dxa"/>
            <w:tcBorders>
              <w:top w:val="nil"/>
              <w:left w:val="nil"/>
              <w:bottom w:val="nil"/>
              <w:right w:val="single" w:sz="4" w:space="0" w:color="auto"/>
            </w:tcBorders>
            <w:shd w:val="clear" w:color="auto" w:fill="auto"/>
            <w:noWrap/>
            <w:vAlign w:val="center"/>
            <w:hideMark/>
          </w:tcPr>
          <w:p w14:paraId="0760446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-9.511</w:t>
            </w:r>
          </w:p>
        </w:tc>
      </w:tr>
      <w:tr w:rsidR="00ED02A4" w:rsidRPr="00AC0EE7" w14:paraId="01AAE8E4"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415F72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Germany</w:t>
            </w:r>
          </w:p>
        </w:tc>
        <w:tc>
          <w:tcPr>
            <w:tcW w:w="934" w:type="dxa"/>
            <w:tcBorders>
              <w:top w:val="nil"/>
              <w:left w:val="nil"/>
              <w:bottom w:val="nil"/>
              <w:right w:val="nil"/>
            </w:tcBorders>
            <w:shd w:val="clear" w:color="auto" w:fill="auto"/>
            <w:noWrap/>
            <w:vAlign w:val="center"/>
            <w:hideMark/>
          </w:tcPr>
          <w:p w14:paraId="69B787F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Ghana</w:t>
            </w:r>
          </w:p>
        </w:tc>
        <w:tc>
          <w:tcPr>
            <w:tcW w:w="960" w:type="dxa"/>
            <w:tcBorders>
              <w:top w:val="nil"/>
              <w:left w:val="nil"/>
              <w:bottom w:val="nil"/>
              <w:right w:val="nil"/>
            </w:tcBorders>
            <w:shd w:val="clear" w:color="auto" w:fill="auto"/>
            <w:noWrap/>
            <w:vAlign w:val="center"/>
            <w:hideMark/>
          </w:tcPr>
          <w:p w14:paraId="40E888D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Greece</w:t>
            </w:r>
          </w:p>
        </w:tc>
        <w:tc>
          <w:tcPr>
            <w:tcW w:w="956" w:type="dxa"/>
            <w:tcBorders>
              <w:top w:val="nil"/>
              <w:left w:val="nil"/>
              <w:bottom w:val="nil"/>
              <w:right w:val="nil"/>
            </w:tcBorders>
            <w:shd w:val="clear" w:color="auto" w:fill="auto"/>
            <w:noWrap/>
            <w:vAlign w:val="center"/>
            <w:hideMark/>
          </w:tcPr>
          <w:p w14:paraId="33D6861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Hong Kong</w:t>
            </w:r>
          </w:p>
        </w:tc>
        <w:tc>
          <w:tcPr>
            <w:tcW w:w="954" w:type="dxa"/>
            <w:tcBorders>
              <w:top w:val="nil"/>
              <w:left w:val="nil"/>
              <w:bottom w:val="nil"/>
              <w:right w:val="nil"/>
            </w:tcBorders>
            <w:shd w:val="clear" w:color="auto" w:fill="auto"/>
            <w:noWrap/>
            <w:vAlign w:val="center"/>
            <w:hideMark/>
          </w:tcPr>
          <w:p w14:paraId="47E2B5A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Hungary</w:t>
            </w:r>
          </w:p>
        </w:tc>
        <w:tc>
          <w:tcPr>
            <w:tcW w:w="939" w:type="dxa"/>
            <w:tcBorders>
              <w:top w:val="nil"/>
              <w:left w:val="nil"/>
              <w:bottom w:val="nil"/>
              <w:right w:val="nil"/>
            </w:tcBorders>
            <w:shd w:val="clear" w:color="auto" w:fill="auto"/>
            <w:noWrap/>
            <w:vAlign w:val="center"/>
            <w:hideMark/>
          </w:tcPr>
          <w:p w14:paraId="5F5EF82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Iceland</w:t>
            </w:r>
          </w:p>
        </w:tc>
        <w:tc>
          <w:tcPr>
            <w:tcW w:w="994" w:type="dxa"/>
            <w:tcBorders>
              <w:top w:val="nil"/>
              <w:left w:val="nil"/>
              <w:bottom w:val="nil"/>
              <w:right w:val="nil"/>
            </w:tcBorders>
            <w:shd w:val="clear" w:color="auto" w:fill="auto"/>
            <w:noWrap/>
            <w:vAlign w:val="center"/>
            <w:hideMark/>
          </w:tcPr>
          <w:p w14:paraId="59636E2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India</w:t>
            </w:r>
          </w:p>
        </w:tc>
        <w:tc>
          <w:tcPr>
            <w:tcW w:w="944" w:type="dxa"/>
            <w:tcBorders>
              <w:top w:val="nil"/>
              <w:left w:val="nil"/>
              <w:bottom w:val="nil"/>
              <w:right w:val="single" w:sz="4" w:space="0" w:color="auto"/>
            </w:tcBorders>
            <w:shd w:val="clear" w:color="auto" w:fill="auto"/>
            <w:noWrap/>
            <w:vAlign w:val="center"/>
            <w:hideMark/>
          </w:tcPr>
          <w:p w14:paraId="5686850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Indonesia</w:t>
            </w:r>
          </w:p>
        </w:tc>
      </w:tr>
      <w:tr w:rsidR="00ED02A4" w:rsidRPr="00AC0EE7" w14:paraId="3AB53145"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4B529E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-3.236</w:t>
            </w:r>
          </w:p>
        </w:tc>
        <w:tc>
          <w:tcPr>
            <w:tcW w:w="934" w:type="dxa"/>
            <w:tcBorders>
              <w:top w:val="nil"/>
              <w:left w:val="nil"/>
              <w:bottom w:val="nil"/>
              <w:right w:val="nil"/>
            </w:tcBorders>
            <w:shd w:val="clear" w:color="auto" w:fill="auto"/>
            <w:noWrap/>
            <w:vAlign w:val="center"/>
            <w:hideMark/>
          </w:tcPr>
          <w:p w14:paraId="051549C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-0.007</w:t>
            </w:r>
          </w:p>
        </w:tc>
        <w:tc>
          <w:tcPr>
            <w:tcW w:w="960" w:type="dxa"/>
            <w:tcBorders>
              <w:top w:val="nil"/>
              <w:left w:val="nil"/>
              <w:bottom w:val="nil"/>
              <w:right w:val="nil"/>
            </w:tcBorders>
            <w:shd w:val="clear" w:color="auto" w:fill="auto"/>
            <w:noWrap/>
            <w:vAlign w:val="center"/>
            <w:hideMark/>
          </w:tcPr>
          <w:p w14:paraId="1CBD27E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-2.511</w:t>
            </w:r>
          </w:p>
        </w:tc>
        <w:tc>
          <w:tcPr>
            <w:tcW w:w="956" w:type="dxa"/>
            <w:tcBorders>
              <w:top w:val="nil"/>
              <w:left w:val="nil"/>
              <w:bottom w:val="nil"/>
              <w:right w:val="nil"/>
            </w:tcBorders>
            <w:shd w:val="clear" w:color="auto" w:fill="auto"/>
            <w:noWrap/>
            <w:vAlign w:val="center"/>
            <w:hideMark/>
          </w:tcPr>
          <w:p w14:paraId="1FAF6D2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-1.048</w:t>
            </w:r>
          </w:p>
        </w:tc>
        <w:tc>
          <w:tcPr>
            <w:tcW w:w="954" w:type="dxa"/>
            <w:tcBorders>
              <w:top w:val="nil"/>
              <w:left w:val="nil"/>
              <w:bottom w:val="nil"/>
              <w:right w:val="nil"/>
            </w:tcBorders>
            <w:shd w:val="clear" w:color="auto" w:fill="auto"/>
            <w:noWrap/>
            <w:vAlign w:val="center"/>
            <w:hideMark/>
          </w:tcPr>
          <w:p w14:paraId="27FB548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-3.164</w:t>
            </w:r>
          </w:p>
        </w:tc>
        <w:tc>
          <w:tcPr>
            <w:tcW w:w="939" w:type="dxa"/>
            <w:tcBorders>
              <w:top w:val="nil"/>
              <w:left w:val="nil"/>
              <w:bottom w:val="nil"/>
              <w:right w:val="nil"/>
            </w:tcBorders>
            <w:shd w:val="clear" w:color="auto" w:fill="auto"/>
            <w:noWrap/>
            <w:vAlign w:val="center"/>
            <w:hideMark/>
          </w:tcPr>
          <w:p w14:paraId="6FE66CF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-1.844</w:t>
            </w:r>
          </w:p>
        </w:tc>
        <w:tc>
          <w:tcPr>
            <w:tcW w:w="994" w:type="dxa"/>
            <w:tcBorders>
              <w:top w:val="nil"/>
              <w:left w:val="nil"/>
              <w:bottom w:val="nil"/>
              <w:right w:val="nil"/>
            </w:tcBorders>
            <w:shd w:val="clear" w:color="auto" w:fill="auto"/>
            <w:noWrap/>
            <w:vAlign w:val="center"/>
            <w:hideMark/>
          </w:tcPr>
          <w:p w14:paraId="75EF738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-1.406</w:t>
            </w:r>
          </w:p>
        </w:tc>
        <w:tc>
          <w:tcPr>
            <w:tcW w:w="944" w:type="dxa"/>
            <w:tcBorders>
              <w:top w:val="nil"/>
              <w:left w:val="nil"/>
              <w:bottom w:val="nil"/>
              <w:right w:val="single" w:sz="4" w:space="0" w:color="auto"/>
            </w:tcBorders>
            <w:shd w:val="clear" w:color="auto" w:fill="auto"/>
            <w:noWrap/>
            <w:vAlign w:val="center"/>
            <w:hideMark/>
          </w:tcPr>
          <w:p w14:paraId="7E310C6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-2.282</w:t>
            </w:r>
          </w:p>
        </w:tc>
      </w:tr>
      <w:tr w:rsidR="00ED02A4" w:rsidRPr="00AC0EE7" w14:paraId="338C8BA3"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42FEEE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-8.21</w:t>
            </w:r>
          </w:p>
        </w:tc>
        <w:tc>
          <w:tcPr>
            <w:tcW w:w="934" w:type="dxa"/>
            <w:tcBorders>
              <w:top w:val="nil"/>
              <w:left w:val="nil"/>
              <w:bottom w:val="nil"/>
              <w:right w:val="nil"/>
            </w:tcBorders>
            <w:shd w:val="clear" w:color="auto" w:fill="auto"/>
            <w:noWrap/>
            <w:vAlign w:val="center"/>
            <w:hideMark/>
          </w:tcPr>
          <w:p w14:paraId="4DED98D1" w14:textId="5501A22C"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-0.69</w:t>
            </w:r>
            <w:r w:rsidR="00BA4657">
              <w:rPr>
                <w:rFonts w:ascii="Calibri" w:eastAsia="Times New Roman" w:hAnsi="Calibri" w:cs="Calibri"/>
                <w:b/>
                <w:bCs/>
                <w:i/>
                <w:iCs/>
                <w:color w:val="000000"/>
                <w:sz w:val="18"/>
                <w:szCs w:val="18"/>
                <w:lang w:eastAsia="en-IE"/>
              </w:rPr>
              <w:t>0</w:t>
            </w:r>
          </w:p>
        </w:tc>
        <w:tc>
          <w:tcPr>
            <w:tcW w:w="960" w:type="dxa"/>
            <w:tcBorders>
              <w:top w:val="nil"/>
              <w:left w:val="nil"/>
              <w:bottom w:val="nil"/>
              <w:right w:val="nil"/>
            </w:tcBorders>
            <w:shd w:val="clear" w:color="auto" w:fill="auto"/>
            <w:noWrap/>
            <w:vAlign w:val="center"/>
            <w:hideMark/>
          </w:tcPr>
          <w:p w14:paraId="2F0C75E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-6.182</w:t>
            </w:r>
          </w:p>
        </w:tc>
        <w:tc>
          <w:tcPr>
            <w:tcW w:w="956" w:type="dxa"/>
            <w:tcBorders>
              <w:top w:val="nil"/>
              <w:left w:val="nil"/>
              <w:bottom w:val="nil"/>
              <w:right w:val="nil"/>
            </w:tcBorders>
            <w:shd w:val="clear" w:color="auto" w:fill="auto"/>
            <w:noWrap/>
            <w:vAlign w:val="center"/>
            <w:hideMark/>
          </w:tcPr>
          <w:p w14:paraId="0C13C895"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-3.725</w:t>
            </w:r>
          </w:p>
        </w:tc>
        <w:tc>
          <w:tcPr>
            <w:tcW w:w="954" w:type="dxa"/>
            <w:tcBorders>
              <w:top w:val="nil"/>
              <w:left w:val="nil"/>
              <w:bottom w:val="nil"/>
              <w:right w:val="nil"/>
            </w:tcBorders>
            <w:shd w:val="clear" w:color="auto" w:fill="auto"/>
            <w:noWrap/>
            <w:vAlign w:val="center"/>
            <w:hideMark/>
          </w:tcPr>
          <w:p w14:paraId="6E02AF4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-7.275</w:t>
            </w:r>
          </w:p>
        </w:tc>
        <w:tc>
          <w:tcPr>
            <w:tcW w:w="939" w:type="dxa"/>
            <w:tcBorders>
              <w:top w:val="nil"/>
              <w:left w:val="nil"/>
              <w:bottom w:val="nil"/>
              <w:right w:val="nil"/>
            </w:tcBorders>
            <w:shd w:val="clear" w:color="auto" w:fill="auto"/>
            <w:noWrap/>
            <w:vAlign w:val="center"/>
            <w:hideMark/>
          </w:tcPr>
          <w:p w14:paraId="780C1F7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-4.451</w:t>
            </w:r>
          </w:p>
        </w:tc>
        <w:tc>
          <w:tcPr>
            <w:tcW w:w="994" w:type="dxa"/>
            <w:tcBorders>
              <w:top w:val="nil"/>
              <w:left w:val="nil"/>
              <w:bottom w:val="nil"/>
              <w:right w:val="nil"/>
            </w:tcBorders>
            <w:shd w:val="clear" w:color="auto" w:fill="auto"/>
            <w:noWrap/>
            <w:vAlign w:val="center"/>
            <w:hideMark/>
          </w:tcPr>
          <w:p w14:paraId="04213504" w14:textId="63ED64EF"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-6.89</w:t>
            </w:r>
            <w:r w:rsidR="00AF71F0">
              <w:rPr>
                <w:rFonts w:ascii="Calibri" w:eastAsia="Times New Roman" w:hAnsi="Calibri" w:cs="Calibri"/>
                <w:b/>
                <w:bCs/>
                <w:i/>
                <w:iCs/>
                <w:color w:val="000000"/>
                <w:sz w:val="18"/>
                <w:szCs w:val="18"/>
                <w:lang w:eastAsia="en-IE"/>
              </w:rPr>
              <w:t>0</w:t>
            </w:r>
          </w:p>
        </w:tc>
        <w:tc>
          <w:tcPr>
            <w:tcW w:w="944" w:type="dxa"/>
            <w:tcBorders>
              <w:top w:val="nil"/>
              <w:left w:val="nil"/>
              <w:bottom w:val="nil"/>
              <w:right w:val="single" w:sz="4" w:space="0" w:color="auto"/>
            </w:tcBorders>
            <w:shd w:val="clear" w:color="auto" w:fill="auto"/>
            <w:noWrap/>
            <w:vAlign w:val="center"/>
            <w:hideMark/>
          </w:tcPr>
          <w:p w14:paraId="08FB80E5"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-2.348</w:t>
            </w:r>
          </w:p>
        </w:tc>
      </w:tr>
      <w:tr w:rsidR="00ED02A4" w:rsidRPr="00AC0EE7" w14:paraId="5E592F5D"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1D5B9C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Ireland</w:t>
            </w:r>
          </w:p>
        </w:tc>
        <w:tc>
          <w:tcPr>
            <w:tcW w:w="934" w:type="dxa"/>
            <w:tcBorders>
              <w:top w:val="nil"/>
              <w:left w:val="nil"/>
              <w:bottom w:val="nil"/>
              <w:right w:val="nil"/>
            </w:tcBorders>
            <w:shd w:val="clear" w:color="auto" w:fill="auto"/>
            <w:noWrap/>
            <w:vAlign w:val="center"/>
            <w:hideMark/>
          </w:tcPr>
          <w:p w14:paraId="6F446DF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Israel</w:t>
            </w:r>
          </w:p>
        </w:tc>
        <w:tc>
          <w:tcPr>
            <w:tcW w:w="960" w:type="dxa"/>
            <w:tcBorders>
              <w:top w:val="nil"/>
              <w:left w:val="nil"/>
              <w:bottom w:val="nil"/>
              <w:right w:val="nil"/>
            </w:tcBorders>
            <w:shd w:val="clear" w:color="auto" w:fill="auto"/>
            <w:noWrap/>
            <w:vAlign w:val="center"/>
            <w:hideMark/>
          </w:tcPr>
          <w:p w14:paraId="2F3B8DC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Italy</w:t>
            </w:r>
          </w:p>
        </w:tc>
        <w:tc>
          <w:tcPr>
            <w:tcW w:w="956" w:type="dxa"/>
            <w:tcBorders>
              <w:top w:val="nil"/>
              <w:left w:val="nil"/>
              <w:bottom w:val="nil"/>
              <w:right w:val="nil"/>
            </w:tcBorders>
            <w:shd w:val="clear" w:color="auto" w:fill="auto"/>
            <w:noWrap/>
            <w:vAlign w:val="center"/>
            <w:hideMark/>
          </w:tcPr>
          <w:p w14:paraId="1ABBA8B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Jamaica</w:t>
            </w:r>
          </w:p>
        </w:tc>
        <w:tc>
          <w:tcPr>
            <w:tcW w:w="954" w:type="dxa"/>
            <w:tcBorders>
              <w:top w:val="nil"/>
              <w:left w:val="nil"/>
              <w:bottom w:val="nil"/>
              <w:right w:val="nil"/>
            </w:tcBorders>
            <w:shd w:val="clear" w:color="auto" w:fill="auto"/>
            <w:noWrap/>
            <w:vAlign w:val="center"/>
            <w:hideMark/>
          </w:tcPr>
          <w:p w14:paraId="2C43897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Japan</w:t>
            </w:r>
          </w:p>
        </w:tc>
        <w:tc>
          <w:tcPr>
            <w:tcW w:w="939" w:type="dxa"/>
            <w:tcBorders>
              <w:top w:val="nil"/>
              <w:left w:val="nil"/>
              <w:bottom w:val="nil"/>
              <w:right w:val="nil"/>
            </w:tcBorders>
            <w:shd w:val="clear" w:color="auto" w:fill="auto"/>
            <w:noWrap/>
            <w:vAlign w:val="center"/>
            <w:hideMark/>
          </w:tcPr>
          <w:p w14:paraId="35FE253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Jordan</w:t>
            </w:r>
          </w:p>
        </w:tc>
        <w:tc>
          <w:tcPr>
            <w:tcW w:w="994" w:type="dxa"/>
            <w:tcBorders>
              <w:top w:val="nil"/>
              <w:left w:val="nil"/>
              <w:bottom w:val="nil"/>
              <w:right w:val="nil"/>
            </w:tcBorders>
            <w:shd w:val="clear" w:color="auto" w:fill="auto"/>
            <w:noWrap/>
            <w:vAlign w:val="center"/>
            <w:hideMark/>
          </w:tcPr>
          <w:p w14:paraId="71E5F67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Kazakhstan</w:t>
            </w:r>
          </w:p>
        </w:tc>
        <w:tc>
          <w:tcPr>
            <w:tcW w:w="944" w:type="dxa"/>
            <w:tcBorders>
              <w:top w:val="nil"/>
              <w:left w:val="nil"/>
              <w:bottom w:val="nil"/>
              <w:right w:val="single" w:sz="4" w:space="0" w:color="auto"/>
            </w:tcBorders>
            <w:shd w:val="clear" w:color="auto" w:fill="auto"/>
            <w:noWrap/>
            <w:vAlign w:val="center"/>
            <w:hideMark/>
          </w:tcPr>
          <w:p w14:paraId="1E2DCE8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Kenya</w:t>
            </w:r>
          </w:p>
        </w:tc>
      </w:tr>
      <w:tr w:rsidR="00ED02A4" w:rsidRPr="00AC0EE7" w14:paraId="24F53F8E"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E7AFB9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-2.672</w:t>
            </w:r>
          </w:p>
        </w:tc>
        <w:tc>
          <w:tcPr>
            <w:tcW w:w="934" w:type="dxa"/>
            <w:tcBorders>
              <w:top w:val="nil"/>
              <w:left w:val="nil"/>
              <w:bottom w:val="nil"/>
              <w:right w:val="nil"/>
            </w:tcBorders>
            <w:shd w:val="clear" w:color="auto" w:fill="auto"/>
            <w:noWrap/>
            <w:vAlign w:val="center"/>
            <w:hideMark/>
          </w:tcPr>
          <w:p w14:paraId="6F11E26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-2.055</w:t>
            </w:r>
          </w:p>
        </w:tc>
        <w:tc>
          <w:tcPr>
            <w:tcW w:w="960" w:type="dxa"/>
            <w:tcBorders>
              <w:top w:val="nil"/>
              <w:left w:val="nil"/>
              <w:bottom w:val="nil"/>
              <w:right w:val="nil"/>
            </w:tcBorders>
            <w:shd w:val="clear" w:color="auto" w:fill="auto"/>
            <w:noWrap/>
            <w:vAlign w:val="center"/>
            <w:hideMark/>
          </w:tcPr>
          <w:p w14:paraId="1C26BB5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-3.478</w:t>
            </w:r>
          </w:p>
        </w:tc>
        <w:tc>
          <w:tcPr>
            <w:tcW w:w="956" w:type="dxa"/>
            <w:tcBorders>
              <w:top w:val="nil"/>
              <w:left w:val="nil"/>
              <w:bottom w:val="nil"/>
              <w:right w:val="nil"/>
            </w:tcBorders>
            <w:shd w:val="clear" w:color="auto" w:fill="auto"/>
            <w:noWrap/>
            <w:vAlign w:val="center"/>
            <w:hideMark/>
          </w:tcPr>
          <w:p w14:paraId="14EDEE7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-0.091</w:t>
            </w:r>
          </w:p>
        </w:tc>
        <w:tc>
          <w:tcPr>
            <w:tcW w:w="954" w:type="dxa"/>
            <w:tcBorders>
              <w:top w:val="nil"/>
              <w:left w:val="nil"/>
              <w:bottom w:val="nil"/>
              <w:right w:val="nil"/>
            </w:tcBorders>
            <w:shd w:val="clear" w:color="auto" w:fill="auto"/>
            <w:noWrap/>
            <w:vAlign w:val="center"/>
            <w:hideMark/>
          </w:tcPr>
          <w:p w14:paraId="06E240B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-0.001</w:t>
            </w:r>
          </w:p>
        </w:tc>
        <w:tc>
          <w:tcPr>
            <w:tcW w:w="939" w:type="dxa"/>
            <w:tcBorders>
              <w:top w:val="nil"/>
              <w:left w:val="nil"/>
              <w:bottom w:val="nil"/>
              <w:right w:val="nil"/>
            </w:tcBorders>
            <w:shd w:val="clear" w:color="auto" w:fill="auto"/>
            <w:noWrap/>
            <w:vAlign w:val="center"/>
            <w:hideMark/>
          </w:tcPr>
          <w:p w14:paraId="30D9A57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0.105</w:t>
            </w:r>
          </w:p>
        </w:tc>
        <w:tc>
          <w:tcPr>
            <w:tcW w:w="994" w:type="dxa"/>
            <w:tcBorders>
              <w:top w:val="nil"/>
              <w:left w:val="nil"/>
              <w:bottom w:val="nil"/>
              <w:right w:val="nil"/>
            </w:tcBorders>
            <w:shd w:val="clear" w:color="auto" w:fill="auto"/>
            <w:noWrap/>
            <w:vAlign w:val="center"/>
            <w:hideMark/>
          </w:tcPr>
          <w:p w14:paraId="28AE93A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0.941</w:t>
            </w:r>
          </w:p>
        </w:tc>
        <w:tc>
          <w:tcPr>
            <w:tcW w:w="944" w:type="dxa"/>
            <w:tcBorders>
              <w:top w:val="nil"/>
              <w:left w:val="nil"/>
              <w:bottom w:val="nil"/>
              <w:right w:val="single" w:sz="4" w:space="0" w:color="auto"/>
            </w:tcBorders>
            <w:shd w:val="clear" w:color="auto" w:fill="auto"/>
            <w:noWrap/>
            <w:vAlign w:val="center"/>
            <w:hideMark/>
          </w:tcPr>
          <w:p w14:paraId="4C639FC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-0.166</w:t>
            </w:r>
          </w:p>
        </w:tc>
      </w:tr>
      <w:tr w:rsidR="00ED02A4" w:rsidRPr="00AC0EE7" w14:paraId="33B39665"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F93EF25"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-6.806</w:t>
            </w:r>
          </w:p>
        </w:tc>
        <w:tc>
          <w:tcPr>
            <w:tcW w:w="934" w:type="dxa"/>
            <w:tcBorders>
              <w:top w:val="nil"/>
              <w:left w:val="nil"/>
              <w:bottom w:val="nil"/>
              <w:right w:val="nil"/>
            </w:tcBorders>
            <w:shd w:val="clear" w:color="auto" w:fill="auto"/>
            <w:noWrap/>
            <w:vAlign w:val="center"/>
            <w:hideMark/>
          </w:tcPr>
          <w:p w14:paraId="194A4000"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-8.425</w:t>
            </w:r>
          </w:p>
        </w:tc>
        <w:tc>
          <w:tcPr>
            <w:tcW w:w="960" w:type="dxa"/>
            <w:tcBorders>
              <w:top w:val="nil"/>
              <w:left w:val="nil"/>
              <w:bottom w:val="nil"/>
              <w:right w:val="nil"/>
            </w:tcBorders>
            <w:shd w:val="clear" w:color="auto" w:fill="auto"/>
            <w:noWrap/>
            <w:vAlign w:val="center"/>
            <w:hideMark/>
          </w:tcPr>
          <w:p w14:paraId="5086068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-8.761</w:t>
            </w:r>
          </w:p>
        </w:tc>
        <w:tc>
          <w:tcPr>
            <w:tcW w:w="956" w:type="dxa"/>
            <w:tcBorders>
              <w:top w:val="nil"/>
              <w:left w:val="nil"/>
              <w:bottom w:val="nil"/>
              <w:right w:val="nil"/>
            </w:tcBorders>
            <w:shd w:val="clear" w:color="auto" w:fill="auto"/>
            <w:noWrap/>
            <w:vAlign w:val="center"/>
            <w:hideMark/>
          </w:tcPr>
          <w:p w14:paraId="40B48025"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-0.674</w:t>
            </w:r>
          </w:p>
        </w:tc>
        <w:tc>
          <w:tcPr>
            <w:tcW w:w="954" w:type="dxa"/>
            <w:tcBorders>
              <w:top w:val="nil"/>
              <w:left w:val="nil"/>
              <w:bottom w:val="nil"/>
              <w:right w:val="nil"/>
            </w:tcBorders>
            <w:shd w:val="clear" w:color="auto" w:fill="auto"/>
            <w:noWrap/>
            <w:vAlign w:val="center"/>
            <w:hideMark/>
          </w:tcPr>
          <w:p w14:paraId="67A4D9E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-0.002</w:t>
            </w:r>
          </w:p>
        </w:tc>
        <w:tc>
          <w:tcPr>
            <w:tcW w:w="939" w:type="dxa"/>
            <w:tcBorders>
              <w:top w:val="nil"/>
              <w:left w:val="nil"/>
              <w:bottom w:val="nil"/>
              <w:right w:val="nil"/>
            </w:tcBorders>
            <w:shd w:val="clear" w:color="auto" w:fill="auto"/>
            <w:noWrap/>
            <w:vAlign w:val="center"/>
            <w:hideMark/>
          </w:tcPr>
          <w:p w14:paraId="3A47E07C" w14:textId="64D14FEF"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1.364</w:t>
            </w:r>
          </w:p>
        </w:tc>
        <w:tc>
          <w:tcPr>
            <w:tcW w:w="994" w:type="dxa"/>
            <w:tcBorders>
              <w:top w:val="nil"/>
              <w:left w:val="nil"/>
              <w:bottom w:val="nil"/>
              <w:right w:val="nil"/>
            </w:tcBorders>
            <w:shd w:val="clear" w:color="auto" w:fill="auto"/>
            <w:noWrap/>
            <w:vAlign w:val="center"/>
            <w:hideMark/>
          </w:tcPr>
          <w:p w14:paraId="727BDB06" w14:textId="4CF45F63"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0.3</w:t>
            </w:r>
            <w:r w:rsidR="00AF71F0">
              <w:rPr>
                <w:rFonts w:ascii="Calibri" w:eastAsia="Times New Roman" w:hAnsi="Calibri" w:cs="Calibri"/>
                <w:b/>
                <w:bCs/>
                <w:i/>
                <w:iCs/>
                <w:color w:val="000000"/>
                <w:sz w:val="18"/>
                <w:szCs w:val="18"/>
                <w:lang w:eastAsia="en-IE"/>
              </w:rPr>
              <w:t>00</w:t>
            </w:r>
          </w:p>
        </w:tc>
        <w:tc>
          <w:tcPr>
            <w:tcW w:w="944" w:type="dxa"/>
            <w:tcBorders>
              <w:top w:val="nil"/>
              <w:left w:val="nil"/>
              <w:bottom w:val="nil"/>
              <w:right w:val="single" w:sz="4" w:space="0" w:color="auto"/>
            </w:tcBorders>
            <w:shd w:val="clear" w:color="auto" w:fill="auto"/>
            <w:noWrap/>
            <w:vAlign w:val="center"/>
            <w:hideMark/>
          </w:tcPr>
          <w:p w14:paraId="148E5730"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-1.805</w:t>
            </w:r>
          </w:p>
        </w:tc>
      </w:tr>
      <w:tr w:rsidR="00ED02A4" w:rsidRPr="00AC0EE7" w14:paraId="0ED8588F"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0B9D5EE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Kuwait</w:t>
            </w:r>
          </w:p>
        </w:tc>
        <w:tc>
          <w:tcPr>
            <w:tcW w:w="934" w:type="dxa"/>
            <w:tcBorders>
              <w:top w:val="nil"/>
              <w:left w:val="nil"/>
              <w:bottom w:val="nil"/>
              <w:right w:val="nil"/>
            </w:tcBorders>
            <w:shd w:val="clear" w:color="auto" w:fill="auto"/>
            <w:noWrap/>
            <w:vAlign w:val="center"/>
            <w:hideMark/>
          </w:tcPr>
          <w:p w14:paraId="2F4DD4C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Latvia</w:t>
            </w:r>
          </w:p>
        </w:tc>
        <w:tc>
          <w:tcPr>
            <w:tcW w:w="960" w:type="dxa"/>
            <w:tcBorders>
              <w:top w:val="nil"/>
              <w:left w:val="nil"/>
              <w:bottom w:val="nil"/>
              <w:right w:val="nil"/>
            </w:tcBorders>
            <w:shd w:val="clear" w:color="auto" w:fill="auto"/>
            <w:noWrap/>
            <w:vAlign w:val="center"/>
            <w:hideMark/>
          </w:tcPr>
          <w:p w14:paraId="57E9880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Lebanon</w:t>
            </w:r>
          </w:p>
        </w:tc>
        <w:tc>
          <w:tcPr>
            <w:tcW w:w="956" w:type="dxa"/>
            <w:tcBorders>
              <w:top w:val="nil"/>
              <w:left w:val="nil"/>
              <w:bottom w:val="nil"/>
              <w:right w:val="nil"/>
            </w:tcBorders>
            <w:shd w:val="clear" w:color="auto" w:fill="auto"/>
            <w:noWrap/>
            <w:vAlign w:val="center"/>
            <w:hideMark/>
          </w:tcPr>
          <w:p w14:paraId="3513457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Lithuania</w:t>
            </w:r>
          </w:p>
        </w:tc>
        <w:tc>
          <w:tcPr>
            <w:tcW w:w="954" w:type="dxa"/>
            <w:tcBorders>
              <w:top w:val="nil"/>
              <w:left w:val="nil"/>
              <w:bottom w:val="nil"/>
              <w:right w:val="nil"/>
            </w:tcBorders>
            <w:shd w:val="clear" w:color="auto" w:fill="auto"/>
            <w:noWrap/>
            <w:vAlign w:val="center"/>
            <w:hideMark/>
          </w:tcPr>
          <w:p w14:paraId="3F5BA09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Luxembourg</w:t>
            </w:r>
          </w:p>
        </w:tc>
        <w:tc>
          <w:tcPr>
            <w:tcW w:w="939" w:type="dxa"/>
            <w:tcBorders>
              <w:top w:val="nil"/>
              <w:left w:val="nil"/>
              <w:bottom w:val="nil"/>
              <w:right w:val="nil"/>
            </w:tcBorders>
            <w:shd w:val="clear" w:color="auto" w:fill="auto"/>
            <w:noWrap/>
            <w:vAlign w:val="center"/>
            <w:hideMark/>
          </w:tcPr>
          <w:p w14:paraId="392BD46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Macedonia</w:t>
            </w:r>
          </w:p>
        </w:tc>
        <w:tc>
          <w:tcPr>
            <w:tcW w:w="994" w:type="dxa"/>
            <w:tcBorders>
              <w:top w:val="nil"/>
              <w:left w:val="nil"/>
              <w:bottom w:val="nil"/>
              <w:right w:val="nil"/>
            </w:tcBorders>
            <w:shd w:val="clear" w:color="auto" w:fill="auto"/>
            <w:noWrap/>
            <w:vAlign w:val="center"/>
            <w:hideMark/>
          </w:tcPr>
          <w:p w14:paraId="6181868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Malaysia</w:t>
            </w:r>
          </w:p>
        </w:tc>
        <w:tc>
          <w:tcPr>
            <w:tcW w:w="944" w:type="dxa"/>
            <w:tcBorders>
              <w:top w:val="nil"/>
              <w:left w:val="nil"/>
              <w:bottom w:val="nil"/>
              <w:right w:val="single" w:sz="4" w:space="0" w:color="auto"/>
            </w:tcBorders>
            <w:shd w:val="clear" w:color="auto" w:fill="auto"/>
            <w:noWrap/>
            <w:vAlign w:val="center"/>
            <w:hideMark/>
          </w:tcPr>
          <w:p w14:paraId="4112F1F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Malta</w:t>
            </w:r>
          </w:p>
        </w:tc>
      </w:tr>
      <w:tr w:rsidR="00ED02A4" w:rsidRPr="00AC0EE7" w14:paraId="4A781763"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CCA2DA8" w14:textId="0A6CC43E"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-0.14</w:t>
            </w:r>
            <w:r w:rsidR="00AF71F0">
              <w:rPr>
                <w:rFonts w:ascii="Calibri" w:eastAsia="Times New Roman" w:hAnsi="Calibri" w:cs="Calibri"/>
                <w:color w:val="000000"/>
                <w:sz w:val="18"/>
                <w:szCs w:val="18"/>
                <w:lang w:eastAsia="en-IE"/>
              </w:rPr>
              <w:t>0</w:t>
            </w:r>
          </w:p>
        </w:tc>
        <w:tc>
          <w:tcPr>
            <w:tcW w:w="934" w:type="dxa"/>
            <w:tcBorders>
              <w:top w:val="nil"/>
              <w:left w:val="nil"/>
              <w:bottom w:val="nil"/>
              <w:right w:val="nil"/>
            </w:tcBorders>
            <w:shd w:val="clear" w:color="auto" w:fill="auto"/>
            <w:noWrap/>
            <w:vAlign w:val="center"/>
            <w:hideMark/>
          </w:tcPr>
          <w:p w14:paraId="1346595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-3.078</w:t>
            </w:r>
          </w:p>
        </w:tc>
        <w:tc>
          <w:tcPr>
            <w:tcW w:w="960" w:type="dxa"/>
            <w:tcBorders>
              <w:top w:val="nil"/>
              <w:left w:val="nil"/>
              <w:bottom w:val="nil"/>
              <w:right w:val="nil"/>
            </w:tcBorders>
            <w:shd w:val="clear" w:color="auto" w:fill="auto"/>
            <w:noWrap/>
            <w:vAlign w:val="center"/>
            <w:hideMark/>
          </w:tcPr>
          <w:p w14:paraId="0CDEAAF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2.071</w:t>
            </w:r>
          </w:p>
        </w:tc>
        <w:tc>
          <w:tcPr>
            <w:tcW w:w="956" w:type="dxa"/>
            <w:tcBorders>
              <w:top w:val="nil"/>
              <w:left w:val="nil"/>
              <w:bottom w:val="nil"/>
              <w:right w:val="nil"/>
            </w:tcBorders>
            <w:shd w:val="clear" w:color="auto" w:fill="auto"/>
            <w:noWrap/>
            <w:vAlign w:val="center"/>
            <w:hideMark/>
          </w:tcPr>
          <w:p w14:paraId="5550797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-5.108</w:t>
            </w:r>
          </w:p>
        </w:tc>
        <w:tc>
          <w:tcPr>
            <w:tcW w:w="954" w:type="dxa"/>
            <w:tcBorders>
              <w:top w:val="nil"/>
              <w:left w:val="nil"/>
              <w:bottom w:val="nil"/>
              <w:right w:val="nil"/>
            </w:tcBorders>
            <w:shd w:val="clear" w:color="auto" w:fill="auto"/>
            <w:noWrap/>
            <w:vAlign w:val="center"/>
            <w:hideMark/>
          </w:tcPr>
          <w:p w14:paraId="0B51115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-3.567</w:t>
            </w:r>
          </w:p>
        </w:tc>
        <w:tc>
          <w:tcPr>
            <w:tcW w:w="939" w:type="dxa"/>
            <w:tcBorders>
              <w:top w:val="nil"/>
              <w:left w:val="nil"/>
              <w:bottom w:val="nil"/>
              <w:right w:val="nil"/>
            </w:tcBorders>
            <w:shd w:val="clear" w:color="auto" w:fill="auto"/>
            <w:noWrap/>
            <w:vAlign w:val="center"/>
            <w:hideMark/>
          </w:tcPr>
          <w:p w14:paraId="40121BA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-2.439</w:t>
            </w:r>
          </w:p>
        </w:tc>
        <w:tc>
          <w:tcPr>
            <w:tcW w:w="994" w:type="dxa"/>
            <w:tcBorders>
              <w:top w:val="nil"/>
              <w:left w:val="nil"/>
              <w:bottom w:val="nil"/>
              <w:right w:val="nil"/>
            </w:tcBorders>
            <w:shd w:val="clear" w:color="auto" w:fill="auto"/>
            <w:noWrap/>
            <w:vAlign w:val="center"/>
            <w:hideMark/>
          </w:tcPr>
          <w:p w14:paraId="11BBBD9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-0.698</w:t>
            </w:r>
          </w:p>
        </w:tc>
        <w:tc>
          <w:tcPr>
            <w:tcW w:w="944" w:type="dxa"/>
            <w:tcBorders>
              <w:top w:val="nil"/>
              <w:left w:val="nil"/>
              <w:bottom w:val="nil"/>
              <w:right w:val="single" w:sz="4" w:space="0" w:color="auto"/>
            </w:tcBorders>
            <w:shd w:val="clear" w:color="auto" w:fill="auto"/>
            <w:noWrap/>
            <w:vAlign w:val="center"/>
            <w:hideMark/>
          </w:tcPr>
          <w:p w14:paraId="6A65479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-2.024</w:t>
            </w:r>
          </w:p>
        </w:tc>
      </w:tr>
      <w:tr w:rsidR="00ED02A4" w:rsidRPr="00AC0EE7" w14:paraId="44D92EF1"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C261F4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-3.148</w:t>
            </w:r>
          </w:p>
        </w:tc>
        <w:tc>
          <w:tcPr>
            <w:tcW w:w="934" w:type="dxa"/>
            <w:tcBorders>
              <w:top w:val="nil"/>
              <w:left w:val="nil"/>
              <w:bottom w:val="nil"/>
              <w:right w:val="nil"/>
            </w:tcBorders>
            <w:shd w:val="clear" w:color="auto" w:fill="auto"/>
            <w:noWrap/>
            <w:vAlign w:val="center"/>
            <w:hideMark/>
          </w:tcPr>
          <w:p w14:paraId="5D8A0F3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-7.511</w:t>
            </w:r>
          </w:p>
        </w:tc>
        <w:tc>
          <w:tcPr>
            <w:tcW w:w="960" w:type="dxa"/>
            <w:tcBorders>
              <w:top w:val="nil"/>
              <w:left w:val="nil"/>
              <w:bottom w:val="nil"/>
              <w:right w:val="nil"/>
            </w:tcBorders>
            <w:shd w:val="clear" w:color="auto" w:fill="auto"/>
            <w:noWrap/>
            <w:vAlign w:val="center"/>
            <w:hideMark/>
          </w:tcPr>
          <w:p w14:paraId="14760AD8" w14:textId="55FC3174"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1.49</w:t>
            </w:r>
            <w:r w:rsidR="00AF71F0">
              <w:rPr>
                <w:rFonts w:ascii="Calibri" w:eastAsia="Times New Roman" w:hAnsi="Calibri" w:cs="Calibri"/>
                <w:b/>
                <w:bCs/>
                <w:i/>
                <w:iCs/>
                <w:color w:val="000000"/>
                <w:sz w:val="18"/>
                <w:szCs w:val="18"/>
                <w:lang w:eastAsia="en-IE"/>
              </w:rPr>
              <w:t>0</w:t>
            </w:r>
          </w:p>
        </w:tc>
        <w:tc>
          <w:tcPr>
            <w:tcW w:w="956" w:type="dxa"/>
            <w:tcBorders>
              <w:top w:val="nil"/>
              <w:left w:val="nil"/>
              <w:bottom w:val="nil"/>
              <w:right w:val="nil"/>
            </w:tcBorders>
            <w:shd w:val="clear" w:color="auto" w:fill="auto"/>
            <w:noWrap/>
            <w:vAlign w:val="center"/>
            <w:hideMark/>
          </w:tcPr>
          <w:p w14:paraId="0F8AC8D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-7.753</w:t>
            </w:r>
          </w:p>
        </w:tc>
        <w:tc>
          <w:tcPr>
            <w:tcW w:w="954" w:type="dxa"/>
            <w:tcBorders>
              <w:top w:val="nil"/>
              <w:left w:val="nil"/>
              <w:bottom w:val="nil"/>
              <w:right w:val="nil"/>
            </w:tcBorders>
            <w:shd w:val="clear" w:color="auto" w:fill="auto"/>
            <w:noWrap/>
            <w:vAlign w:val="center"/>
            <w:hideMark/>
          </w:tcPr>
          <w:p w14:paraId="5A48188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-3.381</w:t>
            </w:r>
          </w:p>
        </w:tc>
        <w:tc>
          <w:tcPr>
            <w:tcW w:w="939" w:type="dxa"/>
            <w:tcBorders>
              <w:top w:val="nil"/>
              <w:left w:val="nil"/>
              <w:bottom w:val="nil"/>
              <w:right w:val="nil"/>
            </w:tcBorders>
            <w:shd w:val="clear" w:color="auto" w:fill="auto"/>
            <w:noWrap/>
            <w:vAlign w:val="center"/>
            <w:hideMark/>
          </w:tcPr>
          <w:p w14:paraId="1AE0E761" w14:textId="2546064F"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-1.91</w:t>
            </w:r>
            <w:r w:rsidR="00AF71F0">
              <w:rPr>
                <w:rFonts w:ascii="Calibri" w:eastAsia="Times New Roman" w:hAnsi="Calibri" w:cs="Calibri"/>
                <w:b/>
                <w:bCs/>
                <w:i/>
                <w:iCs/>
                <w:color w:val="000000"/>
                <w:sz w:val="18"/>
                <w:szCs w:val="18"/>
                <w:lang w:eastAsia="en-IE"/>
              </w:rPr>
              <w:t>0</w:t>
            </w:r>
          </w:p>
        </w:tc>
        <w:tc>
          <w:tcPr>
            <w:tcW w:w="994" w:type="dxa"/>
            <w:tcBorders>
              <w:top w:val="nil"/>
              <w:left w:val="nil"/>
              <w:bottom w:val="nil"/>
              <w:right w:val="nil"/>
            </w:tcBorders>
            <w:shd w:val="clear" w:color="auto" w:fill="auto"/>
            <w:noWrap/>
            <w:vAlign w:val="center"/>
            <w:hideMark/>
          </w:tcPr>
          <w:p w14:paraId="411937E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-2.317</w:t>
            </w:r>
          </w:p>
        </w:tc>
        <w:tc>
          <w:tcPr>
            <w:tcW w:w="944" w:type="dxa"/>
            <w:tcBorders>
              <w:top w:val="nil"/>
              <w:left w:val="nil"/>
              <w:bottom w:val="nil"/>
              <w:right w:val="single" w:sz="4" w:space="0" w:color="auto"/>
            </w:tcBorders>
            <w:shd w:val="clear" w:color="auto" w:fill="auto"/>
            <w:noWrap/>
            <w:vAlign w:val="center"/>
            <w:hideMark/>
          </w:tcPr>
          <w:p w14:paraId="7F824D3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-6.659</w:t>
            </w:r>
          </w:p>
        </w:tc>
      </w:tr>
      <w:tr w:rsidR="00ED02A4" w:rsidRPr="00AC0EE7" w14:paraId="64CEE4EC"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AEAA60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Mauritius</w:t>
            </w:r>
          </w:p>
        </w:tc>
        <w:tc>
          <w:tcPr>
            <w:tcW w:w="934" w:type="dxa"/>
            <w:tcBorders>
              <w:top w:val="nil"/>
              <w:left w:val="nil"/>
              <w:bottom w:val="nil"/>
              <w:right w:val="nil"/>
            </w:tcBorders>
            <w:shd w:val="clear" w:color="auto" w:fill="auto"/>
            <w:noWrap/>
            <w:vAlign w:val="center"/>
            <w:hideMark/>
          </w:tcPr>
          <w:p w14:paraId="76F0F3A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Mexico</w:t>
            </w:r>
          </w:p>
        </w:tc>
        <w:tc>
          <w:tcPr>
            <w:tcW w:w="960" w:type="dxa"/>
            <w:tcBorders>
              <w:top w:val="nil"/>
              <w:left w:val="nil"/>
              <w:bottom w:val="nil"/>
              <w:right w:val="nil"/>
            </w:tcBorders>
            <w:shd w:val="clear" w:color="auto" w:fill="auto"/>
            <w:noWrap/>
            <w:vAlign w:val="center"/>
            <w:hideMark/>
          </w:tcPr>
          <w:p w14:paraId="14C0FB1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Montenegro</w:t>
            </w:r>
          </w:p>
        </w:tc>
        <w:tc>
          <w:tcPr>
            <w:tcW w:w="956" w:type="dxa"/>
            <w:tcBorders>
              <w:top w:val="nil"/>
              <w:left w:val="nil"/>
              <w:bottom w:val="nil"/>
              <w:right w:val="nil"/>
            </w:tcBorders>
            <w:shd w:val="clear" w:color="auto" w:fill="auto"/>
            <w:noWrap/>
            <w:vAlign w:val="center"/>
            <w:hideMark/>
          </w:tcPr>
          <w:p w14:paraId="4A6E0AC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Morocco</w:t>
            </w:r>
          </w:p>
        </w:tc>
        <w:tc>
          <w:tcPr>
            <w:tcW w:w="954" w:type="dxa"/>
            <w:tcBorders>
              <w:top w:val="nil"/>
              <w:left w:val="nil"/>
              <w:bottom w:val="nil"/>
              <w:right w:val="nil"/>
            </w:tcBorders>
            <w:shd w:val="clear" w:color="auto" w:fill="auto"/>
            <w:noWrap/>
            <w:vAlign w:val="center"/>
            <w:hideMark/>
          </w:tcPr>
          <w:p w14:paraId="7A9F870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Namibia</w:t>
            </w:r>
          </w:p>
        </w:tc>
        <w:tc>
          <w:tcPr>
            <w:tcW w:w="939" w:type="dxa"/>
            <w:tcBorders>
              <w:top w:val="nil"/>
              <w:left w:val="nil"/>
              <w:bottom w:val="nil"/>
              <w:right w:val="nil"/>
            </w:tcBorders>
            <w:shd w:val="clear" w:color="auto" w:fill="auto"/>
            <w:noWrap/>
            <w:vAlign w:val="center"/>
            <w:hideMark/>
          </w:tcPr>
          <w:p w14:paraId="550CB7A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Netherlands</w:t>
            </w:r>
          </w:p>
        </w:tc>
        <w:tc>
          <w:tcPr>
            <w:tcW w:w="994" w:type="dxa"/>
            <w:tcBorders>
              <w:top w:val="nil"/>
              <w:left w:val="nil"/>
              <w:bottom w:val="nil"/>
              <w:right w:val="nil"/>
            </w:tcBorders>
            <w:shd w:val="clear" w:color="auto" w:fill="auto"/>
            <w:noWrap/>
            <w:vAlign w:val="center"/>
            <w:hideMark/>
          </w:tcPr>
          <w:p w14:paraId="63EDF82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New Zealand</w:t>
            </w:r>
          </w:p>
        </w:tc>
        <w:tc>
          <w:tcPr>
            <w:tcW w:w="944" w:type="dxa"/>
            <w:tcBorders>
              <w:top w:val="nil"/>
              <w:left w:val="nil"/>
              <w:bottom w:val="nil"/>
              <w:right w:val="single" w:sz="4" w:space="0" w:color="auto"/>
            </w:tcBorders>
            <w:shd w:val="clear" w:color="auto" w:fill="auto"/>
            <w:noWrap/>
            <w:vAlign w:val="center"/>
            <w:hideMark/>
          </w:tcPr>
          <w:p w14:paraId="3B55C76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Nigeria</w:t>
            </w:r>
          </w:p>
        </w:tc>
      </w:tr>
      <w:tr w:rsidR="00ED02A4" w:rsidRPr="00AC0EE7" w14:paraId="1FD2A099"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031284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34" w:type="dxa"/>
            <w:tcBorders>
              <w:top w:val="nil"/>
              <w:left w:val="nil"/>
              <w:bottom w:val="nil"/>
              <w:right w:val="nil"/>
            </w:tcBorders>
            <w:shd w:val="clear" w:color="auto" w:fill="auto"/>
            <w:noWrap/>
            <w:vAlign w:val="center"/>
            <w:hideMark/>
          </w:tcPr>
          <w:p w14:paraId="28E2C68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-2.759</w:t>
            </w:r>
          </w:p>
        </w:tc>
        <w:tc>
          <w:tcPr>
            <w:tcW w:w="960" w:type="dxa"/>
            <w:tcBorders>
              <w:top w:val="nil"/>
              <w:left w:val="nil"/>
              <w:bottom w:val="nil"/>
              <w:right w:val="nil"/>
            </w:tcBorders>
            <w:shd w:val="clear" w:color="auto" w:fill="auto"/>
            <w:noWrap/>
            <w:vAlign w:val="center"/>
            <w:hideMark/>
          </w:tcPr>
          <w:p w14:paraId="1EE7967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-0.012</w:t>
            </w:r>
          </w:p>
        </w:tc>
        <w:tc>
          <w:tcPr>
            <w:tcW w:w="956" w:type="dxa"/>
            <w:tcBorders>
              <w:top w:val="nil"/>
              <w:left w:val="nil"/>
              <w:bottom w:val="nil"/>
              <w:right w:val="nil"/>
            </w:tcBorders>
            <w:shd w:val="clear" w:color="auto" w:fill="auto"/>
            <w:noWrap/>
            <w:vAlign w:val="center"/>
            <w:hideMark/>
          </w:tcPr>
          <w:p w14:paraId="35852B0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-0.901</w:t>
            </w:r>
          </w:p>
        </w:tc>
        <w:tc>
          <w:tcPr>
            <w:tcW w:w="954" w:type="dxa"/>
            <w:tcBorders>
              <w:top w:val="nil"/>
              <w:left w:val="nil"/>
              <w:bottom w:val="nil"/>
              <w:right w:val="nil"/>
            </w:tcBorders>
            <w:shd w:val="clear" w:color="auto" w:fill="auto"/>
            <w:noWrap/>
            <w:vAlign w:val="center"/>
            <w:hideMark/>
          </w:tcPr>
          <w:p w14:paraId="50CF86E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-0.759</w:t>
            </w:r>
          </w:p>
        </w:tc>
        <w:tc>
          <w:tcPr>
            <w:tcW w:w="939" w:type="dxa"/>
            <w:tcBorders>
              <w:top w:val="nil"/>
              <w:left w:val="nil"/>
              <w:bottom w:val="nil"/>
              <w:right w:val="nil"/>
            </w:tcBorders>
            <w:shd w:val="clear" w:color="auto" w:fill="auto"/>
            <w:noWrap/>
            <w:vAlign w:val="center"/>
            <w:hideMark/>
          </w:tcPr>
          <w:p w14:paraId="4478097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-3.368</w:t>
            </w:r>
          </w:p>
        </w:tc>
        <w:tc>
          <w:tcPr>
            <w:tcW w:w="994" w:type="dxa"/>
            <w:tcBorders>
              <w:top w:val="nil"/>
              <w:left w:val="nil"/>
              <w:bottom w:val="nil"/>
              <w:right w:val="nil"/>
            </w:tcBorders>
            <w:shd w:val="clear" w:color="auto" w:fill="auto"/>
            <w:noWrap/>
            <w:vAlign w:val="center"/>
            <w:hideMark/>
          </w:tcPr>
          <w:p w14:paraId="4C0FEC2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-2.14</w:t>
            </w:r>
          </w:p>
        </w:tc>
        <w:tc>
          <w:tcPr>
            <w:tcW w:w="944" w:type="dxa"/>
            <w:tcBorders>
              <w:top w:val="nil"/>
              <w:left w:val="nil"/>
              <w:bottom w:val="nil"/>
              <w:right w:val="single" w:sz="4" w:space="0" w:color="auto"/>
            </w:tcBorders>
            <w:shd w:val="clear" w:color="auto" w:fill="auto"/>
            <w:noWrap/>
            <w:vAlign w:val="center"/>
            <w:hideMark/>
          </w:tcPr>
          <w:p w14:paraId="19E275E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-0.055</w:t>
            </w:r>
          </w:p>
        </w:tc>
      </w:tr>
      <w:tr w:rsidR="00ED02A4" w:rsidRPr="00AC0EE7" w14:paraId="157FE47B"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E67DA75"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34" w:type="dxa"/>
            <w:tcBorders>
              <w:top w:val="nil"/>
              <w:left w:val="nil"/>
              <w:bottom w:val="nil"/>
              <w:right w:val="nil"/>
            </w:tcBorders>
            <w:shd w:val="clear" w:color="auto" w:fill="auto"/>
            <w:noWrap/>
            <w:vAlign w:val="center"/>
            <w:hideMark/>
          </w:tcPr>
          <w:p w14:paraId="2134A24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-12.889</w:t>
            </w:r>
          </w:p>
        </w:tc>
        <w:tc>
          <w:tcPr>
            <w:tcW w:w="960" w:type="dxa"/>
            <w:tcBorders>
              <w:top w:val="nil"/>
              <w:left w:val="nil"/>
              <w:bottom w:val="nil"/>
              <w:right w:val="nil"/>
            </w:tcBorders>
            <w:shd w:val="clear" w:color="auto" w:fill="auto"/>
            <w:noWrap/>
            <w:vAlign w:val="center"/>
            <w:hideMark/>
          </w:tcPr>
          <w:p w14:paraId="7B426DA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-0.073</w:t>
            </w:r>
          </w:p>
        </w:tc>
        <w:tc>
          <w:tcPr>
            <w:tcW w:w="956" w:type="dxa"/>
            <w:tcBorders>
              <w:top w:val="nil"/>
              <w:left w:val="nil"/>
              <w:bottom w:val="nil"/>
              <w:right w:val="nil"/>
            </w:tcBorders>
            <w:shd w:val="clear" w:color="auto" w:fill="auto"/>
            <w:noWrap/>
            <w:vAlign w:val="center"/>
            <w:hideMark/>
          </w:tcPr>
          <w:p w14:paraId="3E75CD8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-3.835</w:t>
            </w:r>
          </w:p>
        </w:tc>
        <w:tc>
          <w:tcPr>
            <w:tcW w:w="954" w:type="dxa"/>
            <w:tcBorders>
              <w:top w:val="nil"/>
              <w:left w:val="nil"/>
              <w:bottom w:val="nil"/>
              <w:right w:val="nil"/>
            </w:tcBorders>
            <w:shd w:val="clear" w:color="auto" w:fill="auto"/>
            <w:noWrap/>
            <w:vAlign w:val="center"/>
            <w:hideMark/>
          </w:tcPr>
          <w:p w14:paraId="485990E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-0.507</w:t>
            </w:r>
          </w:p>
        </w:tc>
        <w:tc>
          <w:tcPr>
            <w:tcW w:w="939" w:type="dxa"/>
            <w:tcBorders>
              <w:top w:val="nil"/>
              <w:left w:val="nil"/>
              <w:bottom w:val="nil"/>
              <w:right w:val="nil"/>
            </w:tcBorders>
            <w:shd w:val="clear" w:color="auto" w:fill="auto"/>
            <w:noWrap/>
            <w:vAlign w:val="center"/>
            <w:hideMark/>
          </w:tcPr>
          <w:p w14:paraId="2F199D6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-7.165</w:t>
            </w:r>
          </w:p>
        </w:tc>
        <w:tc>
          <w:tcPr>
            <w:tcW w:w="994" w:type="dxa"/>
            <w:tcBorders>
              <w:top w:val="nil"/>
              <w:left w:val="nil"/>
              <w:bottom w:val="nil"/>
              <w:right w:val="nil"/>
            </w:tcBorders>
            <w:shd w:val="clear" w:color="auto" w:fill="auto"/>
            <w:noWrap/>
            <w:vAlign w:val="center"/>
            <w:hideMark/>
          </w:tcPr>
          <w:p w14:paraId="04B75E7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-5.514</w:t>
            </w:r>
          </w:p>
        </w:tc>
        <w:tc>
          <w:tcPr>
            <w:tcW w:w="944" w:type="dxa"/>
            <w:tcBorders>
              <w:top w:val="nil"/>
              <w:left w:val="nil"/>
              <w:bottom w:val="nil"/>
              <w:right w:val="single" w:sz="4" w:space="0" w:color="auto"/>
            </w:tcBorders>
            <w:shd w:val="clear" w:color="auto" w:fill="auto"/>
            <w:noWrap/>
            <w:vAlign w:val="center"/>
            <w:hideMark/>
          </w:tcPr>
          <w:p w14:paraId="09AEE47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-1.756</w:t>
            </w:r>
          </w:p>
        </w:tc>
      </w:tr>
      <w:tr w:rsidR="00ED02A4" w:rsidRPr="00AC0EE7" w14:paraId="734535DD"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66CF31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Norway</w:t>
            </w:r>
          </w:p>
        </w:tc>
        <w:tc>
          <w:tcPr>
            <w:tcW w:w="934" w:type="dxa"/>
            <w:tcBorders>
              <w:top w:val="nil"/>
              <w:left w:val="nil"/>
              <w:bottom w:val="nil"/>
              <w:right w:val="nil"/>
            </w:tcBorders>
            <w:shd w:val="clear" w:color="auto" w:fill="auto"/>
            <w:noWrap/>
            <w:vAlign w:val="center"/>
            <w:hideMark/>
          </w:tcPr>
          <w:p w14:paraId="7CB679D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Oman</w:t>
            </w:r>
          </w:p>
        </w:tc>
        <w:tc>
          <w:tcPr>
            <w:tcW w:w="960" w:type="dxa"/>
            <w:tcBorders>
              <w:top w:val="nil"/>
              <w:left w:val="nil"/>
              <w:bottom w:val="nil"/>
              <w:right w:val="nil"/>
            </w:tcBorders>
            <w:shd w:val="clear" w:color="auto" w:fill="auto"/>
            <w:noWrap/>
            <w:vAlign w:val="center"/>
            <w:hideMark/>
          </w:tcPr>
          <w:p w14:paraId="7F6E228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Pakistan</w:t>
            </w:r>
          </w:p>
        </w:tc>
        <w:tc>
          <w:tcPr>
            <w:tcW w:w="956" w:type="dxa"/>
            <w:tcBorders>
              <w:top w:val="nil"/>
              <w:left w:val="nil"/>
              <w:bottom w:val="nil"/>
              <w:right w:val="nil"/>
            </w:tcBorders>
            <w:shd w:val="clear" w:color="auto" w:fill="auto"/>
            <w:noWrap/>
            <w:vAlign w:val="center"/>
            <w:hideMark/>
          </w:tcPr>
          <w:p w14:paraId="3F303A1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Panama</w:t>
            </w:r>
          </w:p>
        </w:tc>
        <w:tc>
          <w:tcPr>
            <w:tcW w:w="954" w:type="dxa"/>
            <w:tcBorders>
              <w:top w:val="nil"/>
              <w:left w:val="nil"/>
              <w:bottom w:val="nil"/>
              <w:right w:val="nil"/>
            </w:tcBorders>
            <w:shd w:val="clear" w:color="auto" w:fill="auto"/>
            <w:noWrap/>
            <w:vAlign w:val="center"/>
            <w:hideMark/>
          </w:tcPr>
          <w:p w14:paraId="3831471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Peru</w:t>
            </w:r>
          </w:p>
        </w:tc>
        <w:tc>
          <w:tcPr>
            <w:tcW w:w="939" w:type="dxa"/>
            <w:tcBorders>
              <w:top w:val="nil"/>
              <w:left w:val="nil"/>
              <w:bottom w:val="nil"/>
              <w:right w:val="nil"/>
            </w:tcBorders>
            <w:shd w:val="clear" w:color="auto" w:fill="auto"/>
            <w:noWrap/>
            <w:vAlign w:val="center"/>
            <w:hideMark/>
          </w:tcPr>
          <w:p w14:paraId="55821DA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Philippines</w:t>
            </w:r>
          </w:p>
        </w:tc>
        <w:tc>
          <w:tcPr>
            <w:tcW w:w="994" w:type="dxa"/>
            <w:tcBorders>
              <w:top w:val="nil"/>
              <w:left w:val="nil"/>
              <w:bottom w:val="nil"/>
              <w:right w:val="nil"/>
            </w:tcBorders>
            <w:shd w:val="clear" w:color="auto" w:fill="auto"/>
            <w:noWrap/>
            <w:vAlign w:val="center"/>
            <w:hideMark/>
          </w:tcPr>
          <w:p w14:paraId="7BB905C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Poland</w:t>
            </w:r>
          </w:p>
        </w:tc>
        <w:tc>
          <w:tcPr>
            <w:tcW w:w="944" w:type="dxa"/>
            <w:tcBorders>
              <w:top w:val="nil"/>
              <w:left w:val="nil"/>
              <w:bottom w:val="nil"/>
              <w:right w:val="single" w:sz="4" w:space="0" w:color="auto"/>
            </w:tcBorders>
            <w:shd w:val="clear" w:color="auto" w:fill="auto"/>
            <w:noWrap/>
            <w:vAlign w:val="center"/>
            <w:hideMark/>
          </w:tcPr>
          <w:p w14:paraId="0420A42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Portugal</w:t>
            </w:r>
          </w:p>
        </w:tc>
      </w:tr>
      <w:tr w:rsidR="00ED02A4" w:rsidRPr="00AC0EE7" w14:paraId="6ED18C54"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130621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-2.882</w:t>
            </w:r>
          </w:p>
        </w:tc>
        <w:tc>
          <w:tcPr>
            <w:tcW w:w="934" w:type="dxa"/>
            <w:tcBorders>
              <w:top w:val="nil"/>
              <w:left w:val="nil"/>
              <w:bottom w:val="nil"/>
              <w:right w:val="nil"/>
            </w:tcBorders>
            <w:shd w:val="clear" w:color="auto" w:fill="auto"/>
            <w:noWrap/>
            <w:vAlign w:val="center"/>
            <w:hideMark/>
          </w:tcPr>
          <w:p w14:paraId="7830AB8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-0.322</w:t>
            </w:r>
          </w:p>
        </w:tc>
        <w:tc>
          <w:tcPr>
            <w:tcW w:w="960" w:type="dxa"/>
            <w:tcBorders>
              <w:top w:val="nil"/>
              <w:left w:val="nil"/>
              <w:bottom w:val="nil"/>
              <w:right w:val="nil"/>
            </w:tcBorders>
            <w:shd w:val="clear" w:color="auto" w:fill="auto"/>
            <w:noWrap/>
            <w:vAlign w:val="center"/>
            <w:hideMark/>
          </w:tcPr>
          <w:p w14:paraId="7E32493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0.077</w:t>
            </w:r>
          </w:p>
        </w:tc>
        <w:tc>
          <w:tcPr>
            <w:tcW w:w="956" w:type="dxa"/>
            <w:tcBorders>
              <w:top w:val="nil"/>
              <w:left w:val="nil"/>
              <w:bottom w:val="nil"/>
              <w:right w:val="nil"/>
            </w:tcBorders>
            <w:shd w:val="clear" w:color="auto" w:fill="auto"/>
            <w:noWrap/>
            <w:vAlign w:val="center"/>
            <w:hideMark/>
          </w:tcPr>
          <w:p w14:paraId="6A2EB82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1D5B00B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-1.708</w:t>
            </w:r>
          </w:p>
        </w:tc>
        <w:tc>
          <w:tcPr>
            <w:tcW w:w="939" w:type="dxa"/>
            <w:tcBorders>
              <w:top w:val="nil"/>
              <w:left w:val="nil"/>
              <w:bottom w:val="nil"/>
              <w:right w:val="nil"/>
            </w:tcBorders>
            <w:shd w:val="clear" w:color="auto" w:fill="auto"/>
            <w:noWrap/>
            <w:vAlign w:val="center"/>
            <w:hideMark/>
          </w:tcPr>
          <w:p w14:paraId="47382D5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-0.521</w:t>
            </w:r>
          </w:p>
        </w:tc>
        <w:tc>
          <w:tcPr>
            <w:tcW w:w="994" w:type="dxa"/>
            <w:tcBorders>
              <w:top w:val="nil"/>
              <w:left w:val="nil"/>
              <w:bottom w:val="nil"/>
              <w:right w:val="nil"/>
            </w:tcBorders>
            <w:shd w:val="clear" w:color="auto" w:fill="auto"/>
            <w:noWrap/>
            <w:vAlign w:val="center"/>
            <w:hideMark/>
          </w:tcPr>
          <w:p w14:paraId="512F9AC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-3.944</w:t>
            </w:r>
          </w:p>
        </w:tc>
        <w:tc>
          <w:tcPr>
            <w:tcW w:w="944" w:type="dxa"/>
            <w:tcBorders>
              <w:top w:val="nil"/>
              <w:left w:val="nil"/>
              <w:bottom w:val="nil"/>
              <w:right w:val="single" w:sz="4" w:space="0" w:color="auto"/>
            </w:tcBorders>
            <w:shd w:val="clear" w:color="auto" w:fill="auto"/>
            <w:noWrap/>
            <w:vAlign w:val="center"/>
            <w:hideMark/>
          </w:tcPr>
          <w:p w14:paraId="2A508A2C" w14:textId="3AB74ADA"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-2.75</w:t>
            </w:r>
            <w:r w:rsidR="00BA4657">
              <w:rPr>
                <w:rFonts w:ascii="Calibri" w:eastAsia="Times New Roman" w:hAnsi="Calibri" w:cs="Calibri"/>
                <w:color w:val="000000"/>
                <w:sz w:val="18"/>
                <w:szCs w:val="18"/>
                <w:lang w:eastAsia="en-IE"/>
              </w:rPr>
              <w:t>0</w:t>
            </w:r>
          </w:p>
        </w:tc>
      </w:tr>
      <w:tr w:rsidR="00ED02A4" w:rsidRPr="00AC0EE7" w14:paraId="05FB298A"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801644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-8.167</w:t>
            </w:r>
          </w:p>
        </w:tc>
        <w:tc>
          <w:tcPr>
            <w:tcW w:w="934" w:type="dxa"/>
            <w:tcBorders>
              <w:top w:val="nil"/>
              <w:left w:val="nil"/>
              <w:bottom w:val="nil"/>
              <w:right w:val="nil"/>
            </w:tcBorders>
            <w:shd w:val="clear" w:color="auto" w:fill="auto"/>
            <w:noWrap/>
            <w:vAlign w:val="center"/>
            <w:hideMark/>
          </w:tcPr>
          <w:p w14:paraId="68700779"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-1.826</w:t>
            </w:r>
          </w:p>
        </w:tc>
        <w:tc>
          <w:tcPr>
            <w:tcW w:w="960" w:type="dxa"/>
            <w:tcBorders>
              <w:top w:val="nil"/>
              <w:left w:val="nil"/>
              <w:bottom w:val="nil"/>
              <w:right w:val="nil"/>
            </w:tcBorders>
            <w:shd w:val="clear" w:color="auto" w:fill="auto"/>
            <w:noWrap/>
            <w:vAlign w:val="center"/>
            <w:hideMark/>
          </w:tcPr>
          <w:p w14:paraId="2CDBA285" w14:textId="47021CD6"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0.626</w:t>
            </w:r>
          </w:p>
        </w:tc>
        <w:tc>
          <w:tcPr>
            <w:tcW w:w="956" w:type="dxa"/>
            <w:tcBorders>
              <w:top w:val="nil"/>
              <w:left w:val="nil"/>
              <w:bottom w:val="nil"/>
              <w:right w:val="nil"/>
            </w:tcBorders>
            <w:shd w:val="clear" w:color="auto" w:fill="auto"/>
            <w:noWrap/>
            <w:vAlign w:val="center"/>
            <w:hideMark/>
          </w:tcPr>
          <w:p w14:paraId="00F6A1E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10AF0A98" w14:textId="76456D1F"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-4.92</w:t>
            </w:r>
            <w:r w:rsidR="00AF71F0">
              <w:rPr>
                <w:rFonts w:ascii="Calibri" w:eastAsia="Times New Roman" w:hAnsi="Calibri" w:cs="Calibri"/>
                <w:b/>
                <w:bCs/>
                <w:i/>
                <w:iCs/>
                <w:color w:val="000000"/>
                <w:sz w:val="18"/>
                <w:szCs w:val="18"/>
                <w:lang w:eastAsia="en-IE"/>
              </w:rPr>
              <w:t>0</w:t>
            </w:r>
          </w:p>
        </w:tc>
        <w:tc>
          <w:tcPr>
            <w:tcW w:w="939" w:type="dxa"/>
            <w:tcBorders>
              <w:top w:val="nil"/>
              <w:left w:val="nil"/>
              <w:bottom w:val="nil"/>
              <w:right w:val="nil"/>
            </w:tcBorders>
            <w:shd w:val="clear" w:color="auto" w:fill="auto"/>
            <w:noWrap/>
            <w:vAlign w:val="center"/>
            <w:hideMark/>
          </w:tcPr>
          <w:p w14:paraId="2636289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-1.935</w:t>
            </w:r>
          </w:p>
        </w:tc>
        <w:tc>
          <w:tcPr>
            <w:tcW w:w="994" w:type="dxa"/>
            <w:tcBorders>
              <w:top w:val="nil"/>
              <w:left w:val="nil"/>
              <w:bottom w:val="nil"/>
              <w:right w:val="nil"/>
            </w:tcBorders>
            <w:shd w:val="clear" w:color="auto" w:fill="auto"/>
            <w:noWrap/>
            <w:vAlign w:val="center"/>
            <w:hideMark/>
          </w:tcPr>
          <w:p w14:paraId="06C0C14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-9.226</w:t>
            </w:r>
          </w:p>
        </w:tc>
        <w:tc>
          <w:tcPr>
            <w:tcW w:w="944" w:type="dxa"/>
            <w:tcBorders>
              <w:top w:val="nil"/>
              <w:left w:val="nil"/>
              <w:bottom w:val="nil"/>
              <w:right w:val="single" w:sz="4" w:space="0" w:color="auto"/>
            </w:tcBorders>
            <w:shd w:val="clear" w:color="auto" w:fill="auto"/>
            <w:noWrap/>
            <w:vAlign w:val="center"/>
            <w:hideMark/>
          </w:tcPr>
          <w:p w14:paraId="2BC37F6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-6.104</w:t>
            </w:r>
          </w:p>
        </w:tc>
      </w:tr>
      <w:tr w:rsidR="00ED02A4" w:rsidRPr="00AC0EE7" w14:paraId="70688011"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0F7534D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Qatar</w:t>
            </w:r>
          </w:p>
        </w:tc>
        <w:tc>
          <w:tcPr>
            <w:tcW w:w="934" w:type="dxa"/>
            <w:tcBorders>
              <w:top w:val="nil"/>
              <w:left w:val="nil"/>
              <w:bottom w:val="nil"/>
              <w:right w:val="nil"/>
            </w:tcBorders>
            <w:shd w:val="clear" w:color="auto" w:fill="auto"/>
            <w:noWrap/>
            <w:vAlign w:val="center"/>
            <w:hideMark/>
          </w:tcPr>
          <w:p w14:paraId="1E77EF1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Romania</w:t>
            </w:r>
          </w:p>
        </w:tc>
        <w:tc>
          <w:tcPr>
            <w:tcW w:w="960" w:type="dxa"/>
            <w:tcBorders>
              <w:top w:val="nil"/>
              <w:left w:val="nil"/>
              <w:bottom w:val="nil"/>
              <w:right w:val="nil"/>
            </w:tcBorders>
            <w:shd w:val="clear" w:color="auto" w:fill="auto"/>
            <w:noWrap/>
            <w:vAlign w:val="center"/>
            <w:hideMark/>
          </w:tcPr>
          <w:p w14:paraId="7A1AEC5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Russia</w:t>
            </w:r>
          </w:p>
        </w:tc>
        <w:tc>
          <w:tcPr>
            <w:tcW w:w="956" w:type="dxa"/>
            <w:tcBorders>
              <w:top w:val="nil"/>
              <w:left w:val="nil"/>
              <w:bottom w:val="nil"/>
              <w:right w:val="nil"/>
            </w:tcBorders>
            <w:shd w:val="clear" w:color="auto" w:fill="auto"/>
            <w:noWrap/>
            <w:vAlign w:val="center"/>
            <w:hideMark/>
          </w:tcPr>
          <w:p w14:paraId="75E9147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Saudi Arabia</w:t>
            </w:r>
          </w:p>
        </w:tc>
        <w:tc>
          <w:tcPr>
            <w:tcW w:w="954" w:type="dxa"/>
            <w:tcBorders>
              <w:top w:val="nil"/>
              <w:left w:val="nil"/>
              <w:bottom w:val="nil"/>
              <w:right w:val="nil"/>
            </w:tcBorders>
            <w:shd w:val="clear" w:color="auto" w:fill="auto"/>
            <w:noWrap/>
            <w:vAlign w:val="center"/>
            <w:hideMark/>
          </w:tcPr>
          <w:p w14:paraId="09C3E9E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Serbia</w:t>
            </w:r>
          </w:p>
        </w:tc>
        <w:tc>
          <w:tcPr>
            <w:tcW w:w="939" w:type="dxa"/>
            <w:tcBorders>
              <w:top w:val="nil"/>
              <w:left w:val="nil"/>
              <w:bottom w:val="nil"/>
              <w:right w:val="nil"/>
            </w:tcBorders>
            <w:shd w:val="clear" w:color="auto" w:fill="auto"/>
            <w:noWrap/>
            <w:vAlign w:val="center"/>
            <w:hideMark/>
          </w:tcPr>
          <w:p w14:paraId="3BF0614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Singapore</w:t>
            </w:r>
          </w:p>
        </w:tc>
        <w:tc>
          <w:tcPr>
            <w:tcW w:w="994" w:type="dxa"/>
            <w:tcBorders>
              <w:top w:val="nil"/>
              <w:left w:val="nil"/>
              <w:bottom w:val="nil"/>
              <w:right w:val="nil"/>
            </w:tcBorders>
            <w:shd w:val="clear" w:color="auto" w:fill="auto"/>
            <w:noWrap/>
            <w:vAlign w:val="center"/>
            <w:hideMark/>
          </w:tcPr>
          <w:p w14:paraId="0FD113B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Slovakia</w:t>
            </w:r>
          </w:p>
        </w:tc>
        <w:tc>
          <w:tcPr>
            <w:tcW w:w="944" w:type="dxa"/>
            <w:tcBorders>
              <w:top w:val="nil"/>
              <w:left w:val="nil"/>
              <w:bottom w:val="nil"/>
              <w:right w:val="single" w:sz="4" w:space="0" w:color="auto"/>
            </w:tcBorders>
            <w:shd w:val="clear" w:color="auto" w:fill="auto"/>
            <w:noWrap/>
            <w:vAlign w:val="center"/>
            <w:hideMark/>
          </w:tcPr>
          <w:p w14:paraId="62EE70C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Slovenia</w:t>
            </w:r>
          </w:p>
        </w:tc>
      </w:tr>
      <w:tr w:rsidR="00ED02A4" w:rsidRPr="00AC0EE7" w14:paraId="25FE5E47"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405F1D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-0.483</w:t>
            </w:r>
          </w:p>
        </w:tc>
        <w:tc>
          <w:tcPr>
            <w:tcW w:w="934" w:type="dxa"/>
            <w:tcBorders>
              <w:top w:val="nil"/>
              <w:left w:val="nil"/>
              <w:bottom w:val="nil"/>
              <w:right w:val="nil"/>
            </w:tcBorders>
            <w:shd w:val="clear" w:color="auto" w:fill="auto"/>
            <w:noWrap/>
            <w:vAlign w:val="center"/>
            <w:hideMark/>
          </w:tcPr>
          <w:p w14:paraId="231C24C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-5.023</w:t>
            </w:r>
          </w:p>
        </w:tc>
        <w:tc>
          <w:tcPr>
            <w:tcW w:w="960" w:type="dxa"/>
            <w:tcBorders>
              <w:top w:val="nil"/>
              <w:left w:val="nil"/>
              <w:bottom w:val="nil"/>
              <w:right w:val="nil"/>
            </w:tcBorders>
            <w:shd w:val="clear" w:color="auto" w:fill="auto"/>
            <w:noWrap/>
            <w:vAlign w:val="center"/>
            <w:hideMark/>
          </w:tcPr>
          <w:p w14:paraId="09BB54B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-3.571</w:t>
            </w:r>
          </w:p>
        </w:tc>
        <w:tc>
          <w:tcPr>
            <w:tcW w:w="956" w:type="dxa"/>
            <w:tcBorders>
              <w:top w:val="nil"/>
              <w:left w:val="nil"/>
              <w:bottom w:val="nil"/>
              <w:right w:val="nil"/>
            </w:tcBorders>
            <w:shd w:val="clear" w:color="auto" w:fill="auto"/>
            <w:noWrap/>
            <w:vAlign w:val="center"/>
            <w:hideMark/>
          </w:tcPr>
          <w:p w14:paraId="72ACA37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-0.736</w:t>
            </w:r>
          </w:p>
        </w:tc>
        <w:tc>
          <w:tcPr>
            <w:tcW w:w="954" w:type="dxa"/>
            <w:tcBorders>
              <w:top w:val="nil"/>
              <w:left w:val="nil"/>
              <w:bottom w:val="nil"/>
              <w:right w:val="nil"/>
            </w:tcBorders>
            <w:shd w:val="clear" w:color="auto" w:fill="auto"/>
            <w:noWrap/>
            <w:vAlign w:val="center"/>
            <w:hideMark/>
          </w:tcPr>
          <w:p w14:paraId="64085A5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-3.906</w:t>
            </w:r>
          </w:p>
        </w:tc>
        <w:tc>
          <w:tcPr>
            <w:tcW w:w="939" w:type="dxa"/>
            <w:tcBorders>
              <w:top w:val="nil"/>
              <w:left w:val="nil"/>
              <w:bottom w:val="nil"/>
              <w:right w:val="nil"/>
            </w:tcBorders>
            <w:shd w:val="clear" w:color="auto" w:fill="auto"/>
            <w:noWrap/>
            <w:vAlign w:val="center"/>
            <w:hideMark/>
          </w:tcPr>
          <w:p w14:paraId="2F7F499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-1.559</w:t>
            </w:r>
          </w:p>
        </w:tc>
        <w:tc>
          <w:tcPr>
            <w:tcW w:w="994" w:type="dxa"/>
            <w:tcBorders>
              <w:top w:val="nil"/>
              <w:left w:val="nil"/>
              <w:bottom w:val="nil"/>
              <w:right w:val="nil"/>
            </w:tcBorders>
            <w:shd w:val="clear" w:color="auto" w:fill="auto"/>
            <w:noWrap/>
            <w:vAlign w:val="center"/>
            <w:hideMark/>
          </w:tcPr>
          <w:p w14:paraId="4136513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-0.992</w:t>
            </w:r>
          </w:p>
        </w:tc>
        <w:tc>
          <w:tcPr>
            <w:tcW w:w="944" w:type="dxa"/>
            <w:tcBorders>
              <w:top w:val="nil"/>
              <w:left w:val="nil"/>
              <w:bottom w:val="nil"/>
              <w:right w:val="single" w:sz="4" w:space="0" w:color="auto"/>
            </w:tcBorders>
            <w:shd w:val="clear" w:color="auto" w:fill="auto"/>
            <w:noWrap/>
            <w:vAlign w:val="center"/>
            <w:hideMark/>
          </w:tcPr>
          <w:p w14:paraId="5BD56E8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8.476</w:t>
            </w:r>
          </w:p>
        </w:tc>
      </w:tr>
      <w:tr w:rsidR="00ED02A4" w:rsidRPr="00AC0EE7" w14:paraId="6B71D228"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A73A1D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-1.052</w:t>
            </w:r>
          </w:p>
        </w:tc>
        <w:tc>
          <w:tcPr>
            <w:tcW w:w="934" w:type="dxa"/>
            <w:tcBorders>
              <w:top w:val="nil"/>
              <w:left w:val="nil"/>
              <w:bottom w:val="nil"/>
              <w:right w:val="nil"/>
            </w:tcBorders>
            <w:shd w:val="clear" w:color="auto" w:fill="auto"/>
            <w:noWrap/>
            <w:vAlign w:val="center"/>
            <w:hideMark/>
          </w:tcPr>
          <w:p w14:paraId="311452A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-7.933</w:t>
            </w:r>
          </w:p>
        </w:tc>
        <w:tc>
          <w:tcPr>
            <w:tcW w:w="960" w:type="dxa"/>
            <w:tcBorders>
              <w:top w:val="nil"/>
              <w:left w:val="nil"/>
              <w:bottom w:val="nil"/>
              <w:right w:val="nil"/>
            </w:tcBorders>
            <w:shd w:val="clear" w:color="auto" w:fill="auto"/>
            <w:noWrap/>
            <w:vAlign w:val="center"/>
            <w:hideMark/>
          </w:tcPr>
          <w:p w14:paraId="73B2B3B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-4.662</w:t>
            </w:r>
          </w:p>
        </w:tc>
        <w:tc>
          <w:tcPr>
            <w:tcW w:w="956" w:type="dxa"/>
            <w:tcBorders>
              <w:top w:val="nil"/>
              <w:left w:val="nil"/>
              <w:bottom w:val="nil"/>
              <w:right w:val="nil"/>
            </w:tcBorders>
            <w:shd w:val="clear" w:color="auto" w:fill="auto"/>
            <w:noWrap/>
            <w:vAlign w:val="center"/>
            <w:hideMark/>
          </w:tcPr>
          <w:p w14:paraId="29A478E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-1.885</w:t>
            </w:r>
          </w:p>
        </w:tc>
        <w:tc>
          <w:tcPr>
            <w:tcW w:w="954" w:type="dxa"/>
            <w:tcBorders>
              <w:top w:val="nil"/>
              <w:left w:val="nil"/>
              <w:bottom w:val="nil"/>
              <w:right w:val="nil"/>
            </w:tcBorders>
            <w:shd w:val="clear" w:color="auto" w:fill="auto"/>
            <w:noWrap/>
            <w:vAlign w:val="center"/>
            <w:hideMark/>
          </w:tcPr>
          <w:p w14:paraId="25BEE31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-2.089</w:t>
            </w:r>
          </w:p>
        </w:tc>
        <w:tc>
          <w:tcPr>
            <w:tcW w:w="939" w:type="dxa"/>
            <w:tcBorders>
              <w:top w:val="nil"/>
              <w:left w:val="nil"/>
              <w:bottom w:val="nil"/>
              <w:right w:val="nil"/>
            </w:tcBorders>
            <w:shd w:val="clear" w:color="auto" w:fill="auto"/>
            <w:noWrap/>
            <w:vAlign w:val="center"/>
            <w:hideMark/>
          </w:tcPr>
          <w:p w14:paraId="271B243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-4.714</w:t>
            </w:r>
          </w:p>
        </w:tc>
        <w:tc>
          <w:tcPr>
            <w:tcW w:w="994" w:type="dxa"/>
            <w:tcBorders>
              <w:top w:val="nil"/>
              <w:left w:val="nil"/>
              <w:bottom w:val="nil"/>
              <w:right w:val="nil"/>
            </w:tcBorders>
            <w:shd w:val="clear" w:color="auto" w:fill="auto"/>
            <w:noWrap/>
            <w:vAlign w:val="center"/>
            <w:hideMark/>
          </w:tcPr>
          <w:p w14:paraId="57499F5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-4.335</w:t>
            </w:r>
          </w:p>
        </w:tc>
        <w:tc>
          <w:tcPr>
            <w:tcW w:w="944" w:type="dxa"/>
            <w:tcBorders>
              <w:top w:val="nil"/>
              <w:left w:val="nil"/>
              <w:bottom w:val="nil"/>
              <w:right w:val="single" w:sz="4" w:space="0" w:color="auto"/>
            </w:tcBorders>
            <w:shd w:val="clear" w:color="auto" w:fill="auto"/>
            <w:noWrap/>
            <w:vAlign w:val="center"/>
            <w:hideMark/>
          </w:tcPr>
          <w:p w14:paraId="3E73618A" w14:textId="37191496"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2.843</w:t>
            </w:r>
          </w:p>
        </w:tc>
      </w:tr>
      <w:tr w:rsidR="00ED02A4" w:rsidRPr="00AC0EE7" w14:paraId="7B2EEDED"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08983F5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South Africa</w:t>
            </w:r>
          </w:p>
        </w:tc>
        <w:tc>
          <w:tcPr>
            <w:tcW w:w="934" w:type="dxa"/>
            <w:tcBorders>
              <w:top w:val="nil"/>
              <w:left w:val="nil"/>
              <w:bottom w:val="nil"/>
              <w:right w:val="nil"/>
            </w:tcBorders>
            <w:shd w:val="clear" w:color="auto" w:fill="auto"/>
            <w:noWrap/>
            <w:vAlign w:val="center"/>
            <w:hideMark/>
          </w:tcPr>
          <w:p w14:paraId="53C3D62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South Korea</w:t>
            </w:r>
          </w:p>
        </w:tc>
        <w:tc>
          <w:tcPr>
            <w:tcW w:w="960" w:type="dxa"/>
            <w:tcBorders>
              <w:top w:val="nil"/>
              <w:left w:val="nil"/>
              <w:bottom w:val="nil"/>
              <w:right w:val="nil"/>
            </w:tcBorders>
            <w:shd w:val="clear" w:color="auto" w:fill="auto"/>
            <w:noWrap/>
            <w:vAlign w:val="center"/>
            <w:hideMark/>
          </w:tcPr>
          <w:p w14:paraId="1AFAC02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Spain</w:t>
            </w:r>
          </w:p>
        </w:tc>
        <w:tc>
          <w:tcPr>
            <w:tcW w:w="956" w:type="dxa"/>
            <w:tcBorders>
              <w:top w:val="nil"/>
              <w:left w:val="nil"/>
              <w:bottom w:val="nil"/>
              <w:right w:val="nil"/>
            </w:tcBorders>
            <w:shd w:val="clear" w:color="auto" w:fill="auto"/>
            <w:noWrap/>
            <w:vAlign w:val="center"/>
            <w:hideMark/>
          </w:tcPr>
          <w:p w14:paraId="20AA5DE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Sri Lanka</w:t>
            </w:r>
          </w:p>
        </w:tc>
        <w:tc>
          <w:tcPr>
            <w:tcW w:w="954" w:type="dxa"/>
            <w:tcBorders>
              <w:top w:val="nil"/>
              <w:left w:val="nil"/>
              <w:bottom w:val="nil"/>
              <w:right w:val="nil"/>
            </w:tcBorders>
            <w:shd w:val="clear" w:color="auto" w:fill="auto"/>
            <w:noWrap/>
            <w:vAlign w:val="center"/>
            <w:hideMark/>
          </w:tcPr>
          <w:p w14:paraId="42E22B0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Sweden</w:t>
            </w:r>
          </w:p>
        </w:tc>
        <w:tc>
          <w:tcPr>
            <w:tcW w:w="939" w:type="dxa"/>
            <w:tcBorders>
              <w:top w:val="nil"/>
              <w:left w:val="nil"/>
              <w:bottom w:val="nil"/>
              <w:right w:val="nil"/>
            </w:tcBorders>
            <w:shd w:val="clear" w:color="auto" w:fill="auto"/>
            <w:noWrap/>
            <w:vAlign w:val="center"/>
            <w:hideMark/>
          </w:tcPr>
          <w:p w14:paraId="799AAFB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Switzerland</w:t>
            </w:r>
          </w:p>
        </w:tc>
        <w:tc>
          <w:tcPr>
            <w:tcW w:w="994" w:type="dxa"/>
            <w:tcBorders>
              <w:top w:val="nil"/>
              <w:left w:val="nil"/>
              <w:bottom w:val="nil"/>
              <w:right w:val="nil"/>
            </w:tcBorders>
            <w:shd w:val="clear" w:color="auto" w:fill="auto"/>
            <w:noWrap/>
            <w:vAlign w:val="center"/>
            <w:hideMark/>
          </w:tcPr>
          <w:p w14:paraId="3E550F4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Taiwan</w:t>
            </w:r>
          </w:p>
        </w:tc>
        <w:tc>
          <w:tcPr>
            <w:tcW w:w="944" w:type="dxa"/>
            <w:tcBorders>
              <w:top w:val="nil"/>
              <w:left w:val="nil"/>
              <w:bottom w:val="nil"/>
              <w:right w:val="single" w:sz="4" w:space="0" w:color="auto"/>
            </w:tcBorders>
            <w:shd w:val="clear" w:color="auto" w:fill="auto"/>
            <w:noWrap/>
            <w:vAlign w:val="center"/>
            <w:hideMark/>
          </w:tcPr>
          <w:p w14:paraId="6038B97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Thailand</w:t>
            </w:r>
          </w:p>
        </w:tc>
      </w:tr>
      <w:tr w:rsidR="00ED02A4" w:rsidRPr="00AC0EE7" w14:paraId="47CA38AA"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26AA10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-2.577</w:t>
            </w:r>
          </w:p>
        </w:tc>
        <w:tc>
          <w:tcPr>
            <w:tcW w:w="934" w:type="dxa"/>
            <w:tcBorders>
              <w:top w:val="nil"/>
              <w:left w:val="nil"/>
              <w:bottom w:val="nil"/>
              <w:right w:val="nil"/>
            </w:tcBorders>
            <w:shd w:val="clear" w:color="auto" w:fill="auto"/>
            <w:noWrap/>
            <w:vAlign w:val="center"/>
            <w:hideMark/>
          </w:tcPr>
          <w:p w14:paraId="5FB11E4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-1.164</w:t>
            </w:r>
          </w:p>
        </w:tc>
        <w:tc>
          <w:tcPr>
            <w:tcW w:w="960" w:type="dxa"/>
            <w:tcBorders>
              <w:top w:val="nil"/>
              <w:left w:val="nil"/>
              <w:bottom w:val="nil"/>
              <w:right w:val="nil"/>
            </w:tcBorders>
            <w:shd w:val="clear" w:color="auto" w:fill="auto"/>
            <w:noWrap/>
            <w:vAlign w:val="center"/>
            <w:hideMark/>
          </w:tcPr>
          <w:p w14:paraId="28E275B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-3.228</w:t>
            </w:r>
          </w:p>
        </w:tc>
        <w:tc>
          <w:tcPr>
            <w:tcW w:w="956" w:type="dxa"/>
            <w:tcBorders>
              <w:top w:val="nil"/>
              <w:left w:val="nil"/>
              <w:bottom w:val="nil"/>
              <w:right w:val="nil"/>
            </w:tcBorders>
            <w:shd w:val="clear" w:color="auto" w:fill="auto"/>
            <w:noWrap/>
            <w:vAlign w:val="center"/>
            <w:hideMark/>
          </w:tcPr>
          <w:p w14:paraId="12CB8A2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-0.026</w:t>
            </w:r>
          </w:p>
        </w:tc>
        <w:tc>
          <w:tcPr>
            <w:tcW w:w="954" w:type="dxa"/>
            <w:tcBorders>
              <w:top w:val="nil"/>
              <w:left w:val="nil"/>
              <w:bottom w:val="nil"/>
              <w:right w:val="nil"/>
            </w:tcBorders>
            <w:shd w:val="clear" w:color="auto" w:fill="auto"/>
            <w:noWrap/>
            <w:vAlign w:val="center"/>
            <w:hideMark/>
          </w:tcPr>
          <w:p w14:paraId="257F163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-3.292</w:t>
            </w:r>
          </w:p>
        </w:tc>
        <w:tc>
          <w:tcPr>
            <w:tcW w:w="939" w:type="dxa"/>
            <w:tcBorders>
              <w:top w:val="nil"/>
              <w:left w:val="nil"/>
              <w:bottom w:val="nil"/>
              <w:right w:val="nil"/>
            </w:tcBorders>
            <w:shd w:val="clear" w:color="auto" w:fill="auto"/>
            <w:noWrap/>
            <w:vAlign w:val="center"/>
            <w:hideMark/>
          </w:tcPr>
          <w:p w14:paraId="178409F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-2.738</w:t>
            </w:r>
          </w:p>
        </w:tc>
        <w:tc>
          <w:tcPr>
            <w:tcW w:w="994" w:type="dxa"/>
            <w:tcBorders>
              <w:top w:val="nil"/>
              <w:left w:val="nil"/>
              <w:bottom w:val="nil"/>
              <w:right w:val="nil"/>
            </w:tcBorders>
            <w:shd w:val="clear" w:color="auto" w:fill="auto"/>
            <w:noWrap/>
            <w:vAlign w:val="center"/>
            <w:hideMark/>
          </w:tcPr>
          <w:p w14:paraId="3F7FBF6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-0.897</w:t>
            </w:r>
          </w:p>
        </w:tc>
        <w:tc>
          <w:tcPr>
            <w:tcW w:w="944" w:type="dxa"/>
            <w:tcBorders>
              <w:top w:val="nil"/>
              <w:left w:val="nil"/>
              <w:bottom w:val="nil"/>
              <w:right w:val="single" w:sz="4" w:space="0" w:color="auto"/>
            </w:tcBorders>
            <w:shd w:val="clear" w:color="auto" w:fill="auto"/>
            <w:noWrap/>
            <w:vAlign w:val="center"/>
            <w:hideMark/>
          </w:tcPr>
          <w:p w14:paraId="22DE5E0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-0.799</w:t>
            </w:r>
          </w:p>
        </w:tc>
      </w:tr>
      <w:tr w:rsidR="00ED02A4" w:rsidRPr="00AC0EE7" w14:paraId="17DF8C85"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3ECB0D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-6.407</w:t>
            </w:r>
          </w:p>
        </w:tc>
        <w:tc>
          <w:tcPr>
            <w:tcW w:w="934" w:type="dxa"/>
            <w:tcBorders>
              <w:top w:val="nil"/>
              <w:left w:val="nil"/>
              <w:bottom w:val="nil"/>
              <w:right w:val="nil"/>
            </w:tcBorders>
            <w:shd w:val="clear" w:color="auto" w:fill="auto"/>
            <w:noWrap/>
            <w:vAlign w:val="center"/>
            <w:hideMark/>
          </w:tcPr>
          <w:p w14:paraId="1A49153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-6.961</w:t>
            </w:r>
          </w:p>
        </w:tc>
        <w:tc>
          <w:tcPr>
            <w:tcW w:w="960" w:type="dxa"/>
            <w:tcBorders>
              <w:top w:val="nil"/>
              <w:left w:val="nil"/>
              <w:bottom w:val="nil"/>
              <w:right w:val="nil"/>
            </w:tcBorders>
            <w:shd w:val="clear" w:color="auto" w:fill="auto"/>
            <w:noWrap/>
            <w:vAlign w:val="center"/>
            <w:hideMark/>
          </w:tcPr>
          <w:p w14:paraId="00BF315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-8.588</w:t>
            </w:r>
          </w:p>
        </w:tc>
        <w:tc>
          <w:tcPr>
            <w:tcW w:w="956" w:type="dxa"/>
            <w:tcBorders>
              <w:top w:val="nil"/>
              <w:left w:val="nil"/>
              <w:bottom w:val="nil"/>
              <w:right w:val="nil"/>
            </w:tcBorders>
            <w:shd w:val="clear" w:color="auto" w:fill="auto"/>
            <w:noWrap/>
            <w:vAlign w:val="center"/>
            <w:hideMark/>
          </w:tcPr>
          <w:p w14:paraId="41D50BC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-0.398</w:t>
            </w:r>
          </w:p>
        </w:tc>
        <w:tc>
          <w:tcPr>
            <w:tcW w:w="954" w:type="dxa"/>
            <w:tcBorders>
              <w:top w:val="nil"/>
              <w:left w:val="nil"/>
              <w:bottom w:val="nil"/>
              <w:right w:val="nil"/>
            </w:tcBorders>
            <w:shd w:val="clear" w:color="auto" w:fill="auto"/>
            <w:noWrap/>
            <w:vAlign w:val="center"/>
            <w:hideMark/>
          </w:tcPr>
          <w:p w14:paraId="2531D97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-8.564</w:t>
            </w:r>
          </w:p>
        </w:tc>
        <w:tc>
          <w:tcPr>
            <w:tcW w:w="939" w:type="dxa"/>
            <w:tcBorders>
              <w:top w:val="nil"/>
              <w:left w:val="nil"/>
              <w:bottom w:val="nil"/>
              <w:right w:val="nil"/>
            </w:tcBorders>
            <w:shd w:val="clear" w:color="auto" w:fill="auto"/>
            <w:noWrap/>
            <w:vAlign w:val="center"/>
            <w:hideMark/>
          </w:tcPr>
          <w:p w14:paraId="046F849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-5.787</w:t>
            </w:r>
          </w:p>
        </w:tc>
        <w:tc>
          <w:tcPr>
            <w:tcW w:w="994" w:type="dxa"/>
            <w:tcBorders>
              <w:top w:val="nil"/>
              <w:left w:val="nil"/>
              <w:bottom w:val="nil"/>
              <w:right w:val="nil"/>
            </w:tcBorders>
            <w:shd w:val="clear" w:color="auto" w:fill="auto"/>
            <w:noWrap/>
            <w:vAlign w:val="center"/>
            <w:hideMark/>
          </w:tcPr>
          <w:p w14:paraId="453D713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-5.361</w:t>
            </w:r>
          </w:p>
        </w:tc>
        <w:tc>
          <w:tcPr>
            <w:tcW w:w="944" w:type="dxa"/>
            <w:tcBorders>
              <w:top w:val="nil"/>
              <w:left w:val="nil"/>
              <w:bottom w:val="nil"/>
              <w:right w:val="single" w:sz="4" w:space="0" w:color="auto"/>
            </w:tcBorders>
            <w:shd w:val="clear" w:color="auto" w:fill="auto"/>
            <w:noWrap/>
            <w:vAlign w:val="center"/>
            <w:hideMark/>
          </w:tcPr>
          <w:p w14:paraId="612D09D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-3.547</w:t>
            </w:r>
          </w:p>
        </w:tc>
      </w:tr>
      <w:tr w:rsidR="00ED02A4" w:rsidRPr="00AC0EE7" w14:paraId="5DFADCD4"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61E971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Trinidad</w:t>
            </w:r>
          </w:p>
        </w:tc>
        <w:tc>
          <w:tcPr>
            <w:tcW w:w="934" w:type="dxa"/>
            <w:tcBorders>
              <w:top w:val="nil"/>
              <w:left w:val="nil"/>
              <w:bottom w:val="nil"/>
              <w:right w:val="nil"/>
            </w:tcBorders>
            <w:shd w:val="clear" w:color="auto" w:fill="auto"/>
            <w:noWrap/>
            <w:vAlign w:val="center"/>
            <w:hideMark/>
          </w:tcPr>
          <w:p w14:paraId="0E983AB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Tunisia</w:t>
            </w:r>
          </w:p>
        </w:tc>
        <w:tc>
          <w:tcPr>
            <w:tcW w:w="960" w:type="dxa"/>
            <w:tcBorders>
              <w:top w:val="nil"/>
              <w:left w:val="nil"/>
              <w:bottom w:val="nil"/>
              <w:right w:val="nil"/>
            </w:tcBorders>
            <w:shd w:val="clear" w:color="auto" w:fill="auto"/>
            <w:noWrap/>
            <w:vAlign w:val="center"/>
            <w:hideMark/>
          </w:tcPr>
          <w:p w14:paraId="0110FF4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Turkey</w:t>
            </w:r>
          </w:p>
        </w:tc>
        <w:tc>
          <w:tcPr>
            <w:tcW w:w="956" w:type="dxa"/>
            <w:tcBorders>
              <w:top w:val="nil"/>
              <w:left w:val="nil"/>
              <w:bottom w:val="nil"/>
              <w:right w:val="nil"/>
            </w:tcBorders>
            <w:shd w:val="clear" w:color="auto" w:fill="auto"/>
            <w:noWrap/>
            <w:vAlign w:val="center"/>
            <w:hideMark/>
          </w:tcPr>
          <w:p w14:paraId="041F2D1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Ukraine</w:t>
            </w:r>
          </w:p>
        </w:tc>
        <w:tc>
          <w:tcPr>
            <w:tcW w:w="954" w:type="dxa"/>
            <w:tcBorders>
              <w:top w:val="nil"/>
              <w:left w:val="nil"/>
              <w:bottom w:val="nil"/>
              <w:right w:val="nil"/>
            </w:tcBorders>
            <w:shd w:val="clear" w:color="auto" w:fill="auto"/>
            <w:noWrap/>
            <w:vAlign w:val="center"/>
            <w:hideMark/>
          </w:tcPr>
          <w:p w14:paraId="3B12092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UAE</w:t>
            </w:r>
          </w:p>
        </w:tc>
        <w:tc>
          <w:tcPr>
            <w:tcW w:w="939" w:type="dxa"/>
            <w:tcBorders>
              <w:top w:val="nil"/>
              <w:left w:val="nil"/>
              <w:bottom w:val="nil"/>
              <w:right w:val="nil"/>
            </w:tcBorders>
            <w:shd w:val="clear" w:color="auto" w:fill="auto"/>
            <w:noWrap/>
            <w:vAlign w:val="center"/>
            <w:hideMark/>
          </w:tcPr>
          <w:p w14:paraId="3DF5DFD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UK</w:t>
            </w:r>
          </w:p>
        </w:tc>
        <w:tc>
          <w:tcPr>
            <w:tcW w:w="994" w:type="dxa"/>
            <w:tcBorders>
              <w:top w:val="nil"/>
              <w:left w:val="nil"/>
              <w:bottom w:val="nil"/>
              <w:right w:val="nil"/>
            </w:tcBorders>
            <w:shd w:val="clear" w:color="auto" w:fill="auto"/>
            <w:noWrap/>
            <w:vAlign w:val="center"/>
            <w:hideMark/>
          </w:tcPr>
          <w:p w14:paraId="1C98317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US</w:t>
            </w:r>
          </w:p>
        </w:tc>
        <w:tc>
          <w:tcPr>
            <w:tcW w:w="944" w:type="dxa"/>
            <w:tcBorders>
              <w:top w:val="nil"/>
              <w:left w:val="nil"/>
              <w:bottom w:val="nil"/>
              <w:right w:val="single" w:sz="4" w:space="0" w:color="auto"/>
            </w:tcBorders>
            <w:shd w:val="clear" w:color="auto" w:fill="auto"/>
            <w:noWrap/>
            <w:vAlign w:val="center"/>
            <w:hideMark/>
          </w:tcPr>
          <w:p w14:paraId="15AE623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Venezuela</w:t>
            </w:r>
          </w:p>
        </w:tc>
      </w:tr>
      <w:tr w:rsidR="00ED02A4" w:rsidRPr="00AC0EE7" w14:paraId="108B1142"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BF68CB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0.038</w:t>
            </w:r>
          </w:p>
        </w:tc>
        <w:tc>
          <w:tcPr>
            <w:tcW w:w="934" w:type="dxa"/>
            <w:tcBorders>
              <w:top w:val="nil"/>
              <w:left w:val="nil"/>
              <w:bottom w:val="nil"/>
              <w:right w:val="nil"/>
            </w:tcBorders>
            <w:shd w:val="clear" w:color="auto" w:fill="auto"/>
            <w:noWrap/>
            <w:vAlign w:val="center"/>
            <w:hideMark/>
          </w:tcPr>
          <w:p w14:paraId="3C81A1F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-1.591</w:t>
            </w:r>
          </w:p>
        </w:tc>
        <w:tc>
          <w:tcPr>
            <w:tcW w:w="960" w:type="dxa"/>
            <w:tcBorders>
              <w:top w:val="nil"/>
              <w:left w:val="nil"/>
              <w:bottom w:val="nil"/>
              <w:right w:val="nil"/>
            </w:tcBorders>
            <w:shd w:val="clear" w:color="auto" w:fill="auto"/>
            <w:noWrap/>
            <w:vAlign w:val="center"/>
            <w:hideMark/>
          </w:tcPr>
          <w:p w14:paraId="5430992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-2.615</w:t>
            </w:r>
          </w:p>
        </w:tc>
        <w:tc>
          <w:tcPr>
            <w:tcW w:w="956" w:type="dxa"/>
            <w:tcBorders>
              <w:top w:val="nil"/>
              <w:left w:val="nil"/>
              <w:bottom w:val="nil"/>
              <w:right w:val="nil"/>
            </w:tcBorders>
            <w:shd w:val="clear" w:color="auto" w:fill="auto"/>
            <w:noWrap/>
            <w:vAlign w:val="center"/>
            <w:hideMark/>
          </w:tcPr>
          <w:p w14:paraId="6770BED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-3.463</w:t>
            </w:r>
          </w:p>
        </w:tc>
        <w:tc>
          <w:tcPr>
            <w:tcW w:w="954" w:type="dxa"/>
            <w:tcBorders>
              <w:top w:val="nil"/>
              <w:left w:val="nil"/>
              <w:bottom w:val="nil"/>
              <w:right w:val="nil"/>
            </w:tcBorders>
            <w:shd w:val="clear" w:color="auto" w:fill="auto"/>
            <w:noWrap/>
            <w:vAlign w:val="center"/>
            <w:hideMark/>
          </w:tcPr>
          <w:p w14:paraId="6B553A9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-1.061</w:t>
            </w:r>
          </w:p>
        </w:tc>
        <w:tc>
          <w:tcPr>
            <w:tcW w:w="939" w:type="dxa"/>
            <w:tcBorders>
              <w:top w:val="nil"/>
              <w:left w:val="nil"/>
              <w:bottom w:val="nil"/>
              <w:right w:val="nil"/>
            </w:tcBorders>
            <w:shd w:val="clear" w:color="auto" w:fill="auto"/>
            <w:noWrap/>
            <w:vAlign w:val="center"/>
            <w:hideMark/>
          </w:tcPr>
          <w:p w14:paraId="3FB62E9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-3.449</w:t>
            </w:r>
          </w:p>
        </w:tc>
        <w:tc>
          <w:tcPr>
            <w:tcW w:w="994" w:type="dxa"/>
            <w:tcBorders>
              <w:top w:val="nil"/>
              <w:left w:val="nil"/>
              <w:bottom w:val="nil"/>
              <w:right w:val="nil"/>
            </w:tcBorders>
            <w:shd w:val="clear" w:color="auto" w:fill="auto"/>
            <w:noWrap/>
            <w:vAlign w:val="center"/>
            <w:hideMark/>
          </w:tcPr>
          <w:p w14:paraId="4B2722D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-1.644</w:t>
            </w:r>
          </w:p>
        </w:tc>
        <w:tc>
          <w:tcPr>
            <w:tcW w:w="944" w:type="dxa"/>
            <w:tcBorders>
              <w:top w:val="nil"/>
              <w:left w:val="nil"/>
              <w:bottom w:val="nil"/>
              <w:right w:val="single" w:sz="4" w:space="0" w:color="auto"/>
            </w:tcBorders>
            <w:shd w:val="clear" w:color="auto" w:fill="auto"/>
            <w:noWrap/>
            <w:vAlign w:val="center"/>
            <w:hideMark/>
          </w:tcPr>
          <w:p w14:paraId="37714C5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0.077</w:t>
            </w:r>
          </w:p>
        </w:tc>
      </w:tr>
      <w:tr w:rsidR="00ED02A4" w:rsidRPr="00AC0EE7" w14:paraId="03A0947F"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221CE6B" w14:textId="583785F9"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1.574</w:t>
            </w:r>
          </w:p>
        </w:tc>
        <w:tc>
          <w:tcPr>
            <w:tcW w:w="934" w:type="dxa"/>
            <w:tcBorders>
              <w:top w:val="nil"/>
              <w:left w:val="nil"/>
              <w:bottom w:val="nil"/>
              <w:right w:val="nil"/>
            </w:tcBorders>
            <w:shd w:val="clear" w:color="auto" w:fill="auto"/>
            <w:noWrap/>
            <w:vAlign w:val="center"/>
            <w:hideMark/>
          </w:tcPr>
          <w:p w14:paraId="25F8B69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-3.567</w:t>
            </w:r>
          </w:p>
        </w:tc>
        <w:tc>
          <w:tcPr>
            <w:tcW w:w="960" w:type="dxa"/>
            <w:tcBorders>
              <w:top w:val="nil"/>
              <w:left w:val="nil"/>
              <w:bottom w:val="nil"/>
              <w:right w:val="nil"/>
            </w:tcBorders>
            <w:shd w:val="clear" w:color="auto" w:fill="auto"/>
            <w:noWrap/>
            <w:vAlign w:val="center"/>
            <w:hideMark/>
          </w:tcPr>
          <w:p w14:paraId="51827369"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-7.399</w:t>
            </w:r>
          </w:p>
        </w:tc>
        <w:tc>
          <w:tcPr>
            <w:tcW w:w="956" w:type="dxa"/>
            <w:tcBorders>
              <w:top w:val="nil"/>
              <w:left w:val="nil"/>
              <w:bottom w:val="nil"/>
              <w:right w:val="nil"/>
            </w:tcBorders>
            <w:shd w:val="clear" w:color="auto" w:fill="auto"/>
            <w:noWrap/>
            <w:vAlign w:val="center"/>
            <w:hideMark/>
          </w:tcPr>
          <w:p w14:paraId="14925CD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-3.704</w:t>
            </w:r>
          </w:p>
        </w:tc>
        <w:tc>
          <w:tcPr>
            <w:tcW w:w="954" w:type="dxa"/>
            <w:tcBorders>
              <w:top w:val="nil"/>
              <w:left w:val="nil"/>
              <w:bottom w:val="nil"/>
              <w:right w:val="nil"/>
            </w:tcBorders>
            <w:shd w:val="clear" w:color="auto" w:fill="auto"/>
            <w:noWrap/>
            <w:vAlign w:val="center"/>
            <w:hideMark/>
          </w:tcPr>
          <w:p w14:paraId="4E00417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-1.323</w:t>
            </w:r>
          </w:p>
        </w:tc>
        <w:tc>
          <w:tcPr>
            <w:tcW w:w="939" w:type="dxa"/>
            <w:tcBorders>
              <w:top w:val="nil"/>
              <w:left w:val="nil"/>
              <w:bottom w:val="nil"/>
              <w:right w:val="nil"/>
            </w:tcBorders>
            <w:shd w:val="clear" w:color="auto" w:fill="auto"/>
            <w:noWrap/>
            <w:vAlign w:val="center"/>
            <w:hideMark/>
          </w:tcPr>
          <w:p w14:paraId="7ADCC6F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-10.029</w:t>
            </w:r>
          </w:p>
        </w:tc>
        <w:tc>
          <w:tcPr>
            <w:tcW w:w="994" w:type="dxa"/>
            <w:tcBorders>
              <w:top w:val="nil"/>
              <w:left w:val="nil"/>
              <w:bottom w:val="nil"/>
              <w:right w:val="nil"/>
            </w:tcBorders>
            <w:shd w:val="clear" w:color="auto" w:fill="auto"/>
            <w:noWrap/>
            <w:vAlign w:val="center"/>
            <w:hideMark/>
          </w:tcPr>
          <w:p w14:paraId="02C94C1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-7.783</w:t>
            </w:r>
          </w:p>
        </w:tc>
        <w:tc>
          <w:tcPr>
            <w:tcW w:w="944" w:type="dxa"/>
            <w:tcBorders>
              <w:top w:val="nil"/>
              <w:left w:val="nil"/>
              <w:bottom w:val="nil"/>
              <w:right w:val="single" w:sz="4" w:space="0" w:color="auto"/>
            </w:tcBorders>
            <w:shd w:val="clear" w:color="auto" w:fill="auto"/>
            <w:noWrap/>
            <w:vAlign w:val="center"/>
            <w:hideMark/>
          </w:tcPr>
          <w:p w14:paraId="7F79EDB1" w14:textId="651B863C"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0.623</w:t>
            </w:r>
          </w:p>
        </w:tc>
      </w:tr>
      <w:tr w:rsidR="00ED02A4" w:rsidRPr="00AC0EE7" w14:paraId="56C655D2"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26D737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Vietnam</w:t>
            </w:r>
          </w:p>
        </w:tc>
        <w:tc>
          <w:tcPr>
            <w:tcW w:w="934" w:type="dxa"/>
            <w:tcBorders>
              <w:top w:val="nil"/>
              <w:left w:val="nil"/>
              <w:bottom w:val="nil"/>
              <w:right w:val="nil"/>
            </w:tcBorders>
            <w:shd w:val="clear" w:color="auto" w:fill="auto"/>
            <w:noWrap/>
            <w:vAlign w:val="center"/>
            <w:hideMark/>
          </w:tcPr>
          <w:p w14:paraId="7BF3D0A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Zambia</w:t>
            </w:r>
          </w:p>
        </w:tc>
        <w:tc>
          <w:tcPr>
            <w:tcW w:w="960" w:type="dxa"/>
            <w:tcBorders>
              <w:top w:val="nil"/>
              <w:left w:val="nil"/>
              <w:bottom w:val="nil"/>
              <w:right w:val="nil"/>
            </w:tcBorders>
            <w:shd w:val="clear" w:color="auto" w:fill="auto"/>
            <w:noWrap/>
            <w:hideMark/>
          </w:tcPr>
          <w:p w14:paraId="5398A5DB"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6" w:type="dxa"/>
            <w:tcBorders>
              <w:top w:val="nil"/>
              <w:left w:val="nil"/>
              <w:bottom w:val="nil"/>
              <w:right w:val="nil"/>
            </w:tcBorders>
            <w:shd w:val="clear" w:color="auto" w:fill="auto"/>
            <w:noWrap/>
            <w:hideMark/>
          </w:tcPr>
          <w:p w14:paraId="221FA0E5"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4" w:type="dxa"/>
            <w:tcBorders>
              <w:top w:val="nil"/>
              <w:left w:val="nil"/>
              <w:bottom w:val="nil"/>
              <w:right w:val="nil"/>
            </w:tcBorders>
            <w:shd w:val="clear" w:color="auto" w:fill="auto"/>
            <w:noWrap/>
            <w:hideMark/>
          </w:tcPr>
          <w:p w14:paraId="326C3EF8"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7DB87865"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28EFC5C3"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1182821D"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040DB454"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1D7377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-0.259</w:t>
            </w:r>
          </w:p>
        </w:tc>
        <w:tc>
          <w:tcPr>
            <w:tcW w:w="934" w:type="dxa"/>
            <w:tcBorders>
              <w:top w:val="nil"/>
              <w:left w:val="nil"/>
              <w:bottom w:val="nil"/>
              <w:right w:val="nil"/>
            </w:tcBorders>
            <w:shd w:val="clear" w:color="auto" w:fill="auto"/>
            <w:noWrap/>
            <w:vAlign w:val="center"/>
            <w:hideMark/>
          </w:tcPr>
          <w:p w14:paraId="0878032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-0.299</w:t>
            </w:r>
          </w:p>
        </w:tc>
        <w:tc>
          <w:tcPr>
            <w:tcW w:w="960" w:type="dxa"/>
            <w:tcBorders>
              <w:top w:val="nil"/>
              <w:left w:val="nil"/>
              <w:bottom w:val="nil"/>
              <w:right w:val="nil"/>
            </w:tcBorders>
            <w:shd w:val="clear" w:color="auto" w:fill="auto"/>
            <w:noWrap/>
            <w:hideMark/>
          </w:tcPr>
          <w:p w14:paraId="7F1E0C70"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6" w:type="dxa"/>
            <w:tcBorders>
              <w:top w:val="nil"/>
              <w:left w:val="nil"/>
              <w:bottom w:val="nil"/>
              <w:right w:val="nil"/>
            </w:tcBorders>
            <w:shd w:val="clear" w:color="auto" w:fill="auto"/>
            <w:noWrap/>
            <w:hideMark/>
          </w:tcPr>
          <w:p w14:paraId="3ED02F01"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4" w:type="dxa"/>
            <w:tcBorders>
              <w:top w:val="nil"/>
              <w:left w:val="nil"/>
              <w:bottom w:val="nil"/>
              <w:right w:val="nil"/>
            </w:tcBorders>
            <w:shd w:val="clear" w:color="auto" w:fill="auto"/>
            <w:noWrap/>
            <w:hideMark/>
          </w:tcPr>
          <w:p w14:paraId="53A81F0A"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73BBAF20"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023A5F6E"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146BBBBB"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2DF67B78"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CCBB84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-2.231</w:t>
            </w:r>
          </w:p>
        </w:tc>
        <w:tc>
          <w:tcPr>
            <w:tcW w:w="934" w:type="dxa"/>
            <w:tcBorders>
              <w:top w:val="nil"/>
              <w:left w:val="nil"/>
              <w:bottom w:val="nil"/>
              <w:right w:val="nil"/>
            </w:tcBorders>
            <w:shd w:val="clear" w:color="auto" w:fill="auto"/>
            <w:noWrap/>
            <w:vAlign w:val="center"/>
            <w:hideMark/>
          </w:tcPr>
          <w:p w14:paraId="4E68893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-1.775</w:t>
            </w:r>
          </w:p>
        </w:tc>
        <w:tc>
          <w:tcPr>
            <w:tcW w:w="960" w:type="dxa"/>
            <w:tcBorders>
              <w:top w:val="nil"/>
              <w:left w:val="nil"/>
              <w:bottom w:val="nil"/>
              <w:right w:val="nil"/>
            </w:tcBorders>
            <w:shd w:val="clear" w:color="auto" w:fill="auto"/>
            <w:noWrap/>
            <w:hideMark/>
          </w:tcPr>
          <w:p w14:paraId="1B655A54"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6" w:type="dxa"/>
            <w:tcBorders>
              <w:top w:val="nil"/>
              <w:left w:val="nil"/>
              <w:bottom w:val="nil"/>
              <w:right w:val="nil"/>
            </w:tcBorders>
            <w:shd w:val="clear" w:color="auto" w:fill="auto"/>
            <w:noWrap/>
            <w:hideMark/>
          </w:tcPr>
          <w:p w14:paraId="1A46FD58"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4" w:type="dxa"/>
            <w:tcBorders>
              <w:top w:val="nil"/>
              <w:left w:val="nil"/>
              <w:bottom w:val="nil"/>
              <w:right w:val="nil"/>
            </w:tcBorders>
            <w:shd w:val="clear" w:color="auto" w:fill="auto"/>
            <w:noWrap/>
            <w:hideMark/>
          </w:tcPr>
          <w:p w14:paraId="3071CE9E"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39" w:type="dxa"/>
            <w:tcBorders>
              <w:top w:val="nil"/>
              <w:left w:val="nil"/>
              <w:bottom w:val="nil"/>
              <w:right w:val="nil"/>
            </w:tcBorders>
            <w:shd w:val="clear" w:color="auto" w:fill="auto"/>
            <w:noWrap/>
            <w:hideMark/>
          </w:tcPr>
          <w:p w14:paraId="19105F57"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94" w:type="dxa"/>
            <w:tcBorders>
              <w:top w:val="nil"/>
              <w:left w:val="nil"/>
              <w:bottom w:val="nil"/>
              <w:right w:val="nil"/>
            </w:tcBorders>
            <w:shd w:val="clear" w:color="auto" w:fill="auto"/>
            <w:noWrap/>
            <w:hideMark/>
          </w:tcPr>
          <w:p w14:paraId="24263B37"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44" w:type="dxa"/>
            <w:tcBorders>
              <w:top w:val="nil"/>
              <w:left w:val="nil"/>
              <w:bottom w:val="nil"/>
              <w:right w:val="single" w:sz="4" w:space="0" w:color="auto"/>
            </w:tcBorders>
            <w:shd w:val="clear" w:color="auto" w:fill="auto"/>
            <w:noWrap/>
            <w:hideMark/>
          </w:tcPr>
          <w:p w14:paraId="69BA5FB4"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r>
      <w:tr w:rsidR="00ED02A4" w:rsidRPr="00AC0EE7" w14:paraId="041A6FC4"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3EB86D4"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4" w:type="dxa"/>
            <w:tcBorders>
              <w:top w:val="nil"/>
              <w:left w:val="nil"/>
              <w:bottom w:val="nil"/>
              <w:right w:val="nil"/>
            </w:tcBorders>
            <w:shd w:val="clear" w:color="auto" w:fill="auto"/>
            <w:noWrap/>
            <w:vAlign w:val="bottom"/>
            <w:hideMark/>
          </w:tcPr>
          <w:p w14:paraId="5DA063DB"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60" w:type="dxa"/>
            <w:tcBorders>
              <w:top w:val="nil"/>
              <w:left w:val="nil"/>
              <w:bottom w:val="nil"/>
              <w:right w:val="nil"/>
            </w:tcBorders>
            <w:shd w:val="clear" w:color="auto" w:fill="auto"/>
            <w:noWrap/>
            <w:vAlign w:val="bottom"/>
            <w:hideMark/>
          </w:tcPr>
          <w:p w14:paraId="6D23B786"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6" w:type="dxa"/>
            <w:tcBorders>
              <w:top w:val="nil"/>
              <w:left w:val="nil"/>
              <w:bottom w:val="nil"/>
              <w:right w:val="nil"/>
            </w:tcBorders>
            <w:shd w:val="clear" w:color="auto" w:fill="auto"/>
            <w:noWrap/>
            <w:vAlign w:val="bottom"/>
            <w:hideMark/>
          </w:tcPr>
          <w:p w14:paraId="0E449043"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4" w:type="dxa"/>
            <w:tcBorders>
              <w:top w:val="nil"/>
              <w:left w:val="nil"/>
              <w:bottom w:val="nil"/>
              <w:right w:val="nil"/>
            </w:tcBorders>
            <w:shd w:val="clear" w:color="auto" w:fill="auto"/>
            <w:noWrap/>
            <w:vAlign w:val="bottom"/>
            <w:hideMark/>
          </w:tcPr>
          <w:p w14:paraId="775F0220"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vAlign w:val="bottom"/>
            <w:hideMark/>
          </w:tcPr>
          <w:p w14:paraId="12E170C7"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vAlign w:val="bottom"/>
            <w:hideMark/>
          </w:tcPr>
          <w:p w14:paraId="6DB02C07"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vAlign w:val="bottom"/>
            <w:hideMark/>
          </w:tcPr>
          <w:p w14:paraId="1A95E90E"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4845198F" w14:textId="77777777" w:rsidTr="00367A87">
        <w:trPr>
          <w:trHeight w:val="288"/>
        </w:trPr>
        <w:tc>
          <w:tcPr>
            <w:tcW w:w="768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53E7618" w14:textId="77777777" w:rsidR="00ED02A4" w:rsidRPr="00AC0EE7" w:rsidRDefault="00ED02A4" w:rsidP="00367A87">
            <w:pPr>
              <w:spacing w:after="0" w:line="240" w:lineRule="auto"/>
              <w:jc w:val="center"/>
              <w:rPr>
                <w:rFonts w:ascii="Calibri" w:eastAsia="Times New Roman" w:hAnsi="Calibri" w:cs="Calibri"/>
                <w:b/>
                <w:bCs/>
                <w:color w:val="000000"/>
                <w:lang w:eastAsia="en-IE"/>
              </w:rPr>
            </w:pPr>
            <w:r w:rsidRPr="00AC0EE7">
              <w:rPr>
                <w:rFonts w:ascii="Calibri" w:eastAsia="Times New Roman" w:hAnsi="Calibri" w:cs="Calibri"/>
                <w:b/>
                <w:bCs/>
                <w:color w:val="000000"/>
                <w:lang w:eastAsia="en-IE"/>
              </w:rPr>
              <w:t>Bonds</w:t>
            </w:r>
          </w:p>
        </w:tc>
      </w:tr>
      <w:tr w:rsidR="00ED02A4" w:rsidRPr="00AC0EE7" w14:paraId="07FC4D8D"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DF26E8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World Index</w:t>
            </w:r>
          </w:p>
        </w:tc>
        <w:tc>
          <w:tcPr>
            <w:tcW w:w="934" w:type="dxa"/>
            <w:tcBorders>
              <w:top w:val="nil"/>
              <w:left w:val="nil"/>
              <w:bottom w:val="nil"/>
              <w:right w:val="nil"/>
            </w:tcBorders>
            <w:shd w:val="clear" w:color="auto" w:fill="auto"/>
            <w:noWrap/>
            <w:vAlign w:val="center"/>
            <w:hideMark/>
          </w:tcPr>
          <w:p w14:paraId="7887C46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Australia</w:t>
            </w:r>
          </w:p>
        </w:tc>
        <w:tc>
          <w:tcPr>
            <w:tcW w:w="960" w:type="dxa"/>
            <w:tcBorders>
              <w:top w:val="nil"/>
              <w:left w:val="nil"/>
              <w:bottom w:val="nil"/>
              <w:right w:val="nil"/>
            </w:tcBorders>
            <w:shd w:val="clear" w:color="auto" w:fill="auto"/>
            <w:noWrap/>
            <w:vAlign w:val="center"/>
            <w:hideMark/>
          </w:tcPr>
          <w:p w14:paraId="0B86919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Austria</w:t>
            </w:r>
          </w:p>
        </w:tc>
        <w:tc>
          <w:tcPr>
            <w:tcW w:w="956" w:type="dxa"/>
            <w:tcBorders>
              <w:top w:val="nil"/>
              <w:left w:val="nil"/>
              <w:bottom w:val="nil"/>
              <w:right w:val="nil"/>
            </w:tcBorders>
            <w:shd w:val="clear" w:color="auto" w:fill="auto"/>
            <w:noWrap/>
            <w:vAlign w:val="center"/>
            <w:hideMark/>
          </w:tcPr>
          <w:p w14:paraId="448B1B9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Belgium</w:t>
            </w:r>
          </w:p>
        </w:tc>
        <w:tc>
          <w:tcPr>
            <w:tcW w:w="954" w:type="dxa"/>
            <w:tcBorders>
              <w:top w:val="nil"/>
              <w:left w:val="nil"/>
              <w:bottom w:val="nil"/>
              <w:right w:val="nil"/>
            </w:tcBorders>
            <w:shd w:val="clear" w:color="auto" w:fill="auto"/>
            <w:noWrap/>
            <w:vAlign w:val="center"/>
            <w:hideMark/>
          </w:tcPr>
          <w:p w14:paraId="27AEB81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Canada</w:t>
            </w:r>
          </w:p>
        </w:tc>
        <w:tc>
          <w:tcPr>
            <w:tcW w:w="939" w:type="dxa"/>
            <w:tcBorders>
              <w:top w:val="nil"/>
              <w:left w:val="nil"/>
              <w:bottom w:val="nil"/>
              <w:right w:val="nil"/>
            </w:tcBorders>
            <w:shd w:val="clear" w:color="auto" w:fill="auto"/>
            <w:noWrap/>
            <w:vAlign w:val="center"/>
            <w:hideMark/>
          </w:tcPr>
          <w:p w14:paraId="74D824D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China</w:t>
            </w:r>
          </w:p>
        </w:tc>
        <w:tc>
          <w:tcPr>
            <w:tcW w:w="994" w:type="dxa"/>
            <w:tcBorders>
              <w:top w:val="nil"/>
              <w:left w:val="nil"/>
              <w:bottom w:val="nil"/>
              <w:right w:val="nil"/>
            </w:tcBorders>
            <w:shd w:val="clear" w:color="auto" w:fill="auto"/>
            <w:noWrap/>
            <w:vAlign w:val="center"/>
            <w:hideMark/>
          </w:tcPr>
          <w:p w14:paraId="230A1C9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Czech Rep.</w:t>
            </w:r>
          </w:p>
        </w:tc>
        <w:tc>
          <w:tcPr>
            <w:tcW w:w="944" w:type="dxa"/>
            <w:tcBorders>
              <w:top w:val="nil"/>
              <w:left w:val="nil"/>
              <w:bottom w:val="nil"/>
              <w:right w:val="single" w:sz="4" w:space="0" w:color="auto"/>
            </w:tcBorders>
            <w:shd w:val="clear" w:color="auto" w:fill="auto"/>
            <w:noWrap/>
            <w:vAlign w:val="center"/>
            <w:hideMark/>
          </w:tcPr>
          <w:p w14:paraId="55F736C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Denmark</w:t>
            </w:r>
          </w:p>
        </w:tc>
      </w:tr>
      <w:tr w:rsidR="00ED02A4" w:rsidRPr="00AC0EE7" w14:paraId="5B24DD77"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537DFF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-0.958</w:t>
            </w:r>
          </w:p>
        </w:tc>
        <w:tc>
          <w:tcPr>
            <w:tcW w:w="934" w:type="dxa"/>
            <w:tcBorders>
              <w:top w:val="nil"/>
              <w:left w:val="nil"/>
              <w:bottom w:val="nil"/>
              <w:right w:val="nil"/>
            </w:tcBorders>
            <w:shd w:val="clear" w:color="auto" w:fill="auto"/>
            <w:noWrap/>
            <w:vAlign w:val="center"/>
            <w:hideMark/>
          </w:tcPr>
          <w:p w14:paraId="7B987E2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-2.201</w:t>
            </w:r>
          </w:p>
        </w:tc>
        <w:tc>
          <w:tcPr>
            <w:tcW w:w="960" w:type="dxa"/>
            <w:tcBorders>
              <w:top w:val="nil"/>
              <w:left w:val="nil"/>
              <w:bottom w:val="nil"/>
              <w:right w:val="nil"/>
            </w:tcBorders>
            <w:shd w:val="clear" w:color="auto" w:fill="auto"/>
            <w:noWrap/>
            <w:vAlign w:val="center"/>
            <w:hideMark/>
          </w:tcPr>
          <w:p w14:paraId="242C22B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-0.939</w:t>
            </w:r>
          </w:p>
        </w:tc>
        <w:tc>
          <w:tcPr>
            <w:tcW w:w="956" w:type="dxa"/>
            <w:tcBorders>
              <w:top w:val="nil"/>
              <w:left w:val="nil"/>
              <w:bottom w:val="nil"/>
              <w:right w:val="nil"/>
            </w:tcBorders>
            <w:shd w:val="clear" w:color="auto" w:fill="auto"/>
            <w:noWrap/>
            <w:vAlign w:val="center"/>
            <w:hideMark/>
          </w:tcPr>
          <w:p w14:paraId="4C3D89A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-1.182</w:t>
            </w:r>
          </w:p>
        </w:tc>
        <w:tc>
          <w:tcPr>
            <w:tcW w:w="954" w:type="dxa"/>
            <w:tcBorders>
              <w:top w:val="nil"/>
              <w:left w:val="nil"/>
              <w:bottom w:val="nil"/>
              <w:right w:val="nil"/>
            </w:tcBorders>
            <w:shd w:val="clear" w:color="auto" w:fill="auto"/>
            <w:noWrap/>
            <w:vAlign w:val="center"/>
            <w:hideMark/>
          </w:tcPr>
          <w:p w14:paraId="6FD668B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-1.484</w:t>
            </w:r>
          </w:p>
        </w:tc>
        <w:tc>
          <w:tcPr>
            <w:tcW w:w="939" w:type="dxa"/>
            <w:tcBorders>
              <w:top w:val="nil"/>
              <w:left w:val="nil"/>
              <w:bottom w:val="nil"/>
              <w:right w:val="nil"/>
            </w:tcBorders>
            <w:shd w:val="clear" w:color="auto" w:fill="auto"/>
            <w:noWrap/>
            <w:vAlign w:val="center"/>
            <w:hideMark/>
          </w:tcPr>
          <w:p w14:paraId="0F7D06C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0.008</w:t>
            </w:r>
          </w:p>
        </w:tc>
        <w:tc>
          <w:tcPr>
            <w:tcW w:w="994" w:type="dxa"/>
            <w:tcBorders>
              <w:top w:val="nil"/>
              <w:left w:val="nil"/>
              <w:bottom w:val="nil"/>
              <w:right w:val="nil"/>
            </w:tcBorders>
            <w:shd w:val="clear" w:color="auto" w:fill="auto"/>
            <w:noWrap/>
            <w:vAlign w:val="center"/>
            <w:hideMark/>
          </w:tcPr>
          <w:p w14:paraId="4A7A04B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-4.951</w:t>
            </w:r>
          </w:p>
        </w:tc>
        <w:tc>
          <w:tcPr>
            <w:tcW w:w="944" w:type="dxa"/>
            <w:tcBorders>
              <w:top w:val="nil"/>
              <w:left w:val="nil"/>
              <w:bottom w:val="nil"/>
              <w:right w:val="single" w:sz="4" w:space="0" w:color="auto"/>
            </w:tcBorders>
            <w:shd w:val="clear" w:color="auto" w:fill="auto"/>
            <w:noWrap/>
            <w:vAlign w:val="center"/>
            <w:hideMark/>
          </w:tcPr>
          <w:p w14:paraId="4612D291" w14:textId="5A937BF6"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-6.19</w:t>
            </w:r>
            <w:r w:rsidR="00BA4657">
              <w:rPr>
                <w:rFonts w:ascii="Calibri" w:eastAsia="Times New Roman" w:hAnsi="Calibri" w:cs="Calibri"/>
                <w:color w:val="000000"/>
                <w:sz w:val="18"/>
                <w:szCs w:val="18"/>
                <w:lang w:eastAsia="en-IE"/>
              </w:rPr>
              <w:t>0</w:t>
            </w:r>
          </w:p>
        </w:tc>
      </w:tr>
      <w:tr w:rsidR="00ED02A4" w:rsidRPr="00AC0EE7" w14:paraId="73E42C8C"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0510170"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lastRenderedPageBreak/>
              <w:t>-2.623</w:t>
            </w:r>
          </w:p>
        </w:tc>
        <w:tc>
          <w:tcPr>
            <w:tcW w:w="934" w:type="dxa"/>
            <w:tcBorders>
              <w:top w:val="nil"/>
              <w:left w:val="nil"/>
              <w:bottom w:val="nil"/>
              <w:right w:val="nil"/>
            </w:tcBorders>
            <w:shd w:val="clear" w:color="auto" w:fill="auto"/>
            <w:noWrap/>
            <w:vAlign w:val="center"/>
            <w:hideMark/>
          </w:tcPr>
          <w:p w14:paraId="2EB0EC0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-5.803</w:t>
            </w:r>
          </w:p>
        </w:tc>
        <w:tc>
          <w:tcPr>
            <w:tcW w:w="960" w:type="dxa"/>
            <w:tcBorders>
              <w:top w:val="nil"/>
              <w:left w:val="nil"/>
              <w:bottom w:val="nil"/>
              <w:right w:val="nil"/>
            </w:tcBorders>
            <w:shd w:val="clear" w:color="auto" w:fill="auto"/>
            <w:noWrap/>
            <w:vAlign w:val="center"/>
            <w:hideMark/>
          </w:tcPr>
          <w:p w14:paraId="545C515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-2.012</w:t>
            </w:r>
          </w:p>
        </w:tc>
        <w:tc>
          <w:tcPr>
            <w:tcW w:w="956" w:type="dxa"/>
            <w:tcBorders>
              <w:top w:val="nil"/>
              <w:left w:val="nil"/>
              <w:bottom w:val="nil"/>
              <w:right w:val="nil"/>
            </w:tcBorders>
            <w:shd w:val="clear" w:color="auto" w:fill="auto"/>
            <w:noWrap/>
            <w:vAlign w:val="center"/>
            <w:hideMark/>
          </w:tcPr>
          <w:p w14:paraId="74A94D4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-2.579</w:t>
            </w:r>
          </w:p>
        </w:tc>
        <w:tc>
          <w:tcPr>
            <w:tcW w:w="954" w:type="dxa"/>
            <w:tcBorders>
              <w:top w:val="nil"/>
              <w:left w:val="nil"/>
              <w:bottom w:val="nil"/>
              <w:right w:val="nil"/>
            </w:tcBorders>
            <w:shd w:val="clear" w:color="auto" w:fill="auto"/>
            <w:noWrap/>
            <w:vAlign w:val="center"/>
            <w:hideMark/>
          </w:tcPr>
          <w:p w14:paraId="1E073C85"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-6.085</w:t>
            </w:r>
          </w:p>
        </w:tc>
        <w:tc>
          <w:tcPr>
            <w:tcW w:w="939" w:type="dxa"/>
            <w:tcBorders>
              <w:top w:val="nil"/>
              <w:left w:val="nil"/>
              <w:bottom w:val="nil"/>
              <w:right w:val="nil"/>
            </w:tcBorders>
            <w:shd w:val="clear" w:color="auto" w:fill="auto"/>
            <w:noWrap/>
            <w:vAlign w:val="center"/>
            <w:hideMark/>
          </w:tcPr>
          <w:p w14:paraId="16A980FA" w14:textId="6BF99166"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0.205</w:t>
            </w:r>
          </w:p>
        </w:tc>
        <w:tc>
          <w:tcPr>
            <w:tcW w:w="994" w:type="dxa"/>
            <w:tcBorders>
              <w:top w:val="nil"/>
              <w:left w:val="nil"/>
              <w:bottom w:val="nil"/>
              <w:right w:val="nil"/>
            </w:tcBorders>
            <w:shd w:val="clear" w:color="auto" w:fill="auto"/>
            <w:noWrap/>
            <w:vAlign w:val="center"/>
            <w:hideMark/>
          </w:tcPr>
          <w:p w14:paraId="7FC5B54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-4.419</w:t>
            </w:r>
          </w:p>
        </w:tc>
        <w:tc>
          <w:tcPr>
            <w:tcW w:w="944" w:type="dxa"/>
            <w:tcBorders>
              <w:top w:val="nil"/>
              <w:left w:val="nil"/>
              <w:bottom w:val="nil"/>
              <w:right w:val="single" w:sz="4" w:space="0" w:color="auto"/>
            </w:tcBorders>
            <w:shd w:val="clear" w:color="auto" w:fill="auto"/>
            <w:noWrap/>
            <w:vAlign w:val="center"/>
            <w:hideMark/>
          </w:tcPr>
          <w:p w14:paraId="5EC98445" w14:textId="67077C15"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-4.15</w:t>
            </w:r>
            <w:r w:rsidR="00BA4657">
              <w:rPr>
                <w:rFonts w:ascii="Calibri" w:eastAsia="Times New Roman" w:hAnsi="Calibri" w:cs="Calibri"/>
                <w:b/>
                <w:bCs/>
                <w:i/>
                <w:iCs/>
                <w:color w:val="000000"/>
                <w:sz w:val="18"/>
                <w:szCs w:val="18"/>
                <w:lang w:eastAsia="en-IE"/>
              </w:rPr>
              <w:t>0</w:t>
            </w:r>
          </w:p>
        </w:tc>
      </w:tr>
      <w:tr w:rsidR="00ED02A4" w:rsidRPr="00AC0EE7" w14:paraId="79E6BA04"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38DDCC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Finland</w:t>
            </w:r>
          </w:p>
        </w:tc>
        <w:tc>
          <w:tcPr>
            <w:tcW w:w="934" w:type="dxa"/>
            <w:tcBorders>
              <w:top w:val="nil"/>
              <w:left w:val="nil"/>
              <w:bottom w:val="nil"/>
              <w:right w:val="nil"/>
            </w:tcBorders>
            <w:shd w:val="clear" w:color="auto" w:fill="auto"/>
            <w:noWrap/>
            <w:vAlign w:val="center"/>
            <w:hideMark/>
          </w:tcPr>
          <w:p w14:paraId="445AFFE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France</w:t>
            </w:r>
          </w:p>
        </w:tc>
        <w:tc>
          <w:tcPr>
            <w:tcW w:w="960" w:type="dxa"/>
            <w:tcBorders>
              <w:top w:val="nil"/>
              <w:left w:val="nil"/>
              <w:bottom w:val="nil"/>
              <w:right w:val="nil"/>
            </w:tcBorders>
            <w:shd w:val="clear" w:color="auto" w:fill="auto"/>
            <w:noWrap/>
            <w:vAlign w:val="center"/>
            <w:hideMark/>
          </w:tcPr>
          <w:p w14:paraId="721728D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Germany</w:t>
            </w:r>
          </w:p>
        </w:tc>
        <w:tc>
          <w:tcPr>
            <w:tcW w:w="956" w:type="dxa"/>
            <w:tcBorders>
              <w:top w:val="nil"/>
              <w:left w:val="nil"/>
              <w:bottom w:val="nil"/>
              <w:right w:val="nil"/>
            </w:tcBorders>
            <w:shd w:val="clear" w:color="auto" w:fill="auto"/>
            <w:noWrap/>
            <w:vAlign w:val="center"/>
            <w:hideMark/>
          </w:tcPr>
          <w:p w14:paraId="7D8597B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Ireland</w:t>
            </w:r>
          </w:p>
        </w:tc>
        <w:tc>
          <w:tcPr>
            <w:tcW w:w="954" w:type="dxa"/>
            <w:tcBorders>
              <w:top w:val="nil"/>
              <w:left w:val="nil"/>
              <w:bottom w:val="nil"/>
              <w:right w:val="nil"/>
            </w:tcBorders>
            <w:shd w:val="clear" w:color="auto" w:fill="auto"/>
            <w:noWrap/>
            <w:vAlign w:val="center"/>
            <w:hideMark/>
          </w:tcPr>
          <w:p w14:paraId="091B285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Italy</w:t>
            </w:r>
          </w:p>
        </w:tc>
        <w:tc>
          <w:tcPr>
            <w:tcW w:w="939" w:type="dxa"/>
            <w:tcBorders>
              <w:top w:val="nil"/>
              <w:left w:val="nil"/>
              <w:bottom w:val="nil"/>
              <w:right w:val="nil"/>
            </w:tcBorders>
            <w:shd w:val="clear" w:color="auto" w:fill="auto"/>
            <w:noWrap/>
            <w:vAlign w:val="center"/>
            <w:hideMark/>
          </w:tcPr>
          <w:p w14:paraId="71E6929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Japan</w:t>
            </w:r>
          </w:p>
        </w:tc>
        <w:tc>
          <w:tcPr>
            <w:tcW w:w="994" w:type="dxa"/>
            <w:tcBorders>
              <w:top w:val="nil"/>
              <w:left w:val="nil"/>
              <w:bottom w:val="nil"/>
              <w:right w:val="nil"/>
            </w:tcBorders>
            <w:shd w:val="clear" w:color="auto" w:fill="auto"/>
            <w:noWrap/>
            <w:vAlign w:val="center"/>
            <w:hideMark/>
          </w:tcPr>
          <w:p w14:paraId="3592FC5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Mexico</w:t>
            </w:r>
          </w:p>
        </w:tc>
        <w:tc>
          <w:tcPr>
            <w:tcW w:w="944" w:type="dxa"/>
            <w:tcBorders>
              <w:top w:val="nil"/>
              <w:left w:val="nil"/>
              <w:bottom w:val="nil"/>
              <w:right w:val="single" w:sz="4" w:space="0" w:color="auto"/>
            </w:tcBorders>
            <w:shd w:val="clear" w:color="auto" w:fill="auto"/>
            <w:noWrap/>
            <w:vAlign w:val="center"/>
            <w:hideMark/>
          </w:tcPr>
          <w:p w14:paraId="62E803C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Netherlands</w:t>
            </w:r>
          </w:p>
        </w:tc>
      </w:tr>
      <w:tr w:rsidR="00ED02A4" w:rsidRPr="00AC0EE7" w14:paraId="423D4BAE"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37B36E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-1.675</w:t>
            </w:r>
          </w:p>
        </w:tc>
        <w:tc>
          <w:tcPr>
            <w:tcW w:w="934" w:type="dxa"/>
            <w:tcBorders>
              <w:top w:val="nil"/>
              <w:left w:val="nil"/>
              <w:bottom w:val="nil"/>
              <w:right w:val="nil"/>
            </w:tcBorders>
            <w:shd w:val="clear" w:color="auto" w:fill="auto"/>
            <w:noWrap/>
            <w:vAlign w:val="center"/>
            <w:hideMark/>
          </w:tcPr>
          <w:p w14:paraId="48F5CA6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-4.871</w:t>
            </w:r>
          </w:p>
        </w:tc>
        <w:tc>
          <w:tcPr>
            <w:tcW w:w="960" w:type="dxa"/>
            <w:tcBorders>
              <w:top w:val="nil"/>
              <w:left w:val="nil"/>
              <w:bottom w:val="nil"/>
              <w:right w:val="nil"/>
            </w:tcBorders>
            <w:shd w:val="clear" w:color="auto" w:fill="auto"/>
            <w:noWrap/>
            <w:vAlign w:val="center"/>
            <w:hideMark/>
          </w:tcPr>
          <w:p w14:paraId="1861C74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-0.566</w:t>
            </w:r>
          </w:p>
        </w:tc>
        <w:tc>
          <w:tcPr>
            <w:tcW w:w="956" w:type="dxa"/>
            <w:tcBorders>
              <w:top w:val="nil"/>
              <w:left w:val="nil"/>
              <w:bottom w:val="nil"/>
              <w:right w:val="nil"/>
            </w:tcBorders>
            <w:shd w:val="clear" w:color="auto" w:fill="auto"/>
            <w:noWrap/>
            <w:vAlign w:val="center"/>
            <w:hideMark/>
          </w:tcPr>
          <w:p w14:paraId="7A25BE2F" w14:textId="25302B2A"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-1.02</w:t>
            </w:r>
            <w:r w:rsidR="00BA4657">
              <w:rPr>
                <w:rFonts w:ascii="Calibri" w:eastAsia="Times New Roman" w:hAnsi="Calibri" w:cs="Calibri"/>
                <w:color w:val="000000"/>
                <w:sz w:val="18"/>
                <w:szCs w:val="18"/>
                <w:lang w:eastAsia="en-IE"/>
              </w:rPr>
              <w:t>0</w:t>
            </w:r>
          </w:p>
        </w:tc>
        <w:tc>
          <w:tcPr>
            <w:tcW w:w="954" w:type="dxa"/>
            <w:tcBorders>
              <w:top w:val="nil"/>
              <w:left w:val="nil"/>
              <w:bottom w:val="nil"/>
              <w:right w:val="nil"/>
            </w:tcBorders>
            <w:shd w:val="clear" w:color="auto" w:fill="auto"/>
            <w:noWrap/>
            <w:vAlign w:val="center"/>
            <w:hideMark/>
          </w:tcPr>
          <w:p w14:paraId="14FE0C6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-2.064</w:t>
            </w:r>
          </w:p>
        </w:tc>
        <w:tc>
          <w:tcPr>
            <w:tcW w:w="939" w:type="dxa"/>
            <w:tcBorders>
              <w:top w:val="nil"/>
              <w:left w:val="nil"/>
              <w:bottom w:val="nil"/>
              <w:right w:val="nil"/>
            </w:tcBorders>
            <w:shd w:val="clear" w:color="auto" w:fill="auto"/>
            <w:noWrap/>
            <w:vAlign w:val="center"/>
            <w:hideMark/>
          </w:tcPr>
          <w:p w14:paraId="712ECAD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-0.766</w:t>
            </w:r>
          </w:p>
        </w:tc>
        <w:tc>
          <w:tcPr>
            <w:tcW w:w="994" w:type="dxa"/>
            <w:tcBorders>
              <w:top w:val="nil"/>
              <w:left w:val="nil"/>
              <w:bottom w:val="nil"/>
              <w:right w:val="nil"/>
            </w:tcBorders>
            <w:shd w:val="clear" w:color="auto" w:fill="auto"/>
            <w:noWrap/>
            <w:vAlign w:val="center"/>
            <w:hideMark/>
          </w:tcPr>
          <w:p w14:paraId="2B29A5B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-12.176</w:t>
            </w:r>
          </w:p>
        </w:tc>
        <w:tc>
          <w:tcPr>
            <w:tcW w:w="944" w:type="dxa"/>
            <w:tcBorders>
              <w:top w:val="nil"/>
              <w:left w:val="nil"/>
              <w:bottom w:val="nil"/>
              <w:right w:val="single" w:sz="4" w:space="0" w:color="auto"/>
            </w:tcBorders>
            <w:shd w:val="clear" w:color="auto" w:fill="auto"/>
            <w:noWrap/>
            <w:vAlign w:val="center"/>
            <w:hideMark/>
          </w:tcPr>
          <w:p w14:paraId="77C7ACC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-3.454</w:t>
            </w:r>
          </w:p>
        </w:tc>
      </w:tr>
      <w:tr w:rsidR="00ED02A4" w:rsidRPr="00AC0EE7" w14:paraId="7A606593"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48D1AD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-3.084</w:t>
            </w:r>
          </w:p>
        </w:tc>
        <w:tc>
          <w:tcPr>
            <w:tcW w:w="934" w:type="dxa"/>
            <w:tcBorders>
              <w:top w:val="nil"/>
              <w:left w:val="nil"/>
              <w:bottom w:val="nil"/>
              <w:right w:val="nil"/>
            </w:tcBorders>
            <w:shd w:val="clear" w:color="auto" w:fill="auto"/>
            <w:noWrap/>
            <w:vAlign w:val="center"/>
            <w:hideMark/>
          </w:tcPr>
          <w:p w14:paraId="744A9E2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-4.139</w:t>
            </w:r>
          </w:p>
        </w:tc>
        <w:tc>
          <w:tcPr>
            <w:tcW w:w="960" w:type="dxa"/>
            <w:tcBorders>
              <w:top w:val="nil"/>
              <w:left w:val="nil"/>
              <w:bottom w:val="nil"/>
              <w:right w:val="nil"/>
            </w:tcBorders>
            <w:shd w:val="clear" w:color="auto" w:fill="auto"/>
            <w:noWrap/>
            <w:vAlign w:val="center"/>
            <w:hideMark/>
          </w:tcPr>
          <w:p w14:paraId="6DA1993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-1.133</w:t>
            </w:r>
          </w:p>
        </w:tc>
        <w:tc>
          <w:tcPr>
            <w:tcW w:w="956" w:type="dxa"/>
            <w:tcBorders>
              <w:top w:val="nil"/>
              <w:left w:val="nil"/>
              <w:bottom w:val="nil"/>
              <w:right w:val="nil"/>
            </w:tcBorders>
            <w:shd w:val="clear" w:color="auto" w:fill="auto"/>
            <w:noWrap/>
            <w:vAlign w:val="center"/>
            <w:hideMark/>
          </w:tcPr>
          <w:p w14:paraId="6B80314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-2.899</w:t>
            </w:r>
          </w:p>
        </w:tc>
        <w:tc>
          <w:tcPr>
            <w:tcW w:w="954" w:type="dxa"/>
            <w:tcBorders>
              <w:top w:val="nil"/>
              <w:left w:val="nil"/>
              <w:bottom w:val="nil"/>
              <w:right w:val="nil"/>
            </w:tcBorders>
            <w:shd w:val="clear" w:color="auto" w:fill="auto"/>
            <w:noWrap/>
            <w:vAlign w:val="center"/>
            <w:hideMark/>
          </w:tcPr>
          <w:p w14:paraId="2FEFE16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-3.386</w:t>
            </w:r>
          </w:p>
        </w:tc>
        <w:tc>
          <w:tcPr>
            <w:tcW w:w="939" w:type="dxa"/>
            <w:tcBorders>
              <w:top w:val="nil"/>
              <w:left w:val="nil"/>
              <w:bottom w:val="nil"/>
              <w:right w:val="nil"/>
            </w:tcBorders>
            <w:shd w:val="clear" w:color="auto" w:fill="auto"/>
            <w:noWrap/>
            <w:vAlign w:val="center"/>
            <w:hideMark/>
          </w:tcPr>
          <w:p w14:paraId="20A6766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-1.749</w:t>
            </w:r>
          </w:p>
        </w:tc>
        <w:tc>
          <w:tcPr>
            <w:tcW w:w="994" w:type="dxa"/>
            <w:tcBorders>
              <w:top w:val="nil"/>
              <w:left w:val="nil"/>
              <w:bottom w:val="nil"/>
              <w:right w:val="nil"/>
            </w:tcBorders>
            <w:shd w:val="clear" w:color="auto" w:fill="auto"/>
            <w:noWrap/>
            <w:vAlign w:val="center"/>
            <w:hideMark/>
          </w:tcPr>
          <w:p w14:paraId="2D18DBF5" w14:textId="43F4B590"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-1.85</w:t>
            </w:r>
            <w:r w:rsidR="00BA4657">
              <w:rPr>
                <w:rFonts w:ascii="Calibri" w:eastAsia="Times New Roman" w:hAnsi="Calibri" w:cs="Calibri"/>
                <w:b/>
                <w:bCs/>
                <w:i/>
                <w:iCs/>
                <w:color w:val="000000"/>
                <w:sz w:val="18"/>
                <w:szCs w:val="18"/>
                <w:lang w:eastAsia="en-IE"/>
              </w:rPr>
              <w:t>0</w:t>
            </w:r>
          </w:p>
        </w:tc>
        <w:tc>
          <w:tcPr>
            <w:tcW w:w="944" w:type="dxa"/>
            <w:tcBorders>
              <w:top w:val="nil"/>
              <w:left w:val="nil"/>
              <w:bottom w:val="nil"/>
              <w:right w:val="single" w:sz="4" w:space="0" w:color="auto"/>
            </w:tcBorders>
            <w:shd w:val="clear" w:color="auto" w:fill="auto"/>
            <w:noWrap/>
            <w:vAlign w:val="center"/>
            <w:hideMark/>
          </w:tcPr>
          <w:p w14:paraId="2DBB029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-5.115</w:t>
            </w:r>
          </w:p>
        </w:tc>
      </w:tr>
      <w:tr w:rsidR="00ED02A4" w:rsidRPr="00AC0EE7" w14:paraId="20B37709"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F25B41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New Zealand</w:t>
            </w:r>
          </w:p>
        </w:tc>
        <w:tc>
          <w:tcPr>
            <w:tcW w:w="934" w:type="dxa"/>
            <w:tcBorders>
              <w:top w:val="nil"/>
              <w:left w:val="nil"/>
              <w:bottom w:val="nil"/>
              <w:right w:val="nil"/>
            </w:tcBorders>
            <w:shd w:val="clear" w:color="auto" w:fill="auto"/>
            <w:noWrap/>
            <w:vAlign w:val="center"/>
            <w:hideMark/>
          </w:tcPr>
          <w:p w14:paraId="447B6BD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Norway</w:t>
            </w:r>
          </w:p>
        </w:tc>
        <w:tc>
          <w:tcPr>
            <w:tcW w:w="960" w:type="dxa"/>
            <w:tcBorders>
              <w:top w:val="nil"/>
              <w:left w:val="nil"/>
              <w:bottom w:val="nil"/>
              <w:right w:val="nil"/>
            </w:tcBorders>
            <w:shd w:val="clear" w:color="auto" w:fill="auto"/>
            <w:noWrap/>
            <w:vAlign w:val="center"/>
            <w:hideMark/>
          </w:tcPr>
          <w:p w14:paraId="4DE3FC0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Poland</w:t>
            </w:r>
          </w:p>
        </w:tc>
        <w:tc>
          <w:tcPr>
            <w:tcW w:w="956" w:type="dxa"/>
            <w:tcBorders>
              <w:top w:val="nil"/>
              <w:left w:val="nil"/>
              <w:bottom w:val="nil"/>
              <w:right w:val="nil"/>
            </w:tcBorders>
            <w:shd w:val="clear" w:color="auto" w:fill="auto"/>
            <w:noWrap/>
            <w:vAlign w:val="center"/>
            <w:hideMark/>
          </w:tcPr>
          <w:p w14:paraId="3E478C5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Portugal</w:t>
            </w:r>
          </w:p>
        </w:tc>
        <w:tc>
          <w:tcPr>
            <w:tcW w:w="954" w:type="dxa"/>
            <w:tcBorders>
              <w:top w:val="nil"/>
              <w:left w:val="nil"/>
              <w:bottom w:val="nil"/>
              <w:right w:val="nil"/>
            </w:tcBorders>
            <w:shd w:val="clear" w:color="auto" w:fill="auto"/>
            <w:noWrap/>
            <w:vAlign w:val="center"/>
            <w:hideMark/>
          </w:tcPr>
          <w:p w14:paraId="59E0384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South Africa</w:t>
            </w:r>
          </w:p>
        </w:tc>
        <w:tc>
          <w:tcPr>
            <w:tcW w:w="939" w:type="dxa"/>
            <w:tcBorders>
              <w:top w:val="nil"/>
              <w:left w:val="nil"/>
              <w:bottom w:val="nil"/>
              <w:right w:val="nil"/>
            </w:tcBorders>
            <w:shd w:val="clear" w:color="auto" w:fill="auto"/>
            <w:noWrap/>
            <w:vAlign w:val="center"/>
            <w:hideMark/>
          </w:tcPr>
          <w:p w14:paraId="09DCD97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Spain</w:t>
            </w:r>
          </w:p>
        </w:tc>
        <w:tc>
          <w:tcPr>
            <w:tcW w:w="994" w:type="dxa"/>
            <w:tcBorders>
              <w:top w:val="nil"/>
              <w:left w:val="nil"/>
              <w:bottom w:val="nil"/>
              <w:right w:val="nil"/>
            </w:tcBorders>
            <w:shd w:val="clear" w:color="auto" w:fill="auto"/>
            <w:noWrap/>
            <w:vAlign w:val="center"/>
            <w:hideMark/>
          </w:tcPr>
          <w:p w14:paraId="7890390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Sweden</w:t>
            </w:r>
          </w:p>
        </w:tc>
        <w:tc>
          <w:tcPr>
            <w:tcW w:w="944" w:type="dxa"/>
            <w:tcBorders>
              <w:top w:val="nil"/>
              <w:left w:val="nil"/>
              <w:bottom w:val="nil"/>
              <w:right w:val="single" w:sz="4" w:space="0" w:color="auto"/>
            </w:tcBorders>
            <w:shd w:val="clear" w:color="auto" w:fill="auto"/>
            <w:noWrap/>
            <w:vAlign w:val="center"/>
            <w:hideMark/>
          </w:tcPr>
          <w:p w14:paraId="4FE85FE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Switzerland</w:t>
            </w:r>
          </w:p>
        </w:tc>
      </w:tr>
      <w:tr w:rsidR="00ED02A4" w:rsidRPr="00AC0EE7" w14:paraId="4D52C9A1"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FEA598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-2.555</w:t>
            </w:r>
          </w:p>
        </w:tc>
        <w:tc>
          <w:tcPr>
            <w:tcW w:w="934" w:type="dxa"/>
            <w:tcBorders>
              <w:top w:val="nil"/>
              <w:left w:val="nil"/>
              <w:bottom w:val="nil"/>
              <w:right w:val="nil"/>
            </w:tcBorders>
            <w:shd w:val="clear" w:color="auto" w:fill="auto"/>
            <w:noWrap/>
            <w:vAlign w:val="center"/>
            <w:hideMark/>
          </w:tcPr>
          <w:p w14:paraId="7C787D6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-1.812</w:t>
            </w:r>
          </w:p>
        </w:tc>
        <w:tc>
          <w:tcPr>
            <w:tcW w:w="960" w:type="dxa"/>
            <w:tcBorders>
              <w:top w:val="nil"/>
              <w:left w:val="nil"/>
              <w:bottom w:val="nil"/>
              <w:right w:val="nil"/>
            </w:tcBorders>
            <w:shd w:val="clear" w:color="auto" w:fill="auto"/>
            <w:noWrap/>
            <w:vAlign w:val="center"/>
            <w:hideMark/>
          </w:tcPr>
          <w:p w14:paraId="356FECE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-7.042</w:t>
            </w:r>
          </w:p>
        </w:tc>
        <w:tc>
          <w:tcPr>
            <w:tcW w:w="956" w:type="dxa"/>
            <w:tcBorders>
              <w:top w:val="nil"/>
              <w:left w:val="nil"/>
              <w:bottom w:val="nil"/>
              <w:right w:val="nil"/>
            </w:tcBorders>
            <w:shd w:val="clear" w:color="auto" w:fill="auto"/>
            <w:noWrap/>
            <w:vAlign w:val="center"/>
            <w:hideMark/>
          </w:tcPr>
          <w:p w14:paraId="21E11A63" w14:textId="1DE61DD8"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-1.67</w:t>
            </w:r>
            <w:r w:rsidR="00BA4657">
              <w:rPr>
                <w:rFonts w:ascii="Calibri" w:eastAsia="Times New Roman" w:hAnsi="Calibri" w:cs="Calibri"/>
                <w:color w:val="000000"/>
                <w:sz w:val="18"/>
                <w:szCs w:val="18"/>
                <w:lang w:eastAsia="en-IE"/>
              </w:rPr>
              <w:t>0</w:t>
            </w:r>
          </w:p>
        </w:tc>
        <w:tc>
          <w:tcPr>
            <w:tcW w:w="954" w:type="dxa"/>
            <w:tcBorders>
              <w:top w:val="nil"/>
              <w:left w:val="nil"/>
              <w:bottom w:val="nil"/>
              <w:right w:val="nil"/>
            </w:tcBorders>
            <w:shd w:val="clear" w:color="auto" w:fill="auto"/>
            <w:noWrap/>
            <w:vAlign w:val="center"/>
            <w:hideMark/>
          </w:tcPr>
          <w:p w14:paraId="53BE1D15" w14:textId="2013BAB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-5.64</w:t>
            </w:r>
            <w:r w:rsidR="00BA4657">
              <w:rPr>
                <w:rFonts w:ascii="Calibri" w:eastAsia="Times New Roman" w:hAnsi="Calibri" w:cs="Calibri"/>
                <w:color w:val="000000"/>
                <w:sz w:val="18"/>
                <w:szCs w:val="18"/>
                <w:lang w:eastAsia="en-IE"/>
              </w:rPr>
              <w:t>0</w:t>
            </w:r>
          </w:p>
        </w:tc>
        <w:tc>
          <w:tcPr>
            <w:tcW w:w="939" w:type="dxa"/>
            <w:tcBorders>
              <w:top w:val="nil"/>
              <w:left w:val="nil"/>
              <w:bottom w:val="nil"/>
              <w:right w:val="nil"/>
            </w:tcBorders>
            <w:shd w:val="clear" w:color="auto" w:fill="auto"/>
            <w:noWrap/>
            <w:vAlign w:val="center"/>
            <w:hideMark/>
          </w:tcPr>
          <w:p w14:paraId="3F6E95A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-1.786</w:t>
            </w:r>
          </w:p>
        </w:tc>
        <w:tc>
          <w:tcPr>
            <w:tcW w:w="994" w:type="dxa"/>
            <w:tcBorders>
              <w:top w:val="nil"/>
              <w:left w:val="nil"/>
              <w:bottom w:val="nil"/>
              <w:right w:val="nil"/>
            </w:tcBorders>
            <w:shd w:val="clear" w:color="auto" w:fill="auto"/>
            <w:noWrap/>
            <w:vAlign w:val="center"/>
            <w:hideMark/>
          </w:tcPr>
          <w:p w14:paraId="10701E8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-3.298</w:t>
            </w:r>
          </w:p>
        </w:tc>
        <w:tc>
          <w:tcPr>
            <w:tcW w:w="944" w:type="dxa"/>
            <w:tcBorders>
              <w:top w:val="nil"/>
              <w:left w:val="nil"/>
              <w:bottom w:val="nil"/>
              <w:right w:val="single" w:sz="4" w:space="0" w:color="auto"/>
            </w:tcBorders>
            <w:shd w:val="clear" w:color="auto" w:fill="auto"/>
            <w:noWrap/>
            <w:vAlign w:val="center"/>
            <w:hideMark/>
          </w:tcPr>
          <w:p w14:paraId="384F17D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-0.153</w:t>
            </w:r>
          </w:p>
        </w:tc>
      </w:tr>
      <w:tr w:rsidR="00ED02A4" w:rsidRPr="00AC0EE7" w14:paraId="6B063EEC"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C0E119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-6.124</w:t>
            </w:r>
          </w:p>
        </w:tc>
        <w:tc>
          <w:tcPr>
            <w:tcW w:w="934" w:type="dxa"/>
            <w:tcBorders>
              <w:top w:val="nil"/>
              <w:left w:val="nil"/>
              <w:bottom w:val="nil"/>
              <w:right w:val="nil"/>
            </w:tcBorders>
            <w:shd w:val="clear" w:color="auto" w:fill="auto"/>
            <w:noWrap/>
            <w:vAlign w:val="center"/>
            <w:hideMark/>
          </w:tcPr>
          <w:p w14:paraId="42C66BA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-3.923</w:t>
            </w:r>
          </w:p>
        </w:tc>
        <w:tc>
          <w:tcPr>
            <w:tcW w:w="960" w:type="dxa"/>
            <w:tcBorders>
              <w:top w:val="nil"/>
              <w:left w:val="nil"/>
              <w:bottom w:val="nil"/>
              <w:right w:val="nil"/>
            </w:tcBorders>
            <w:shd w:val="clear" w:color="auto" w:fill="auto"/>
            <w:noWrap/>
            <w:vAlign w:val="center"/>
            <w:hideMark/>
          </w:tcPr>
          <w:p w14:paraId="511BF72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-8.776</w:t>
            </w:r>
          </w:p>
        </w:tc>
        <w:tc>
          <w:tcPr>
            <w:tcW w:w="956" w:type="dxa"/>
            <w:tcBorders>
              <w:top w:val="nil"/>
              <w:left w:val="nil"/>
              <w:bottom w:val="nil"/>
              <w:right w:val="nil"/>
            </w:tcBorders>
            <w:shd w:val="clear" w:color="auto" w:fill="auto"/>
            <w:noWrap/>
            <w:vAlign w:val="center"/>
            <w:hideMark/>
          </w:tcPr>
          <w:p w14:paraId="38E549B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-3.462</w:t>
            </w:r>
          </w:p>
        </w:tc>
        <w:tc>
          <w:tcPr>
            <w:tcW w:w="954" w:type="dxa"/>
            <w:tcBorders>
              <w:top w:val="nil"/>
              <w:left w:val="nil"/>
              <w:bottom w:val="nil"/>
              <w:right w:val="nil"/>
            </w:tcBorders>
            <w:shd w:val="clear" w:color="auto" w:fill="auto"/>
            <w:noWrap/>
            <w:vAlign w:val="center"/>
            <w:hideMark/>
          </w:tcPr>
          <w:p w14:paraId="4F49D44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-6.381</w:t>
            </w:r>
          </w:p>
        </w:tc>
        <w:tc>
          <w:tcPr>
            <w:tcW w:w="939" w:type="dxa"/>
            <w:tcBorders>
              <w:top w:val="nil"/>
              <w:left w:val="nil"/>
              <w:bottom w:val="nil"/>
              <w:right w:val="nil"/>
            </w:tcBorders>
            <w:shd w:val="clear" w:color="auto" w:fill="auto"/>
            <w:noWrap/>
            <w:vAlign w:val="center"/>
            <w:hideMark/>
          </w:tcPr>
          <w:p w14:paraId="5E62CAF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-4.082</w:t>
            </w:r>
          </w:p>
        </w:tc>
        <w:tc>
          <w:tcPr>
            <w:tcW w:w="994" w:type="dxa"/>
            <w:tcBorders>
              <w:top w:val="nil"/>
              <w:left w:val="nil"/>
              <w:bottom w:val="nil"/>
              <w:right w:val="nil"/>
            </w:tcBorders>
            <w:shd w:val="clear" w:color="auto" w:fill="auto"/>
            <w:noWrap/>
            <w:vAlign w:val="center"/>
            <w:hideMark/>
          </w:tcPr>
          <w:p w14:paraId="0F105D24" w14:textId="2FEED0C1"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-6.33</w:t>
            </w:r>
            <w:r w:rsidR="00BA4657">
              <w:rPr>
                <w:rFonts w:ascii="Calibri" w:eastAsia="Times New Roman" w:hAnsi="Calibri" w:cs="Calibri"/>
                <w:b/>
                <w:bCs/>
                <w:i/>
                <w:iCs/>
                <w:color w:val="000000"/>
                <w:sz w:val="18"/>
                <w:szCs w:val="18"/>
                <w:lang w:eastAsia="en-IE"/>
              </w:rPr>
              <w:t>0</w:t>
            </w:r>
          </w:p>
        </w:tc>
        <w:tc>
          <w:tcPr>
            <w:tcW w:w="944" w:type="dxa"/>
            <w:tcBorders>
              <w:top w:val="nil"/>
              <w:left w:val="nil"/>
              <w:bottom w:val="nil"/>
              <w:right w:val="single" w:sz="4" w:space="0" w:color="auto"/>
            </w:tcBorders>
            <w:shd w:val="clear" w:color="auto" w:fill="auto"/>
            <w:noWrap/>
            <w:vAlign w:val="center"/>
            <w:hideMark/>
          </w:tcPr>
          <w:p w14:paraId="01D1DC8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-0.393</w:t>
            </w:r>
          </w:p>
        </w:tc>
      </w:tr>
      <w:tr w:rsidR="00ED02A4" w:rsidRPr="00AC0EE7" w14:paraId="27B56908"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9A8C4B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UK</w:t>
            </w:r>
          </w:p>
        </w:tc>
        <w:tc>
          <w:tcPr>
            <w:tcW w:w="934" w:type="dxa"/>
            <w:tcBorders>
              <w:top w:val="nil"/>
              <w:left w:val="nil"/>
              <w:bottom w:val="nil"/>
              <w:right w:val="nil"/>
            </w:tcBorders>
            <w:shd w:val="clear" w:color="auto" w:fill="auto"/>
            <w:noWrap/>
            <w:vAlign w:val="center"/>
            <w:hideMark/>
          </w:tcPr>
          <w:p w14:paraId="0A8EACB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US</w:t>
            </w:r>
          </w:p>
        </w:tc>
        <w:tc>
          <w:tcPr>
            <w:tcW w:w="960" w:type="dxa"/>
            <w:tcBorders>
              <w:top w:val="nil"/>
              <w:left w:val="nil"/>
              <w:bottom w:val="nil"/>
              <w:right w:val="nil"/>
            </w:tcBorders>
            <w:shd w:val="clear" w:color="auto" w:fill="auto"/>
            <w:noWrap/>
            <w:hideMark/>
          </w:tcPr>
          <w:p w14:paraId="1E84D055"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6" w:type="dxa"/>
            <w:tcBorders>
              <w:top w:val="nil"/>
              <w:left w:val="nil"/>
              <w:bottom w:val="nil"/>
              <w:right w:val="nil"/>
            </w:tcBorders>
            <w:shd w:val="clear" w:color="auto" w:fill="auto"/>
            <w:noWrap/>
            <w:hideMark/>
          </w:tcPr>
          <w:p w14:paraId="68391D46"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4" w:type="dxa"/>
            <w:tcBorders>
              <w:top w:val="nil"/>
              <w:left w:val="nil"/>
              <w:bottom w:val="nil"/>
              <w:right w:val="nil"/>
            </w:tcBorders>
            <w:shd w:val="clear" w:color="auto" w:fill="auto"/>
            <w:noWrap/>
            <w:hideMark/>
          </w:tcPr>
          <w:p w14:paraId="722502CF"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10E9AD1F"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6FA343B8"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6569D24B"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00B4764F"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58B0CF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-0.635</w:t>
            </w:r>
          </w:p>
        </w:tc>
        <w:tc>
          <w:tcPr>
            <w:tcW w:w="934" w:type="dxa"/>
            <w:tcBorders>
              <w:top w:val="nil"/>
              <w:left w:val="nil"/>
              <w:bottom w:val="nil"/>
              <w:right w:val="nil"/>
            </w:tcBorders>
            <w:shd w:val="clear" w:color="auto" w:fill="auto"/>
            <w:noWrap/>
            <w:vAlign w:val="center"/>
            <w:hideMark/>
          </w:tcPr>
          <w:p w14:paraId="727CDD8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-0.702</w:t>
            </w:r>
          </w:p>
        </w:tc>
        <w:tc>
          <w:tcPr>
            <w:tcW w:w="960" w:type="dxa"/>
            <w:tcBorders>
              <w:top w:val="nil"/>
              <w:left w:val="nil"/>
              <w:bottom w:val="nil"/>
              <w:right w:val="nil"/>
            </w:tcBorders>
            <w:shd w:val="clear" w:color="auto" w:fill="auto"/>
            <w:noWrap/>
            <w:hideMark/>
          </w:tcPr>
          <w:p w14:paraId="3B4C8699"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6" w:type="dxa"/>
            <w:tcBorders>
              <w:top w:val="nil"/>
              <w:left w:val="nil"/>
              <w:bottom w:val="nil"/>
              <w:right w:val="nil"/>
            </w:tcBorders>
            <w:shd w:val="clear" w:color="auto" w:fill="auto"/>
            <w:noWrap/>
            <w:hideMark/>
          </w:tcPr>
          <w:p w14:paraId="01D478B9"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4" w:type="dxa"/>
            <w:tcBorders>
              <w:top w:val="nil"/>
              <w:left w:val="nil"/>
              <w:bottom w:val="nil"/>
              <w:right w:val="nil"/>
            </w:tcBorders>
            <w:shd w:val="clear" w:color="auto" w:fill="auto"/>
            <w:noWrap/>
            <w:hideMark/>
          </w:tcPr>
          <w:p w14:paraId="4F27FC37"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4C03ADDD"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4431C6A2"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449E1C67"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405A4DB9"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62B74D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-2.143</w:t>
            </w:r>
          </w:p>
        </w:tc>
        <w:tc>
          <w:tcPr>
            <w:tcW w:w="934" w:type="dxa"/>
            <w:tcBorders>
              <w:top w:val="nil"/>
              <w:left w:val="nil"/>
              <w:bottom w:val="nil"/>
              <w:right w:val="nil"/>
            </w:tcBorders>
            <w:shd w:val="clear" w:color="auto" w:fill="auto"/>
            <w:noWrap/>
            <w:vAlign w:val="center"/>
            <w:hideMark/>
          </w:tcPr>
          <w:p w14:paraId="6C2E222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-2.509</w:t>
            </w:r>
          </w:p>
        </w:tc>
        <w:tc>
          <w:tcPr>
            <w:tcW w:w="960" w:type="dxa"/>
            <w:tcBorders>
              <w:top w:val="nil"/>
              <w:left w:val="nil"/>
              <w:bottom w:val="nil"/>
              <w:right w:val="nil"/>
            </w:tcBorders>
            <w:shd w:val="clear" w:color="auto" w:fill="auto"/>
            <w:noWrap/>
            <w:hideMark/>
          </w:tcPr>
          <w:p w14:paraId="40E1843B"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6" w:type="dxa"/>
            <w:tcBorders>
              <w:top w:val="nil"/>
              <w:left w:val="nil"/>
              <w:bottom w:val="nil"/>
              <w:right w:val="nil"/>
            </w:tcBorders>
            <w:shd w:val="clear" w:color="auto" w:fill="auto"/>
            <w:noWrap/>
            <w:hideMark/>
          </w:tcPr>
          <w:p w14:paraId="269A9AEF"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4" w:type="dxa"/>
            <w:tcBorders>
              <w:top w:val="nil"/>
              <w:left w:val="nil"/>
              <w:bottom w:val="nil"/>
              <w:right w:val="nil"/>
            </w:tcBorders>
            <w:shd w:val="clear" w:color="auto" w:fill="auto"/>
            <w:noWrap/>
            <w:hideMark/>
          </w:tcPr>
          <w:p w14:paraId="143691F4"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39" w:type="dxa"/>
            <w:tcBorders>
              <w:top w:val="nil"/>
              <w:left w:val="nil"/>
              <w:bottom w:val="nil"/>
              <w:right w:val="nil"/>
            </w:tcBorders>
            <w:shd w:val="clear" w:color="auto" w:fill="auto"/>
            <w:noWrap/>
            <w:hideMark/>
          </w:tcPr>
          <w:p w14:paraId="0C89E9ED"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94" w:type="dxa"/>
            <w:tcBorders>
              <w:top w:val="nil"/>
              <w:left w:val="nil"/>
              <w:bottom w:val="nil"/>
              <w:right w:val="nil"/>
            </w:tcBorders>
            <w:shd w:val="clear" w:color="auto" w:fill="auto"/>
            <w:noWrap/>
            <w:hideMark/>
          </w:tcPr>
          <w:p w14:paraId="21DFE9FD"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44" w:type="dxa"/>
            <w:tcBorders>
              <w:top w:val="nil"/>
              <w:left w:val="nil"/>
              <w:bottom w:val="nil"/>
              <w:right w:val="single" w:sz="4" w:space="0" w:color="auto"/>
            </w:tcBorders>
            <w:shd w:val="clear" w:color="auto" w:fill="auto"/>
            <w:noWrap/>
            <w:hideMark/>
          </w:tcPr>
          <w:p w14:paraId="26204DED"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r>
      <w:tr w:rsidR="00ED02A4" w:rsidRPr="00AC0EE7" w14:paraId="638E0963"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36476C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p>
        </w:tc>
        <w:tc>
          <w:tcPr>
            <w:tcW w:w="934" w:type="dxa"/>
            <w:tcBorders>
              <w:top w:val="nil"/>
              <w:left w:val="nil"/>
              <w:bottom w:val="nil"/>
              <w:right w:val="nil"/>
            </w:tcBorders>
            <w:shd w:val="clear" w:color="auto" w:fill="auto"/>
            <w:noWrap/>
            <w:vAlign w:val="center"/>
            <w:hideMark/>
          </w:tcPr>
          <w:p w14:paraId="202D1EC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p>
        </w:tc>
        <w:tc>
          <w:tcPr>
            <w:tcW w:w="960" w:type="dxa"/>
            <w:tcBorders>
              <w:top w:val="nil"/>
              <w:left w:val="nil"/>
              <w:bottom w:val="nil"/>
              <w:right w:val="nil"/>
            </w:tcBorders>
            <w:shd w:val="clear" w:color="auto" w:fill="auto"/>
            <w:noWrap/>
            <w:hideMark/>
          </w:tcPr>
          <w:p w14:paraId="7E01E558"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6" w:type="dxa"/>
            <w:tcBorders>
              <w:top w:val="nil"/>
              <w:left w:val="nil"/>
              <w:bottom w:val="nil"/>
              <w:right w:val="nil"/>
            </w:tcBorders>
            <w:shd w:val="clear" w:color="auto" w:fill="auto"/>
            <w:noWrap/>
            <w:hideMark/>
          </w:tcPr>
          <w:p w14:paraId="29C85E40"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4" w:type="dxa"/>
            <w:tcBorders>
              <w:top w:val="nil"/>
              <w:left w:val="nil"/>
              <w:bottom w:val="nil"/>
              <w:right w:val="nil"/>
            </w:tcBorders>
            <w:shd w:val="clear" w:color="auto" w:fill="auto"/>
            <w:noWrap/>
            <w:hideMark/>
          </w:tcPr>
          <w:p w14:paraId="06D48BB4"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39" w:type="dxa"/>
            <w:tcBorders>
              <w:top w:val="nil"/>
              <w:left w:val="nil"/>
              <w:bottom w:val="nil"/>
              <w:right w:val="nil"/>
            </w:tcBorders>
            <w:shd w:val="clear" w:color="auto" w:fill="auto"/>
            <w:noWrap/>
            <w:hideMark/>
          </w:tcPr>
          <w:p w14:paraId="230032B0"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94" w:type="dxa"/>
            <w:tcBorders>
              <w:top w:val="nil"/>
              <w:left w:val="nil"/>
              <w:bottom w:val="nil"/>
              <w:right w:val="nil"/>
            </w:tcBorders>
            <w:shd w:val="clear" w:color="auto" w:fill="auto"/>
            <w:noWrap/>
            <w:hideMark/>
          </w:tcPr>
          <w:p w14:paraId="59A5498D"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44" w:type="dxa"/>
            <w:tcBorders>
              <w:top w:val="nil"/>
              <w:left w:val="nil"/>
              <w:bottom w:val="nil"/>
              <w:right w:val="single" w:sz="4" w:space="0" w:color="auto"/>
            </w:tcBorders>
            <w:shd w:val="clear" w:color="auto" w:fill="auto"/>
            <w:noWrap/>
            <w:hideMark/>
          </w:tcPr>
          <w:p w14:paraId="3503883B"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r>
      <w:tr w:rsidR="00ED02A4" w:rsidRPr="00AC0EE7" w14:paraId="4FF96203" w14:textId="77777777" w:rsidTr="00367A87">
        <w:trPr>
          <w:trHeight w:val="288"/>
        </w:trPr>
        <w:tc>
          <w:tcPr>
            <w:tcW w:w="768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B0AFF84" w14:textId="77777777" w:rsidR="00ED02A4" w:rsidRPr="00AC0EE7" w:rsidRDefault="00ED02A4" w:rsidP="00367A87">
            <w:pPr>
              <w:spacing w:after="0" w:line="240" w:lineRule="auto"/>
              <w:jc w:val="center"/>
              <w:rPr>
                <w:rFonts w:ascii="Calibri" w:eastAsia="Times New Roman" w:hAnsi="Calibri" w:cs="Calibri"/>
                <w:b/>
                <w:bCs/>
                <w:color w:val="000000"/>
                <w:lang w:eastAsia="en-IE"/>
              </w:rPr>
            </w:pPr>
            <w:r w:rsidRPr="00AC0EE7">
              <w:rPr>
                <w:rFonts w:ascii="Calibri" w:eastAsia="Times New Roman" w:hAnsi="Calibri" w:cs="Calibri"/>
                <w:b/>
                <w:bCs/>
                <w:color w:val="000000"/>
                <w:lang w:eastAsia="en-IE"/>
              </w:rPr>
              <w:t>REITs</w:t>
            </w:r>
          </w:p>
        </w:tc>
      </w:tr>
      <w:tr w:rsidR="00ED02A4" w:rsidRPr="00AC0EE7" w14:paraId="1C7FF536"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D31FEF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World Index</w:t>
            </w:r>
          </w:p>
        </w:tc>
        <w:tc>
          <w:tcPr>
            <w:tcW w:w="934" w:type="dxa"/>
            <w:tcBorders>
              <w:top w:val="nil"/>
              <w:left w:val="nil"/>
              <w:bottom w:val="nil"/>
              <w:right w:val="nil"/>
            </w:tcBorders>
            <w:shd w:val="clear" w:color="auto" w:fill="auto"/>
            <w:noWrap/>
            <w:vAlign w:val="center"/>
            <w:hideMark/>
          </w:tcPr>
          <w:p w14:paraId="720FC09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Australia</w:t>
            </w:r>
          </w:p>
        </w:tc>
        <w:tc>
          <w:tcPr>
            <w:tcW w:w="960" w:type="dxa"/>
            <w:tcBorders>
              <w:top w:val="nil"/>
              <w:left w:val="nil"/>
              <w:bottom w:val="nil"/>
              <w:right w:val="nil"/>
            </w:tcBorders>
            <w:shd w:val="clear" w:color="auto" w:fill="auto"/>
            <w:noWrap/>
            <w:vAlign w:val="center"/>
            <w:hideMark/>
          </w:tcPr>
          <w:p w14:paraId="615D5AA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Belgium</w:t>
            </w:r>
          </w:p>
        </w:tc>
        <w:tc>
          <w:tcPr>
            <w:tcW w:w="956" w:type="dxa"/>
            <w:tcBorders>
              <w:top w:val="nil"/>
              <w:left w:val="nil"/>
              <w:bottom w:val="nil"/>
              <w:right w:val="nil"/>
            </w:tcBorders>
            <w:shd w:val="clear" w:color="auto" w:fill="auto"/>
            <w:noWrap/>
            <w:vAlign w:val="center"/>
            <w:hideMark/>
          </w:tcPr>
          <w:p w14:paraId="556B3F5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Bulgaria</w:t>
            </w:r>
          </w:p>
        </w:tc>
        <w:tc>
          <w:tcPr>
            <w:tcW w:w="954" w:type="dxa"/>
            <w:tcBorders>
              <w:top w:val="nil"/>
              <w:left w:val="nil"/>
              <w:bottom w:val="nil"/>
              <w:right w:val="nil"/>
            </w:tcBorders>
            <w:shd w:val="clear" w:color="auto" w:fill="auto"/>
            <w:noWrap/>
            <w:vAlign w:val="center"/>
            <w:hideMark/>
          </w:tcPr>
          <w:p w14:paraId="0E69A67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Canada</w:t>
            </w:r>
          </w:p>
        </w:tc>
        <w:tc>
          <w:tcPr>
            <w:tcW w:w="939" w:type="dxa"/>
            <w:tcBorders>
              <w:top w:val="nil"/>
              <w:left w:val="nil"/>
              <w:bottom w:val="nil"/>
              <w:right w:val="nil"/>
            </w:tcBorders>
            <w:shd w:val="clear" w:color="auto" w:fill="auto"/>
            <w:noWrap/>
            <w:vAlign w:val="center"/>
            <w:hideMark/>
          </w:tcPr>
          <w:p w14:paraId="06236C5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France</w:t>
            </w:r>
          </w:p>
        </w:tc>
        <w:tc>
          <w:tcPr>
            <w:tcW w:w="994" w:type="dxa"/>
            <w:tcBorders>
              <w:top w:val="nil"/>
              <w:left w:val="nil"/>
              <w:bottom w:val="nil"/>
              <w:right w:val="nil"/>
            </w:tcBorders>
            <w:shd w:val="clear" w:color="auto" w:fill="auto"/>
            <w:noWrap/>
            <w:vAlign w:val="center"/>
            <w:hideMark/>
          </w:tcPr>
          <w:p w14:paraId="17FEE71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Germany</w:t>
            </w:r>
          </w:p>
        </w:tc>
        <w:tc>
          <w:tcPr>
            <w:tcW w:w="944" w:type="dxa"/>
            <w:tcBorders>
              <w:top w:val="nil"/>
              <w:left w:val="nil"/>
              <w:bottom w:val="nil"/>
              <w:right w:val="single" w:sz="4" w:space="0" w:color="auto"/>
            </w:tcBorders>
            <w:shd w:val="clear" w:color="auto" w:fill="auto"/>
            <w:noWrap/>
            <w:vAlign w:val="center"/>
            <w:hideMark/>
          </w:tcPr>
          <w:p w14:paraId="28F3653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Greece</w:t>
            </w:r>
          </w:p>
        </w:tc>
      </w:tr>
      <w:tr w:rsidR="00ED02A4" w:rsidRPr="00AC0EE7" w14:paraId="6CDE3122"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3EECB7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-1.216</w:t>
            </w:r>
          </w:p>
        </w:tc>
        <w:tc>
          <w:tcPr>
            <w:tcW w:w="934" w:type="dxa"/>
            <w:tcBorders>
              <w:top w:val="nil"/>
              <w:left w:val="nil"/>
              <w:bottom w:val="nil"/>
              <w:right w:val="nil"/>
            </w:tcBorders>
            <w:shd w:val="clear" w:color="auto" w:fill="auto"/>
            <w:noWrap/>
            <w:vAlign w:val="center"/>
            <w:hideMark/>
          </w:tcPr>
          <w:p w14:paraId="2B01876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-1.491</w:t>
            </w:r>
          </w:p>
        </w:tc>
        <w:tc>
          <w:tcPr>
            <w:tcW w:w="960" w:type="dxa"/>
            <w:tcBorders>
              <w:top w:val="nil"/>
              <w:left w:val="nil"/>
              <w:bottom w:val="nil"/>
              <w:right w:val="nil"/>
            </w:tcBorders>
            <w:shd w:val="clear" w:color="auto" w:fill="auto"/>
            <w:noWrap/>
            <w:vAlign w:val="center"/>
            <w:hideMark/>
          </w:tcPr>
          <w:p w14:paraId="74B5349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-4.821</w:t>
            </w:r>
          </w:p>
        </w:tc>
        <w:tc>
          <w:tcPr>
            <w:tcW w:w="956" w:type="dxa"/>
            <w:tcBorders>
              <w:top w:val="nil"/>
              <w:left w:val="nil"/>
              <w:bottom w:val="nil"/>
              <w:right w:val="nil"/>
            </w:tcBorders>
            <w:shd w:val="clear" w:color="auto" w:fill="auto"/>
            <w:noWrap/>
            <w:vAlign w:val="center"/>
            <w:hideMark/>
          </w:tcPr>
          <w:p w14:paraId="66AF767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-4.378</w:t>
            </w:r>
          </w:p>
        </w:tc>
        <w:tc>
          <w:tcPr>
            <w:tcW w:w="954" w:type="dxa"/>
            <w:tcBorders>
              <w:top w:val="nil"/>
              <w:left w:val="nil"/>
              <w:bottom w:val="nil"/>
              <w:right w:val="nil"/>
            </w:tcBorders>
            <w:shd w:val="clear" w:color="auto" w:fill="auto"/>
            <w:noWrap/>
            <w:vAlign w:val="center"/>
            <w:hideMark/>
          </w:tcPr>
          <w:p w14:paraId="745FDB5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-3.178</w:t>
            </w:r>
          </w:p>
        </w:tc>
        <w:tc>
          <w:tcPr>
            <w:tcW w:w="939" w:type="dxa"/>
            <w:tcBorders>
              <w:top w:val="nil"/>
              <w:left w:val="nil"/>
              <w:bottom w:val="nil"/>
              <w:right w:val="nil"/>
            </w:tcBorders>
            <w:shd w:val="clear" w:color="auto" w:fill="auto"/>
            <w:noWrap/>
            <w:vAlign w:val="center"/>
            <w:hideMark/>
          </w:tcPr>
          <w:p w14:paraId="1C6E6FF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-3.216</w:t>
            </w:r>
          </w:p>
        </w:tc>
        <w:tc>
          <w:tcPr>
            <w:tcW w:w="994" w:type="dxa"/>
            <w:tcBorders>
              <w:top w:val="nil"/>
              <w:left w:val="nil"/>
              <w:bottom w:val="nil"/>
              <w:right w:val="nil"/>
            </w:tcBorders>
            <w:shd w:val="clear" w:color="auto" w:fill="auto"/>
            <w:noWrap/>
            <w:vAlign w:val="center"/>
            <w:hideMark/>
          </w:tcPr>
          <w:p w14:paraId="53CA755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-1.024</w:t>
            </w:r>
          </w:p>
        </w:tc>
        <w:tc>
          <w:tcPr>
            <w:tcW w:w="944" w:type="dxa"/>
            <w:tcBorders>
              <w:top w:val="nil"/>
              <w:left w:val="nil"/>
              <w:bottom w:val="nil"/>
              <w:right w:val="single" w:sz="4" w:space="0" w:color="auto"/>
            </w:tcBorders>
            <w:shd w:val="clear" w:color="auto" w:fill="auto"/>
            <w:noWrap/>
            <w:vAlign w:val="center"/>
            <w:hideMark/>
          </w:tcPr>
          <w:p w14:paraId="1904EBF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-1.216</w:t>
            </w:r>
          </w:p>
        </w:tc>
      </w:tr>
      <w:tr w:rsidR="00ED02A4" w:rsidRPr="00AC0EE7" w14:paraId="5C971198"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30FD89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-5.374</w:t>
            </w:r>
          </w:p>
        </w:tc>
        <w:tc>
          <w:tcPr>
            <w:tcW w:w="934" w:type="dxa"/>
            <w:tcBorders>
              <w:top w:val="nil"/>
              <w:left w:val="nil"/>
              <w:bottom w:val="nil"/>
              <w:right w:val="nil"/>
            </w:tcBorders>
            <w:shd w:val="clear" w:color="auto" w:fill="auto"/>
            <w:noWrap/>
            <w:vAlign w:val="center"/>
            <w:hideMark/>
          </w:tcPr>
          <w:p w14:paraId="31F500A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-5.304</w:t>
            </w:r>
          </w:p>
        </w:tc>
        <w:tc>
          <w:tcPr>
            <w:tcW w:w="960" w:type="dxa"/>
            <w:tcBorders>
              <w:top w:val="nil"/>
              <w:left w:val="nil"/>
              <w:bottom w:val="nil"/>
              <w:right w:val="nil"/>
            </w:tcBorders>
            <w:shd w:val="clear" w:color="auto" w:fill="auto"/>
            <w:noWrap/>
            <w:vAlign w:val="center"/>
            <w:hideMark/>
          </w:tcPr>
          <w:p w14:paraId="1F261049" w14:textId="77CB4085"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-9.29</w:t>
            </w:r>
            <w:r w:rsidR="00BA4657">
              <w:rPr>
                <w:rFonts w:ascii="Calibri" w:eastAsia="Times New Roman" w:hAnsi="Calibri" w:cs="Calibri"/>
                <w:b/>
                <w:bCs/>
                <w:i/>
                <w:iCs/>
                <w:color w:val="000000"/>
                <w:sz w:val="18"/>
                <w:szCs w:val="18"/>
                <w:lang w:eastAsia="en-IE"/>
              </w:rPr>
              <w:t>0</w:t>
            </w:r>
          </w:p>
        </w:tc>
        <w:tc>
          <w:tcPr>
            <w:tcW w:w="956" w:type="dxa"/>
            <w:tcBorders>
              <w:top w:val="nil"/>
              <w:left w:val="nil"/>
              <w:bottom w:val="nil"/>
              <w:right w:val="nil"/>
            </w:tcBorders>
            <w:shd w:val="clear" w:color="auto" w:fill="auto"/>
            <w:noWrap/>
            <w:vAlign w:val="center"/>
            <w:hideMark/>
          </w:tcPr>
          <w:p w14:paraId="124B744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-3.124</w:t>
            </w:r>
          </w:p>
        </w:tc>
        <w:tc>
          <w:tcPr>
            <w:tcW w:w="954" w:type="dxa"/>
            <w:tcBorders>
              <w:top w:val="nil"/>
              <w:left w:val="nil"/>
              <w:bottom w:val="nil"/>
              <w:right w:val="nil"/>
            </w:tcBorders>
            <w:shd w:val="clear" w:color="auto" w:fill="auto"/>
            <w:noWrap/>
            <w:vAlign w:val="center"/>
            <w:hideMark/>
          </w:tcPr>
          <w:p w14:paraId="73B94EC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-6.751</w:t>
            </w:r>
          </w:p>
        </w:tc>
        <w:tc>
          <w:tcPr>
            <w:tcW w:w="939" w:type="dxa"/>
            <w:tcBorders>
              <w:top w:val="nil"/>
              <w:left w:val="nil"/>
              <w:bottom w:val="nil"/>
              <w:right w:val="nil"/>
            </w:tcBorders>
            <w:shd w:val="clear" w:color="auto" w:fill="auto"/>
            <w:noWrap/>
            <w:vAlign w:val="center"/>
            <w:hideMark/>
          </w:tcPr>
          <w:p w14:paraId="27108AA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-5.334</w:t>
            </w:r>
          </w:p>
        </w:tc>
        <w:tc>
          <w:tcPr>
            <w:tcW w:w="994" w:type="dxa"/>
            <w:tcBorders>
              <w:top w:val="nil"/>
              <w:left w:val="nil"/>
              <w:bottom w:val="nil"/>
              <w:right w:val="nil"/>
            </w:tcBorders>
            <w:shd w:val="clear" w:color="auto" w:fill="auto"/>
            <w:noWrap/>
            <w:vAlign w:val="center"/>
            <w:hideMark/>
          </w:tcPr>
          <w:p w14:paraId="40A3F87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-3.268</w:t>
            </w:r>
          </w:p>
        </w:tc>
        <w:tc>
          <w:tcPr>
            <w:tcW w:w="944" w:type="dxa"/>
            <w:tcBorders>
              <w:top w:val="nil"/>
              <w:left w:val="nil"/>
              <w:bottom w:val="nil"/>
              <w:right w:val="single" w:sz="4" w:space="0" w:color="auto"/>
            </w:tcBorders>
            <w:shd w:val="clear" w:color="auto" w:fill="auto"/>
            <w:noWrap/>
            <w:vAlign w:val="center"/>
            <w:hideMark/>
          </w:tcPr>
          <w:p w14:paraId="6D7FD83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-5.374</w:t>
            </w:r>
          </w:p>
        </w:tc>
      </w:tr>
      <w:tr w:rsidR="00ED02A4" w:rsidRPr="00AC0EE7" w14:paraId="49FD8B6C"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A8ADD0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Hong Kong</w:t>
            </w:r>
          </w:p>
        </w:tc>
        <w:tc>
          <w:tcPr>
            <w:tcW w:w="934" w:type="dxa"/>
            <w:tcBorders>
              <w:top w:val="nil"/>
              <w:left w:val="nil"/>
              <w:bottom w:val="nil"/>
              <w:right w:val="nil"/>
            </w:tcBorders>
            <w:shd w:val="clear" w:color="auto" w:fill="auto"/>
            <w:noWrap/>
            <w:vAlign w:val="center"/>
            <w:hideMark/>
          </w:tcPr>
          <w:p w14:paraId="2C4ECD4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Italy</w:t>
            </w:r>
          </w:p>
        </w:tc>
        <w:tc>
          <w:tcPr>
            <w:tcW w:w="960" w:type="dxa"/>
            <w:tcBorders>
              <w:top w:val="nil"/>
              <w:left w:val="nil"/>
              <w:bottom w:val="nil"/>
              <w:right w:val="nil"/>
            </w:tcBorders>
            <w:shd w:val="clear" w:color="auto" w:fill="auto"/>
            <w:noWrap/>
            <w:vAlign w:val="center"/>
            <w:hideMark/>
          </w:tcPr>
          <w:p w14:paraId="662523C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Japan</w:t>
            </w:r>
          </w:p>
        </w:tc>
        <w:tc>
          <w:tcPr>
            <w:tcW w:w="956" w:type="dxa"/>
            <w:tcBorders>
              <w:top w:val="nil"/>
              <w:left w:val="nil"/>
              <w:bottom w:val="nil"/>
              <w:right w:val="nil"/>
            </w:tcBorders>
            <w:shd w:val="clear" w:color="auto" w:fill="auto"/>
            <w:noWrap/>
            <w:vAlign w:val="center"/>
            <w:hideMark/>
          </w:tcPr>
          <w:p w14:paraId="39DAA27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Malaysia</w:t>
            </w:r>
          </w:p>
        </w:tc>
        <w:tc>
          <w:tcPr>
            <w:tcW w:w="954" w:type="dxa"/>
            <w:tcBorders>
              <w:top w:val="nil"/>
              <w:left w:val="nil"/>
              <w:bottom w:val="nil"/>
              <w:right w:val="nil"/>
            </w:tcBorders>
            <w:shd w:val="clear" w:color="auto" w:fill="auto"/>
            <w:noWrap/>
            <w:vAlign w:val="center"/>
            <w:hideMark/>
          </w:tcPr>
          <w:p w14:paraId="1396D3B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Mexico</w:t>
            </w:r>
          </w:p>
        </w:tc>
        <w:tc>
          <w:tcPr>
            <w:tcW w:w="939" w:type="dxa"/>
            <w:tcBorders>
              <w:top w:val="nil"/>
              <w:left w:val="nil"/>
              <w:bottom w:val="nil"/>
              <w:right w:val="nil"/>
            </w:tcBorders>
            <w:shd w:val="clear" w:color="auto" w:fill="auto"/>
            <w:noWrap/>
            <w:vAlign w:val="center"/>
            <w:hideMark/>
          </w:tcPr>
          <w:p w14:paraId="1C46022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Netherlands</w:t>
            </w:r>
          </w:p>
        </w:tc>
        <w:tc>
          <w:tcPr>
            <w:tcW w:w="994" w:type="dxa"/>
            <w:tcBorders>
              <w:top w:val="nil"/>
              <w:left w:val="nil"/>
              <w:bottom w:val="nil"/>
              <w:right w:val="nil"/>
            </w:tcBorders>
            <w:shd w:val="clear" w:color="auto" w:fill="auto"/>
            <w:noWrap/>
            <w:vAlign w:val="center"/>
            <w:hideMark/>
          </w:tcPr>
          <w:p w14:paraId="44CE769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New Zealand</w:t>
            </w:r>
          </w:p>
        </w:tc>
        <w:tc>
          <w:tcPr>
            <w:tcW w:w="944" w:type="dxa"/>
            <w:tcBorders>
              <w:top w:val="nil"/>
              <w:left w:val="nil"/>
              <w:bottom w:val="nil"/>
              <w:right w:val="single" w:sz="4" w:space="0" w:color="auto"/>
            </w:tcBorders>
            <w:shd w:val="clear" w:color="auto" w:fill="auto"/>
            <w:noWrap/>
            <w:vAlign w:val="center"/>
            <w:hideMark/>
          </w:tcPr>
          <w:p w14:paraId="3FA8CE4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Singapore</w:t>
            </w:r>
          </w:p>
        </w:tc>
      </w:tr>
      <w:tr w:rsidR="00ED02A4" w:rsidRPr="00AC0EE7" w14:paraId="5C8E6E3E"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EDA991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1.435</w:t>
            </w:r>
          </w:p>
        </w:tc>
        <w:tc>
          <w:tcPr>
            <w:tcW w:w="934" w:type="dxa"/>
            <w:tcBorders>
              <w:top w:val="nil"/>
              <w:left w:val="nil"/>
              <w:bottom w:val="nil"/>
              <w:right w:val="nil"/>
            </w:tcBorders>
            <w:shd w:val="clear" w:color="auto" w:fill="auto"/>
            <w:noWrap/>
            <w:vAlign w:val="center"/>
            <w:hideMark/>
          </w:tcPr>
          <w:p w14:paraId="432F953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-4.468</w:t>
            </w:r>
          </w:p>
        </w:tc>
        <w:tc>
          <w:tcPr>
            <w:tcW w:w="960" w:type="dxa"/>
            <w:tcBorders>
              <w:top w:val="nil"/>
              <w:left w:val="nil"/>
              <w:bottom w:val="nil"/>
              <w:right w:val="nil"/>
            </w:tcBorders>
            <w:shd w:val="clear" w:color="auto" w:fill="auto"/>
            <w:noWrap/>
            <w:vAlign w:val="center"/>
            <w:hideMark/>
          </w:tcPr>
          <w:p w14:paraId="137C4FF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0.521</w:t>
            </w:r>
          </w:p>
        </w:tc>
        <w:tc>
          <w:tcPr>
            <w:tcW w:w="956" w:type="dxa"/>
            <w:tcBorders>
              <w:top w:val="nil"/>
              <w:left w:val="nil"/>
              <w:bottom w:val="nil"/>
              <w:right w:val="nil"/>
            </w:tcBorders>
            <w:shd w:val="clear" w:color="auto" w:fill="auto"/>
            <w:noWrap/>
            <w:vAlign w:val="center"/>
            <w:hideMark/>
          </w:tcPr>
          <w:p w14:paraId="2314DA0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-2.789</w:t>
            </w:r>
          </w:p>
        </w:tc>
        <w:tc>
          <w:tcPr>
            <w:tcW w:w="954" w:type="dxa"/>
            <w:tcBorders>
              <w:top w:val="nil"/>
              <w:left w:val="nil"/>
              <w:bottom w:val="nil"/>
              <w:right w:val="nil"/>
            </w:tcBorders>
            <w:shd w:val="clear" w:color="auto" w:fill="auto"/>
            <w:noWrap/>
            <w:vAlign w:val="center"/>
            <w:hideMark/>
          </w:tcPr>
          <w:p w14:paraId="71FC03F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6C31365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-2.321</w:t>
            </w:r>
          </w:p>
        </w:tc>
        <w:tc>
          <w:tcPr>
            <w:tcW w:w="994" w:type="dxa"/>
            <w:tcBorders>
              <w:top w:val="nil"/>
              <w:left w:val="nil"/>
              <w:bottom w:val="nil"/>
              <w:right w:val="nil"/>
            </w:tcBorders>
            <w:shd w:val="clear" w:color="auto" w:fill="auto"/>
            <w:noWrap/>
            <w:vAlign w:val="center"/>
            <w:hideMark/>
          </w:tcPr>
          <w:p w14:paraId="36FF253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-5.011</w:t>
            </w:r>
          </w:p>
        </w:tc>
        <w:tc>
          <w:tcPr>
            <w:tcW w:w="944" w:type="dxa"/>
            <w:tcBorders>
              <w:top w:val="nil"/>
              <w:left w:val="nil"/>
              <w:bottom w:val="nil"/>
              <w:right w:val="single" w:sz="4" w:space="0" w:color="auto"/>
            </w:tcBorders>
            <w:shd w:val="clear" w:color="auto" w:fill="auto"/>
            <w:noWrap/>
            <w:vAlign w:val="center"/>
            <w:hideMark/>
          </w:tcPr>
          <w:p w14:paraId="7544697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-4.599</w:t>
            </w:r>
          </w:p>
        </w:tc>
      </w:tr>
      <w:tr w:rsidR="00ED02A4" w:rsidRPr="00AC0EE7" w14:paraId="7E3A1761"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F2817F7" w14:textId="604BDB95"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1.257</w:t>
            </w:r>
          </w:p>
        </w:tc>
        <w:tc>
          <w:tcPr>
            <w:tcW w:w="934" w:type="dxa"/>
            <w:tcBorders>
              <w:top w:val="nil"/>
              <w:left w:val="nil"/>
              <w:bottom w:val="nil"/>
              <w:right w:val="nil"/>
            </w:tcBorders>
            <w:shd w:val="clear" w:color="auto" w:fill="auto"/>
            <w:noWrap/>
            <w:vAlign w:val="center"/>
            <w:hideMark/>
          </w:tcPr>
          <w:p w14:paraId="202C3799"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-6.367</w:t>
            </w:r>
          </w:p>
        </w:tc>
        <w:tc>
          <w:tcPr>
            <w:tcW w:w="960" w:type="dxa"/>
            <w:tcBorders>
              <w:top w:val="nil"/>
              <w:left w:val="nil"/>
              <w:bottom w:val="nil"/>
              <w:right w:val="nil"/>
            </w:tcBorders>
            <w:shd w:val="clear" w:color="auto" w:fill="auto"/>
            <w:noWrap/>
            <w:vAlign w:val="center"/>
            <w:hideMark/>
          </w:tcPr>
          <w:p w14:paraId="5B5DAC64" w14:textId="5933C1C3"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0.686</w:t>
            </w:r>
          </w:p>
        </w:tc>
        <w:tc>
          <w:tcPr>
            <w:tcW w:w="956" w:type="dxa"/>
            <w:tcBorders>
              <w:top w:val="nil"/>
              <w:left w:val="nil"/>
              <w:bottom w:val="nil"/>
              <w:right w:val="nil"/>
            </w:tcBorders>
            <w:shd w:val="clear" w:color="auto" w:fill="auto"/>
            <w:noWrap/>
            <w:vAlign w:val="center"/>
            <w:hideMark/>
          </w:tcPr>
          <w:p w14:paraId="33AB60EE"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-4.992</w:t>
            </w:r>
          </w:p>
        </w:tc>
        <w:tc>
          <w:tcPr>
            <w:tcW w:w="954" w:type="dxa"/>
            <w:tcBorders>
              <w:top w:val="nil"/>
              <w:left w:val="nil"/>
              <w:bottom w:val="nil"/>
              <w:right w:val="nil"/>
            </w:tcBorders>
            <w:shd w:val="clear" w:color="auto" w:fill="auto"/>
            <w:noWrap/>
            <w:vAlign w:val="center"/>
            <w:hideMark/>
          </w:tcPr>
          <w:p w14:paraId="50B253D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64464C1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-4.666</w:t>
            </w:r>
          </w:p>
        </w:tc>
        <w:tc>
          <w:tcPr>
            <w:tcW w:w="994" w:type="dxa"/>
            <w:tcBorders>
              <w:top w:val="nil"/>
              <w:left w:val="nil"/>
              <w:bottom w:val="nil"/>
              <w:right w:val="nil"/>
            </w:tcBorders>
            <w:shd w:val="clear" w:color="auto" w:fill="auto"/>
            <w:noWrap/>
            <w:vAlign w:val="center"/>
            <w:hideMark/>
          </w:tcPr>
          <w:p w14:paraId="77E2266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-4.108</w:t>
            </w:r>
          </w:p>
        </w:tc>
        <w:tc>
          <w:tcPr>
            <w:tcW w:w="944" w:type="dxa"/>
            <w:tcBorders>
              <w:top w:val="nil"/>
              <w:left w:val="nil"/>
              <w:bottom w:val="nil"/>
              <w:right w:val="single" w:sz="4" w:space="0" w:color="auto"/>
            </w:tcBorders>
            <w:shd w:val="clear" w:color="auto" w:fill="auto"/>
            <w:noWrap/>
            <w:vAlign w:val="center"/>
            <w:hideMark/>
          </w:tcPr>
          <w:p w14:paraId="39E76C7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-3.079</w:t>
            </w:r>
          </w:p>
        </w:tc>
      </w:tr>
      <w:tr w:rsidR="00ED02A4" w:rsidRPr="00AC0EE7" w14:paraId="77E8457B"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59FDCE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South Africa</w:t>
            </w:r>
          </w:p>
        </w:tc>
        <w:tc>
          <w:tcPr>
            <w:tcW w:w="934" w:type="dxa"/>
            <w:tcBorders>
              <w:top w:val="nil"/>
              <w:left w:val="nil"/>
              <w:bottom w:val="nil"/>
              <w:right w:val="nil"/>
            </w:tcBorders>
            <w:shd w:val="clear" w:color="auto" w:fill="auto"/>
            <w:noWrap/>
            <w:vAlign w:val="center"/>
            <w:hideMark/>
          </w:tcPr>
          <w:p w14:paraId="30E941C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Turkey</w:t>
            </w:r>
          </w:p>
        </w:tc>
        <w:tc>
          <w:tcPr>
            <w:tcW w:w="960" w:type="dxa"/>
            <w:tcBorders>
              <w:top w:val="nil"/>
              <w:left w:val="nil"/>
              <w:bottom w:val="nil"/>
              <w:right w:val="nil"/>
            </w:tcBorders>
            <w:shd w:val="clear" w:color="auto" w:fill="auto"/>
            <w:noWrap/>
            <w:vAlign w:val="center"/>
            <w:hideMark/>
          </w:tcPr>
          <w:p w14:paraId="7F8D8FA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UK</w:t>
            </w:r>
          </w:p>
        </w:tc>
        <w:tc>
          <w:tcPr>
            <w:tcW w:w="956" w:type="dxa"/>
            <w:tcBorders>
              <w:top w:val="nil"/>
              <w:left w:val="nil"/>
              <w:bottom w:val="nil"/>
              <w:right w:val="nil"/>
            </w:tcBorders>
            <w:shd w:val="clear" w:color="auto" w:fill="auto"/>
            <w:noWrap/>
            <w:vAlign w:val="center"/>
            <w:hideMark/>
          </w:tcPr>
          <w:p w14:paraId="74CC555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US</w:t>
            </w:r>
          </w:p>
        </w:tc>
        <w:tc>
          <w:tcPr>
            <w:tcW w:w="954" w:type="dxa"/>
            <w:tcBorders>
              <w:top w:val="nil"/>
              <w:left w:val="nil"/>
              <w:bottom w:val="nil"/>
              <w:right w:val="nil"/>
            </w:tcBorders>
            <w:shd w:val="clear" w:color="auto" w:fill="auto"/>
            <w:noWrap/>
            <w:hideMark/>
          </w:tcPr>
          <w:p w14:paraId="5DF24DC2"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339DE804"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4BDAA171"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1D704A8A"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50D3C43A"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4BE661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-1.781</w:t>
            </w:r>
          </w:p>
        </w:tc>
        <w:tc>
          <w:tcPr>
            <w:tcW w:w="934" w:type="dxa"/>
            <w:tcBorders>
              <w:top w:val="nil"/>
              <w:left w:val="nil"/>
              <w:bottom w:val="nil"/>
              <w:right w:val="nil"/>
            </w:tcBorders>
            <w:shd w:val="clear" w:color="auto" w:fill="auto"/>
            <w:noWrap/>
            <w:vAlign w:val="center"/>
            <w:hideMark/>
          </w:tcPr>
          <w:p w14:paraId="376025B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60" w:type="dxa"/>
            <w:tcBorders>
              <w:top w:val="nil"/>
              <w:left w:val="nil"/>
              <w:bottom w:val="nil"/>
              <w:right w:val="nil"/>
            </w:tcBorders>
            <w:shd w:val="clear" w:color="auto" w:fill="auto"/>
            <w:noWrap/>
            <w:vAlign w:val="center"/>
            <w:hideMark/>
          </w:tcPr>
          <w:p w14:paraId="7E93229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-2.444</w:t>
            </w:r>
          </w:p>
        </w:tc>
        <w:tc>
          <w:tcPr>
            <w:tcW w:w="956" w:type="dxa"/>
            <w:tcBorders>
              <w:top w:val="nil"/>
              <w:left w:val="nil"/>
              <w:bottom w:val="nil"/>
              <w:right w:val="nil"/>
            </w:tcBorders>
            <w:shd w:val="clear" w:color="auto" w:fill="auto"/>
            <w:noWrap/>
            <w:vAlign w:val="center"/>
            <w:hideMark/>
          </w:tcPr>
          <w:p w14:paraId="6DA2B72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-0.872</w:t>
            </w:r>
          </w:p>
        </w:tc>
        <w:tc>
          <w:tcPr>
            <w:tcW w:w="954" w:type="dxa"/>
            <w:tcBorders>
              <w:top w:val="nil"/>
              <w:left w:val="nil"/>
              <w:bottom w:val="nil"/>
              <w:right w:val="nil"/>
            </w:tcBorders>
            <w:shd w:val="clear" w:color="auto" w:fill="auto"/>
            <w:noWrap/>
            <w:hideMark/>
          </w:tcPr>
          <w:p w14:paraId="1659F55E"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1426DDA9"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32124CF3"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031ED4BB"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3429379A"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71BCB0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-6.218</w:t>
            </w:r>
          </w:p>
        </w:tc>
        <w:tc>
          <w:tcPr>
            <w:tcW w:w="934" w:type="dxa"/>
            <w:tcBorders>
              <w:top w:val="nil"/>
              <w:left w:val="nil"/>
              <w:bottom w:val="nil"/>
              <w:right w:val="nil"/>
            </w:tcBorders>
            <w:shd w:val="clear" w:color="auto" w:fill="auto"/>
            <w:noWrap/>
            <w:vAlign w:val="center"/>
            <w:hideMark/>
          </w:tcPr>
          <w:p w14:paraId="3049845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60" w:type="dxa"/>
            <w:tcBorders>
              <w:top w:val="nil"/>
              <w:left w:val="nil"/>
              <w:bottom w:val="nil"/>
              <w:right w:val="nil"/>
            </w:tcBorders>
            <w:shd w:val="clear" w:color="auto" w:fill="auto"/>
            <w:noWrap/>
            <w:vAlign w:val="center"/>
            <w:hideMark/>
          </w:tcPr>
          <w:p w14:paraId="0F67F16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-6.963</w:t>
            </w:r>
          </w:p>
        </w:tc>
        <w:tc>
          <w:tcPr>
            <w:tcW w:w="956" w:type="dxa"/>
            <w:tcBorders>
              <w:top w:val="nil"/>
              <w:left w:val="nil"/>
              <w:bottom w:val="nil"/>
              <w:right w:val="nil"/>
            </w:tcBorders>
            <w:shd w:val="clear" w:color="auto" w:fill="auto"/>
            <w:noWrap/>
            <w:vAlign w:val="center"/>
            <w:hideMark/>
          </w:tcPr>
          <w:p w14:paraId="21A4BB6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-4.843</w:t>
            </w:r>
          </w:p>
        </w:tc>
        <w:tc>
          <w:tcPr>
            <w:tcW w:w="954" w:type="dxa"/>
            <w:tcBorders>
              <w:top w:val="nil"/>
              <w:left w:val="nil"/>
              <w:bottom w:val="nil"/>
              <w:right w:val="nil"/>
            </w:tcBorders>
            <w:shd w:val="clear" w:color="auto" w:fill="auto"/>
            <w:noWrap/>
            <w:hideMark/>
          </w:tcPr>
          <w:p w14:paraId="47B761F2"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39" w:type="dxa"/>
            <w:tcBorders>
              <w:top w:val="nil"/>
              <w:left w:val="nil"/>
              <w:bottom w:val="nil"/>
              <w:right w:val="nil"/>
            </w:tcBorders>
            <w:shd w:val="clear" w:color="auto" w:fill="auto"/>
            <w:noWrap/>
            <w:hideMark/>
          </w:tcPr>
          <w:p w14:paraId="61356BD6"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94" w:type="dxa"/>
            <w:tcBorders>
              <w:top w:val="nil"/>
              <w:left w:val="nil"/>
              <w:bottom w:val="nil"/>
              <w:right w:val="nil"/>
            </w:tcBorders>
            <w:shd w:val="clear" w:color="auto" w:fill="auto"/>
            <w:noWrap/>
            <w:hideMark/>
          </w:tcPr>
          <w:p w14:paraId="5976D24C"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44" w:type="dxa"/>
            <w:tcBorders>
              <w:top w:val="nil"/>
              <w:left w:val="nil"/>
              <w:bottom w:val="nil"/>
              <w:right w:val="single" w:sz="4" w:space="0" w:color="auto"/>
            </w:tcBorders>
            <w:shd w:val="clear" w:color="auto" w:fill="auto"/>
            <w:noWrap/>
            <w:hideMark/>
          </w:tcPr>
          <w:p w14:paraId="3E6E9A7B"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r>
      <w:tr w:rsidR="00ED02A4" w:rsidRPr="00AC0EE7" w14:paraId="6C11A1C4" w14:textId="77777777" w:rsidTr="00367A87">
        <w:trPr>
          <w:trHeight w:val="288"/>
        </w:trPr>
        <w:tc>
          <w:tcPr>
            <w:tcW w:w="999" w:type="dxa"/>
            <w:tcBorders>
              <w:top w:val="nil"/>
              <w:left w:val="single" w:sz="4" w:space="0" w:color="auto"/>
              <w:bottom w:val="nil"/>
              <w:right w:val="nil"/>
            </w:tcBorders>
            <w:shd w:val="clear" w:color="auto" w:fill="auto"/>
            <w:noWrap/>
            <w:vAlign w:val="bottom"/>
            <w:hideMark/>
          </w:tcPr>
          <w:p w14:paraId="2C46DD66"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4" w:type="dxa"/>
            <w:tcBorders>
              <w:top w:val="nil"/>
              <w:left w:val="nil"/>
              <w:bottom w:val="nil"/>
              <w:right w:val="nil"/>
            </w:tcBorders>
            <w:shd w:val="clear" w:color="auto" w:fill="auto"/>
            <w:noWrap/>
            <w:vAlign w:val="bottom"/>
            <w:hideMark/>
          </w:tcPr>
          <w:p w14:paraId="35A84C5A"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60" w:type="dxa"/>
            <w:tcBorders>
              <w:top w:val="nil"/>
              <w:left w:val="nil"/>
              <w:bottom w:val="nil"/>
              <w:right w:val="nil"/>
            </w:tcBorders>
            <w:shd w:val="clear" w:color="auto" w:fill="auto"/>
            <w:noWrap/>
            <w:vAlign w:val="bottom"/>
            <w:hideMark/>
          </w:tcPr>
          <w:p w14:paraId="1485D850"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6" w:type="dxa"/>
            <w:tcBorders>
              <w:top w:val="nil"/>
              <w:left w:val="nil"/>
              <w:bottom w:val="nil"/>
              <w:right w:val="nil"/>
            </w:tcBorders>
            <w:shd w:val="clear" w:color="auto" w:fill="auto"/>
            <w:noWrap/>
            <w:vAlign w:val="bottom"/>
            <w:hideMark/>
          </w:tcPr>
          <w:p w14:paraId="6DC830B4"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4" w:type="dxa"/>
            <w:tcBorders>
              <w:top w:val="nil"/>
              <w:left w:val="nil"/>
              <w:bottom w:val="nil"/>
              <w:right w:val="nil"/>
            </w:tcBorders>
            <w:shd w:val="clear" w:color="auto" w:fill="auto"/>
            <w:noWrap/>
            <w:vAlign w:val="bottom"/>
            <w:hideMark/>
          </w:tcPr>
          <w:p w14:paraId="340159B6"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vAlign w:val="bottom"/>
            <w:hideMark/>
          </w:tcPr>
          <w:p w14:paraId="32DB5962"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vAlign w:val="bottom"/>
            <w:hideMark/>
          </w:tcPr>
          <w:p w14:paraId="2400DC45"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vAlign w:val="bottom"/>
            <w:hideMark/>
          </w:tcPr>
          <w:p w14:paraId="500F0A79"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3CF0FA54" w14:textId="77777777" w:rsidTr="00367A87">
        <w:trPr>
          <w:trHeight w:val="288"/>
        </w:trPr>
        <w:tc>
          <w:tcPr>
            <w:tcW w:w="768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B77C5EC" w14:textId="77777777" w:rsidR="00ED02A4" w:rsidRPr="00AC0EE7" w:rsidRDefault="00ED02A4" w:rsidP="00367A87">
            <w:pPr>
              <w:spacing w:after="0" w:line="240" w:lineRule="auto"/>
              <w:jc w:val="center"/>
              <w:rPr>
                <w:rFonts w:ascii="Calibri" w:eastAsia="Times New Roman" w:hAnsi="Calibri" w:cs="Calibri"/>
                <w:b/>
                <w:bCs/>
                <w:color w:val="000000"/>
                <w:lang w:eastAsia="en-IE"/>
              </w:rPr>
            </w:pPr>
            <w:r w:rsidRPr="00AC0EE7">
              <w:rPr>
                <w:rFonts w:ascii="Calibri" w:eastAsia="Times New Roman" w:hAnsi="Calibri" w:cs="Calibri"/>
                <w:b/>
                <w:bCs/>
                <w:color w:val="000000"/>
                <w:lang w:eastAsia="en-IE"/>
              </w:rPr>
              <w:t>Pre 2000</w:t>
            </w:r>
          </w:p>
        </w:tc>
      </w:tr>
      <w:tr w:rsidR="00ED02A4" w:rsidRPr="00AC0EE7" w14:paraId="7E49168F" w14:textId="77777777" w:rsidTr="00367A87">
        <w:trPr>
          <w:trHeight w:val="288"/>
        </w:trPr>
        <w:tc>
          <w:tcPr>
            <w:tcW w:w="768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3C02B48" w14:textId="77777777" w:rsidR="00ED02A4" w:rsidRPr="00AC0EE7" w:rsidRDefault="00ED02A4" w:rsidP="00367A87">
            <w:pPr>
              <w:spacing w:after="0" w:line="240" w:lineRule="auto"/>
              <w:jc w:val="center"/>
              <w:rPr>
                <w:rFonts w:ascii="Calibri" w:eastAsia="Times New Roman" w:hAnsi="Calibri" w:cs="Calibri"/>
                <w:b/>
                <w:bCs/>
                <w:color w:val="000000"/>
                <w:lang w:eastAsia="en-IE"/>
              </w:rPr>
            </w:pPr>
            <w:r w:rsidRPr="00AC0EE7">
              <w:rPr>
                <w:rFonts w:ascii="Calibri" w:eastAsia="Times New Roman" w:hAnsi="Calibri" w:cs="Calibri"/>
                <w:b/>
                <w:bCs/>
                <w:color w:val="000000"/>
                <w:lang w:eastAsia="en-IE"/>
              </w:rPr>
              <w:t>Equity</w:t>
            </w:r>
          </w:p>
        </w:tc>
      </w:tr>
      <w:tr w:rsidR="00ED02A4" w:rsidRPr="00AC0EE7" w14:paraId="79CB7A30"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4F36EF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World Index</w:t>
            </w:r>
          </w:p>
        </w:tc>
        <w:tc>
          <w:tcPr>
            <w:tcW w:w="934" w:type="dxa"/>
            <w:tcBorders>
              <w:top w:val="nil"/>
              <w:left w:val="nil"/>
              <w:bottom w:val="nil"/>
              <w:right w:val="nil"/>
            </w:tcBorders>
            <w:shd w:val="clear" w:color="auto" w:fill="auto"/>
            <w:noWrap/>
            <w:vAlign w:val="center"/>
            <w:hideMark/>
          </w:tcPr>
          <w:p w14:paraId="19F6210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Argentina</w:t>
            </w:r>
          </w:p>
        </w:tc>
        <w:tc>
          <w:tcPr>
            <w:tcW w:w="960" w:type="dxa"/>
            <w:tcBorders>
              <w:top w:val="nil"/>
              <w:left w:val="nil"/>
              <w:bottom w:val="nil"/>
              <w:right w:val="nil"/>
            </w:tcBorders>
            <w:shd w:val="clear" w:color="auto" w:fill="auto"/>
            <w:noWrap/>
            <w:vAlign w:val="center"/>
            <w:hideMark/>
          </w:tcPr>
          <w:p w14:paraId="125CDA3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Australia</w:t>
            </w:r>
          </w:p>
        </w:tc>
        <w:tc>
          <w:tcPr>
            <w:tcW w:w="956" w:type="dxa"/>
            <w:tcBorders>
              <w:top w:val="nil"/>
              <w:left w:val="nil"/>
              <w:bottom w:val="nil"/>
              <w:right w:val="nil"/>
            </w:tcBorders>
            <w:shd w:val="clear" w:color="auto" w:fill="auto"/>
            <w:noWrap/>
            <w:vAlign w:val="center"/>
            <w:hideMark/>
          </w:tcPr>
          <w:p w14:paraId="0F2C21F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Austria</w:t>
            </w:r>
          </w:p>
        </w:tc>
        <w:tc>
          <w:tcPr>
            <w:tcW w:w="954" w:type="dxa"/>
            <w:tcBorders>
              <w:top w:val="nil"/>
              <w:left w:val="nil"/>
              <w:bottom w:val="nil"/>
              <w:right w:val="nil"/>
            </w:tcBorders>
            <w:shd w:val="clear" w:color="auto" w:fill="auto"/>
            <w:noWrap/>
            <w:vAlign w:val="center"/>
            <w:hideMark/>
          </w:tcPr>
          <w:p w14:paraId="2B1F93C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Bahrain</w:t>
            </w:r>
          </w:p>
        </w:tc>
        <w:tc>
          <w:tcPr>
            <w:tcW w:w="939" w:type="dxa"/>
            <w:tcBorders>
              <w:top w:val="nil"/>
              <w:left w:val="nil"/>
              <w:bottom w:val="nil"/>
              <w:right w:val="nil"/>
            </w:tcBorders>
            <w:shd w:val="clear" w:color="auto" w:fill="auto"/>
            <w:noWrap/>
            <w:vAlign w:val="center"/>
            <w:hideMark/>
          </w:tcPr>
          <w:p w14:paraId="75747EE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Bangladesh</w:t>
            </w:r>
          </w:p>
        </w:tc>
        <w:tc>
          <w:tcPr>
            <w:tcW w:w="994" w:type="dxa"/>
            <w:tcBorders>
              <w:top w:val="nil"/>
              <w:left w:val="nil"/>
              <w:bottom w:val="nil"/>
              <w:right w:val="nil"/>
            </w:tcBorders>
            <w:shd w:val="clear" w:color="auto" w:fill="auto"/>
            <w:noWrap/>
            <w:vAlign w:val="center"/>
            <w:hideMark/>
          </w:tcPr>
          <w:p w14:paraId="113610D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Belgium</w:t>
            </w:r>
          </w:p>
        </w:tc>
        <w:tc>
          <w:tcPr>
            <w:tcW w:w="944" w:type="dxa"/>
            <w:tcBorders>
              <w:top w:val="nil"/>
              <w:left w:val="nil"/>
              <w:bottom w:val="nil"/>
              <w:right w:val="single" w:sz="4" w:space="0" w:color="auto"/>
            </w:tcBorders>
            <w:shd w:val="clear" w:color="auto" w:fill="auto"/>
            <w:noWrap/>
            <w:vAlign w:val="center"/>
            <w:hideMark/>
          </w:tcPr>
          <w:p w14:paraId="623080D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Botswana</w:t>
            </w:r>
          </w:p>
        </w:tc>
      </w:tr>
      <w:tr w:rsidR="00ED02A4" w:rsidRPr="00AC0EE7" w14:paraId="05F5C210"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0E1B8B9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0.327</w:t>
            </w:r>
          </w:p>
        </w:tc>
        <w:tc>
          <w:tcPr>
            <w:tcW w:w="934" w:type="dxa"/>
            <w:tcBorders>
              <w:top w:val="nil"/>
              <w:left w:val="nil"/>
              <w:bottom w:val="nil"/>
              <w:right w:val="nil"/>
            </w:tcBorders>
            <w:shd w:val="clear" w:color="auto" w:fill="auto"/>
            <w:noWrap/>
            <w:vAlign w:val="center"/>
            <w:hideMark/>
          </w:tcPr>
          <w:p w14:paraId="51C6AE9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-2.549</w:t>
            </w:r>
          </w:p>
        </w:tc>
        <w:tc>
          <w:tcPr>
            <w:tcW w:w="960" w:type="dxa"/>
            <w:tcBorders>
              <w:top w:val="nil"/>
              <w:left w:val="nil"/>
              <w:bottom w:val="nil"/>
              <w:right w:val="nil"/>
            </w:tcBorders>
            <w:shd w:val="clear" w:color="auto" w:fill="auto"/>
            <w:noWrap/>
            <w:vAlign w:val="center"/>
            <w:hideMark/>
          </w:tcPr>
          <w:p w14:paraId="4E25B4E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-1.045</w:t>
            </w:r>
          </w:p>
        </w:tc>
        <w:tc>
          <w:tcPr>
            <w:tcW w:w="956" w:type="dxa"/>
            <w:tcBorders>
              <w:top w:val="nil"/>
              <w:left w:val="nil"/>
              <w:bottom w:val="nil"/>
              <w:right w:val="nil"/>
            </w:tcBorders>
            <w:shd w:val="clear" w:color="auto" w:fill="auto"/>
            <w:noWrap/>
            <w:vAlign w:val="center"/>
            <w:hideMark/>
          </w:tcPr>
          <w:p w14:paraId="179A8D3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-0.298</w:t>
            </w:r>
          </w:p>
        </w:tc>
        <w:tc>
          <w:tcPr>
            <w:tcW w:w="954" w:type="dxa"/>
            <w:tcBorders>
              <w:top w:val="nil"/>
              <w:left w:val="nil"/>
              <w:bottom w:val="nil"/>
              <w:right w:val="nil"/>
            </w:tcBorders>
            <w:shd w:val="clear" w:color="auto" w:fill="auto"/>
            <w:noWrap/>
            <w:vAlign w:val="center"/>
            <w:hideMark/>
          </w:tcPr>
          <w:p w14:paraId="1F2740E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3FF1CF4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0.322</w:t>
            </w:r>
          </w:p>
        </w:tc>
        <w:tc>
          <w:tcPr>
            <w:tcW w:w="994" w:type="dxa"/>
            <w:tcBorders>
              <w:top w:val="nil"/>
              <w:left w:val="nil"/>
              <w:bottom w:val="nil"/>
              <w:right w:val="nil"/>
            </w:tcBorders>
            <w:shd w:val="clear" w:color="auto" w:fill="auto"/>
            <w:noWrap/>
            <w:vAlign w:val="center"/>
            <w:hideMark/>
          </w:tcPr>
          <w:p w14:paraId="3AA9F68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0.113</w:t>
            </w:r>
          </w:p>
        </w:tc>
        <w:tc>
          <w:tcPr>
            <w:tcW w:w="944" w:type="dxa"/>
            <w:tcBorders>
              <w:top w:val="nil"/>
              <w:left w:val="nil"/>
              <w:bottom w:val="nil"/>
              <w:right w:val="single" w:sz="4" w:space="0" w:color="auto"/>
            </w:tcBorders>
            <w:shd w:val="clear" w:color="auto" w:fill="auto"/>
            <w:noWrap/>
            <w:vAlign w:val="center"/>
            <w:hideMark/>
          </w:tcPr>
          <w:p w14:paraId="2563EFD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r>
      <w:tr w:rsidR="00ED02A4" w:rsidRPr="00AC0EE7" w14:paraId="4739DDC7"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0228BF2" w14:textId="319D3F7D"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0.715</w:t>
            </w:r>
          </w:p>
        </w:tc>
        <w:tc>
          <w:tcPr>
            <w:tcW w:w="934" w:type="dxa"/>
            <w:tcBorders>
              <w:top w:val="nil"/>
              <w:left w:val="nil"/>
              <w:bottom w:val="nil"/>
              <w:right w:val="nil"/>
            </w:tcBorders>
            <w:shd w:val="clear" w:color="auto" w:fill="auto"/>
            <w:noWrap/>
            <w:vAlign w:val="center"/>
            <w:hideMark/>
          </w:tcPr>
          <w:p w14:paraId="085F9C3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-2.347</w:t>
            </w:r>
          </w:p>
        </w:tc>
        <w:tc>
          <w:tcPr>
            <w:tcW w:w="960" w:type="dxa"/>
            <w:tcBorders>
              <w:top w:val="nil"/>
              <w:left w:val="nil"/>
              <w:bottom w:val="nil"/>
              <w:right w:val="nil"/>
            </w:tcBorders>
            <w:shd w:val="clear" w:color="auto" w:fill="auto"/>
            <w:noWrap/>
            <w:vAlign w:val="center"/>
            <w:hideMark/>
          </w:tcPr>
          <w:p w14:paraId="56F94AB0"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-0.935</w:t>
            </w:r>
          </w:p>
        </w:tc>
        <w:tc>
          <w:tcPr>
            <w:tcW w:w="956" w:type="dxa"/>
            <w:tcBorders>
              <w:top w:val="nil"/>
              <w:left w:val="nil"/>
              <w:bottom w:val="nil"/>
              <w:right w:val="nil"/>
            </w:tcBorders>
            <w:shd w:val="clear" w:color="auto" w:fill="auto"/>
            <w:noWrap/>
            <w:vAlign w:val="center"/>
            <w:hideMark/>
          </w:tcPr>
          <w:p w14:paraId="34B3382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-0.279</w:t>
            </w:r>
          </w:p>
        </w:tc>
        <w:tc>
          <w:tcPr>
            <w:tcW w:w="954" w:type="dxa"/>
            <w:tcBorders>
              <w:top w:val="nil"/>
              <w:left w:val="nil"/>
              <w:bottom w:val="nil"/>
              <w:right w:val="nil"/>
            </w:tcBorders>
            <w:shd w:val="clear" w:color="auto" w:fill="auto"/>
            <w:noWrap/>
            <w:vAlign w:val="center"/>
            <w:hideMark/>
          </w:tcPr>
          <w:p w14:paraId="5A7EE1F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50AF0BAE" w14:textId="78997C98"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0.811</w:t>
            </w:r>
          </w:p>
        </w:tc>
        <w:tc>
          <w:tcPr>
            <w:tcW w:w="994" w:type="dxa"/>
            <w:tcBorders>
              <w:top w:val="nil"/>
              <w:left w:val="nil"/>
              <w:bottom w:val="nil"/>
              <w:right w:val="nil"/>
            </w:tcBorders>
            <w:shd w:val="clear" w:color="auto" w:fill="auto"/>
            <w:noWrap/>
            <w:vAlign w:val="center"/>
            <w:hideMark/>
          </w:tcPr>
          <w:p w14:paraId="665FFB55" w14:textId="334DB96C"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0.108</w:t>
            </w:r>
          </w:p>
        </w:tc>
        <w:tc>
          <w:tcPr>
            <w:tcW w:w="944" w:type="dxa"/>
            <w:tcBorders>
              <w:top w:val="nil"/>
              <w:left w:val="nil"/>
              <w:bottom w:val="nil"/>
              <w:right w:val="single" w:sz="4" w:space="0" w:color="auto"/>
            </w:tcBorders>
            <w:shd w:val="clear" w:color="auto" w:fill="auto"/>
            <w:noWrap/>
            <w:vAlign w:val="center"/>
            <w:hideMark/>
          </w:tcPr>
          <w:p w14:paraId="0B39E60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r>
      <w:tr w:rsidR="00ED02A4" w:rsidRPr="00AC0EE7" w14:paraId="3AB5E4F4"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1FDE93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Brazil</w:t>
            </w:r>
          </w:p>
        </w:tc>
        <w:tc>
          <w:tcPr>
            <w:tcW w:w="934" w:type="dxa"/>
            <w:tcBorders>
              <w:top w:val="nil"/>
              <w:left w:val="nil"/>
              <w:bottom w:val="nil"/>
              <w:right w:val="nil"/>
            </w:tcBorders>
            <w:shd w:val="clear" w:color="auto" w:fill="auto"/>
            <w:noWrap/>
            <w:vAlign w:val="center"/>
            <w:hideMark/>
          </w:tcPr>
          <w:p w14:paraId="54E8DF9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Bulgaria</w:t>
            </w:r>
          </w:p>
        </w:tc>
        <w:tc>
          <w:tcPr>
            <w:tcW w:w="960" w:type="dxa"/>
            <w:tcBorders>
              <w:top w:val="nil"/>
              <w:left w:val="nil"/>
              <w:bottom w:val="nil"/>
              <w:right w:val="nil"/>
            </w:tcBorders>
            <w:shd w:val="clear" w:color="auto" w:fill="auto"/>
            <w:noWrap/>
            <w:vAlign w:val="center"/>
            <w:hideMark/>
          </w:tcPr>
          <w:p w14:paraId="04D659F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Canada</w:t>
            </w:r>
          </w:p>
        </w:tc>
        <w:tc>
          <w:tcPr>
            <w:tcW w:w="956" w:type="dxa"/>
            <w:tcBorders>
              <w:top w:val="nil"/>
              <w:left w:val="nil"/>
              <w:bottom w:val="nil"/>
              <w:right w:val="nil"/>
            </w:tcBorders>
            <w:shd w:val="clear" w:color="auto" w:fill="auto"/>
            <w:noWrap/>
            <w:vAlign w:val="center"/>
            <w:hideMark/>
          </w:tcPr>
          <w:p w14:paraId="2E45C50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Chile</w:t>
            </w:r>
          </w:p>
        </w:tc>
        <w:tc>
          <w:tcPr>
            <w:tcW w:w="954" w:type="dxa"/>
            <w:tcBorders>
              <w:top w:val="nil"/>
              <w:left w:val="nil"/>
              <w:bottom w:val="nil"/>
              <w:right w:val="nil"/>
            </w:tcBorders>
            <w:shd w:val="clear" w:color="auto" w:fill="auto"/>
            <w:noWrap/>
            <w:vAlign w:val="center"/>
            <w:hideMark/>
          </w:tcPr>
          <w:p w14:paraId="45A459C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China</w:t>
            </w:r>
          </w:p>
        </w:tc>
        <w:tc>
          <w:tcPr>
            <w:tcW w:w="939" w:type="dxa"/>
            <w:tcBorders>
              <w:top w:val="nil"/>
              <w:left w:val="nil"/>
              <w:bottom w:val="nil"/>
              <w:right w:val="nil"/>
            </w:tcBorders>
            <w:shd w:val="clear" w:color="auto" w:fill="auto"/>
            <w:noWrap/>
            <w:vAlign w:val="center"/>
            <w:hideMark/>
          </w:tcPr>
          <w:p w14:paraId="4D154F5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Colombia</w:t>
            </w:r>
          </w:p>
        </w:tc>
        <w:tc>
          <w:tcPr>
            <w:tcW w:w="994" w:type="dxa"/>
            <w:tcBorders>
              <w:top w:val="nil"/>
              <w:left w:val="nil"/>
              <w:bottom w:val="nil"/>
              <w:right w:val="nil"/>
            </w:tcBorders>
            <w:shd w:val="clear" w:color="auto" w:fill="auto"/>
            <w:noWrap/>
            <w:vAlign w:val="center"/>
            <w:hideMark/>
          </w:tcPr>
          <w:p w14:paraId="4592400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Cote d'Ivoire</w:t>
            </w:r>
          </w:p>
        </w:tc>
        <w:tc>
          <w:tcPr>
            <w:tcW w:w="944" w:type="dxa"/>
            <w:tcBorders>
              <w:top w:val="nil"/>
              <w:left w:val="nil"/>
              <w:bottom w:val="nil"/>
              <w:right w:val="single" w:sz="4" w:space="0" w:color="auto"/>
            </w:tcBorders>
            <w:shd w:val="clear" w:color="auto" w:fill="auto"/>
            <w:noWrap/>
            <w:vAlign w:val="center"/>
            <w:hideMark/>
          </w:tcPr>
          <w:p w14:paraId="16AE606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Croatia</w:t>
            </w:r>
          </w:p>
        </w:tc>
      </w:tr>
      <w:tr w:rsidR="00ED02A4" w:rsidRPr="00AC0EE7" w14:paraId="342F5CAD"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F1D36A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-0.377</w:t>
            </w:r>
          </w:p>
        </w:tc>
        <w:tc>
          <w:tcPr>
            <w:tcW w:w="934" w:type="dxa"/>
            <w:tcBorders>
              <w:top w:val="nil"/>
              <w:left w:val="nil"/>
              <w:bottom w:val="nil"/>
              <w:right w:val="nil"/>
            </w:tcBorders>
            <w:shd w:val="clear" w:color="auto" w:fill="auto"/>
            <w:noWrap/>
            <w:vAlign w:val="center"/>
            <w:hideMark/>
          </w:tcPr>
          <w:p w14:paraId="4EC7D3C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60" w:type="dxa"/>
            <w:tcBorders>
              <w:top w:val="nil"/>
              <w:left w:val="nil"/>
              <w:bottom w:val="nil"/>
              <w:right w:val="nil"/>
            </w:tcBorders>
            <w:shd w:val="clear" w:color="auto" w:fill="auto"/>
            <w:noWrap/>
            <w:vAlign w:val="center"/>
            <w:hideMark/>
          </w:tcPr>
          <w:p w14:paraId="631565D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-1.096</w:t>
            </w:r>
          </w:p>
        </w:tc>
        <w:tc>
          <w:tcPr>
            <w:tcW w:w="956" w:type="dxa"/>
            <w:tcBorders>
              <w:top w:val="nil"/>
              <w:left w:val="nil"/>
              <w:bottom w:val="nil"/>
              <w:right w:val="nil"/>
            </w:tcBorders>
            <w:shd w:val="clear" w:color="auto" w:fill="auto"/>
            <w:noWrap/>
            <w:vAlign w:val="center"/>
            <w:hideMark/>
          </w:tcPr>
          <w:p w14:paraId="46EFF6E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-1.883</w:t>
            </w:r>
          </w:p>
        </w:tc>
        <w:tc>
          <w:tcPr>
            <w:tcW w:w="954" w:type="dxa"/>
            <w:tcBorders>
              <w:top w:val="nil"/>
              <w:left w:val="nil"/>
              <w:bottom w:val="nil"/>
              <w:right w:val="nil"/>
            </w:tcBorders>
            <w:shd w:val="clear" w:color="auto" w:fill="auto"/>
            <w:noWrap/>
            <w:vAlign w:val="center"/>
            <w:hideMark/>
          </w:tcPr>
          <w:p w14:paraId="7EE04FB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7E5FF29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0.327</w:t>
            </w:r>
          </w:p>
        </w:tc>
        <w:tc>
          <w:tcPr>
            <w:tcW w:w="994" w:type="dxa"/>
            <w:tcBorders>
              <w:top w:val="nil"/>
              <w:left w:val="nil"/>
              <w:bottom w:val="nil"/>
              <w:right w:val="nil"/>
            </w:tcBorders>
            <w:shd w:val="clear" w:color="auto" w:fill="auto"/>
            <w:noWrap/>
            <w:vAlign w:val="center"/>
            <w:hideMark/>
          </w:tcPr>
          <w:p w14:paraId="41EB023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0.037</w:t>
            </w:r>
          </w:p>
        </w:tc>
        <w:tc>
          <w:tcPr>
            <w:tcW w:w="944" w:type="dxa"/>
            <w:tcBorders>
              <w:top w:val="nil"/>
              <w:left w:val="nil"/>
              <w:bottom w:val="nil"/>
              <w:right w:val="single" w:sz="4" w:space="0" w:color="auto"/>
            </w:tcBorders>
            <w:shd w:val="clear" w:color="auto" w:fill="auto"/>
            <w:noWrap/>
            <w:vAlign w:val="center"/>
            <w:hideMark/>
          </w:tcPr>
          <w:p w14:paraId="6FC0029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-1.957</w:t>
            </w:r>
          </w:p>
        </w:tc>
      </w:tr>
      <w:tr w:rsidR="00ED02A4" w:rsidRPr="00AC0EE7" w14:paraId="5FC800FB"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803372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-2.029</w:t>
            </w:r>
          </w:p>
        </w:tc>
        <w:tc>
          <w:tcPr>
            <w:tcW w:w="934" w:type="dxa"/>
            <w:tcBorders>
              <w:top w:val="nil"/>
              <w:left w:val="nil"/>
              <w:bottom w:val="nil"/>
              <w:right w:val="nil"/>
            </w:tcBorders>
            <w:shd w:val="clear" w:color="auto" w:fill="auto"/>
            <w:noWrap/>
            <w:vAlign w:val="center"/>
            <w:hideMark/>
          </w:tcPr>
          <w:p w14:paraId="4E68D3D9"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60" w:type="dxa"/>
            <w:tcBorders>
              <w:top w:val="nil"/>
              <w:left w:val="nil"/>
              <w:bottom w:val="nil"/>
              <w:right w:val="nil"/>
            </w:tcBorders>
            <w:shd w:val="clear" w:color="auto" w:fill="auto"/>
            <w:noWrap/>
            <w:vAlign w:val="center"/>
            <w:hideMark/>
          </w:tcPr>
          <w:p w14:paraId="26941A8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-1.733</w:t>
            </w:r>
          </w:p>
        </w:tc>
        <w:tc>
          <w:tcPr>
            <w:tcW w:w="956" w:type="dxa"/>
            <w:tcBorders>
              <w:top w:val="nil"/>
              <w:left w:val="nil"/>
              <w:bottom w:val="nil"/>
              <w:right w:val="nil"/>
            </w:tcBorders>
            <w:shd w:val="clear" w:color="auto" w:fill="auto"/>
            <w:noWrap/>
            <w:vAlign w:val="center"/>
            <w:hideMark/>
          </w:tcPr>
          <w:p w14:paraId="1AC98535" w14:textId="3551E0B9"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-2.28</w:t>
            </w:r>
            <w:r w:rsidR="00BA4657">
              <w:rPr>
                <w:rFonts w:ascii="Calibri" w:eastAsia="Times New Roman" w:hAnsi="Calibri" w:cs="Calibri"/>
                <w:b/>
                <w:bCs/>
                <w:i/>
                <w:iCs/>
                <w:color w:val="000000"/>
                <w:sz w:val="18"/>
                <w:szCs w:val="18"/>
                <w:lang w:eastAsia="en-IE"/>
              </w:rPr>
              <w:t>0</w:t>
            </w:r>
          </w:p>
        </w:tc>
        <w:tc>
          <w:tcPr>
            <w:tcW w:w="954" w:type="dxa"/>
            <w:tcBorders>
              <w:top w:val="nil"/>
              <w:left w:val="nil"/>
              <w:bottom w:val="nil"/>
              <w:right w:val="nil"/>
            </w:tcBorders>
            <w:shd w:val="clear" w:color="auto" w:fill="auto"/>
            <w:noWrap/>
            <w:vAlign w:val="center"/>
            <w:hideMark/>
          </w:tcPr>
          <w:p w14:paraId="4007FA8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0D22D055" w14:textId="47CF34C8"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0.456</w:t>
            </w:r>
          </w:p>
        </w:tc>
        <w:tc>
          <w:tcPr>
            <w:tcW w:w="994" w:type="dxa"/>
            <w:tcBorders>
              <w:top w:val="nil"/>
              <w:left w:val="nil"/>
              <w:bottom w:val="nil"/>
              <w:right w:val="nil"/>
            </w:tcBorders>
            <w:shd w:val="clear" w:color="auto" w:fill="auto"/>
            <w:noWrap/>
            <w:vAlign w:val="center"/>
            <w:hideMark/>
          </w:tcPr>
          <w:p w14:paraId="0B9F04B4" w14:textId="7328C09C"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0.378</w:t>
            </w:r>
          </w:p>
        </w:tc>
        <w:tc>
          <w:tcPr>
            <w:tcW w:w="944" w:type="dxa"/>
            <w:tcBorders>
              <w:top w:val="nil"/>
              <w:left w:val="nil"/>
              <w:bottom w:val="nil"/>
              <w:right w:val="single" w:sz="4" w:space="0" w:color="auto"/>
            </w:tcBorders>
            <w:shd w:val="clear" w:color="auto" w:fill="auto"/>
            <w:noWrap/>
            <w:vAlign w:val="center"/>
            <w:hideMark/>
          </w:tcPr>
          <w:p w14:paraId="6E842D3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-0.582</w:t>
            </w:r>
          </w:p>
        </w:tc>
      </w:tr>
      <w:tr w:rsidR="00ED02A4" w:rsidRPr="00AC0EE7" w14:paraId="2E4CC3B4"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6DA813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Cyprus</w:t>
            </w:r>
          </w:p>
        </w:tc>
        <w:tc>
          <w:tcPr>
            <w:tcW w:w="934" w:type="dxa"/>
            <w:tcBorders>
              <w:top w:val="nil"/>
              <w:left w:val="nil"/>
              <w:bottom w:val="nil"/>
              <w:right w:val="nil"/>
            </w:tcBorders>
            <w:shd w:val="clear" w:color="auto" w:fill="auto"/>
            <w:noWrap/>
            <w:vAlign w:val="center"/>
            <w:hideMark/>
          </w:tcPr>
          <w:p w14:paraId="579BE14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Czech Rep.</w:t>
            </w:r>
          </w:p>
        </w:tc>
        <w:tc>
          <w:tcPr>
            <w:tcW w:w="960" w:type="dxa"/>
            <w:tcBorders>
              <w:top w:val="nil"/>
              <w:left w:val="nil"/>
              <w:bottom w:val="nil"/>
              <w:right w:val="nil"/>
            </w:tcBorders>
            <w:shd w:val="clear" w:color="auto" w:fill="auto"/>
            <w:noWrap/>
            <w:vAlign w:val="center"/>
            <w:hideMark/>
          </w:tcPr>
          <w:p w14:paraId="121DAFB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Denmark</w:t>
            </w:r>
          </w:p>
        </w:tc>
        <w:tc>
          <w:tcPr>
            <w:tcW w:w="956" w:type="dxa"/>
            <w:tcBorders>
              <w:top w:val="nil"/>
              <w:left w:val="nil"/>
              <w:bottom w:val="nil"/>
              <w:right w:val="nil"/>
            </w:tcBorders>
            <w:shd w:val="clear" w:color="auto" w:fill="auto"/>
            <w:noWrap/>
            <w:vAlign w:val="center"/>
            <w:hideMark/>
          </w:tcPr>
          <w:p w14:paraId="17EADA4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Ecuador</w:t>
            </w:r>
          </w:p>
        </w:tc>
        <w:tc>
          <w:tcPr>
            <w:tcW w:w="954" w:type="dxa"/>
            <w:tcBorders>
              <w:top w:val="nil"/>
              <w:left w:val="nil"/>
              <w:bottom w:val="nil"/>
              <w:right w:val="nil"/>
            </w:tcBorders>
            <w:shd w:val="clear" w:color="auto" w:fill="auto"/>
            <w:noWrap/>
            <w:vAlign w:val="center"/>
            <w:hideMark/>
          </w:tcPr>
          <w:p w14:paraId="27C54EC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Egypt</w:t>
            </w:r>
          </w:p>
        </w:tc>
        <w:tc>
          <w:tcPr>
            <w:tcW w:w="939" w:type="dxa"/>
            <w:tcBorders>
              <w:top w:val="nil"/>
              <w:left w:val="nil"/>
              <w:bottom w:val="nil"/>
              <w:right w:val="nil"/>
            </w:tcBorders>
            <w:shd w:val="clear" w:color="auto" w:fill="auto"/>
            <w:noWrap/>
            <w:vAlign w:val="center"/>
            <w:hideMark/>
          </w:tcPr>
          <w:p w14:paraId="576C18D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Estonia</w:t>
            </w:r>
          </w:p>
        </w:tc>
        <w:tc>
          <w:tcPr>
            <w:tcW w:w="994" w:type="dxa"/>
            <w:tcBorders>
              <w:top w:val="nil"/>
              <w:left w:val="nil"/>
              <w:bottom w:val="nil"/>
              <w:right w:val="nil"/>
            </w:tcBorders>
            <w:shd w:val="clear" w:color="auto" w:fill="auto"/>
            <w:noWrap/>
            <w:vAlign w:val="center"/>
            <w:hideMark/>
          </w:tcPr>
          <w:p w14:paraId="69019CD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Finland</w:t>
            </w:r>
          </w:p>
        </w:tc>
        <w:tc>
          <w:tcPr>
            <w:tcW w:w="944" w:type="dxa"/>
            <w:tcBorders>
              <w:top w:val="nil"/>
              <w:left w:val="nil"/>
              <w:bottom w:val="nil"/>
              <w:right w:val="single" w:sz="4" w:space="0" w:color="auto"/>
            </w:tcBorders>
            <w:shd w:val="clear" w:color="auto" w:fill="auto"/>
            <w:noWrap/>
            <w:vAlign w:val="center"/>
            <w:hideMark/>
          </w:tcPr>
          <w:p w14:paraId="7DEAA87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France</w:t>
            </w:r>
          </w:p>
        </w:tc>
      </w:tr>
      <w:tr w:rsidR="00ED02A4" w:rsidRPr="00AC0EE7" w14:paraId="3FB6E600"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1FCA35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34" w:type="dxa"/>
            <w:tcBorders>
              <w:top w:val="nil"/>
              <w:left w:val="nil"/>
              <w:bottom w:val="nil"/>
              <w:right w:val="nil"/>
            </w:tcBorders>
            <w:shd w:val="clear" w:color="auto" w:fill="auto"/>
            <w:noWrap/>
            <w:vAlign w:val="center"/>
            <w:hideMark/>
          </w:tcPr>
          <w:p w14:paraId="6412F70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-3.666</w:t>
            </w:r>
          </w:p>
        </w:tc>
        <w:tc>
          <w:tcPr>
            <w:tcW w:w="960" w:type="dxa"/>
            <w:tcBorders>
              <w:top w:val="nil"/>
              <w:left w:val="nil"/>
              <w:bottom w:val="nil"/>
              <w:right w:val="nil"/>
            </w:tcBorders>
            <w:shd w:val="clear" w:color="auto" w:fill="auto"/>
            <w:noWrap/>
            <w:vAlign w:val="center"/>
            <w:hideMark/>
          </w:tcPr>
          <w:p w14:paraId="469AB64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0.817</w:t>
            </w:r>
          </w:p>
        </w:tc>
        <w:tc>
          <w:tcPr>
            <w:tcW w:w="956" w:type="dxa"/>
            <w:tcBorders>
              <w:top w:val="nil"/>
              <w:left w:val="nil"/>
              <w:bottom w:val="nil"/>
              <w:right w:val="nil"/>
            </w:tcBorders>
            <w:shd w:val="clear" w:color="auto" w:fill="auto"/>
            <w:noWrap/>
            <w:vAlign w:val="center"/>
            <w:hideMark/>
          </w:tcPr>
          <w:p w14:paraId="384ED41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-0.143</w:t>
            </w:r>
          </w:p>
        </w:tc>
        <w:tc>
          <w:tcPr>
            <w:tcW w:w="954" w:type="dxa"/>
            <w:tcBorders>
              <w:top w:val="nil"/>
              <w:left w:val="nil"/>
              <w:bottom w:val="nil"/>
              <w:right w:val="nil"/>
            </w:tcBorders>
            <w:shd w:val="clear" w:color="auto" w:fill="auto"/>
            <w:noWrap/>
            <w:vAlign w:val="center"/>
            <w:hideMark/>
          </w:tcPr>
          <w:p w14:paraId="432B9FE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0.086</w:t>
            </w:r>
          </w:p>
        </w:tc>
        <w:tc>
          <w:tcPr>
            <w:tcW w:w="939" w:type="dxa"/>
            <w:tcBorders>
              <w:top w:val="nil"/>
              <w:left w:val="nil"/>
              <w:bottom w:val="nil"/>
              <w:right w:val="nil"/>
            </w:tcBorders>
            <w:shd w:val="clear" w:color="auto" w:fill="auto"/>
            <w:noWrap/>
            <w:vAlign w:val="center"/>
            <w:hideMark/>
          </w:tcPr>
          <w:p w14:paraId="7BA2D63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-0.029</w:t>
            </w:r>
          </w:p>
        </w:tc>
        <w:tc>
          <w:tcPr>
            <w:tcW w:w="994" w:type="dxa"/>
            <w:tcBorders>
              <w:top w:val="nil"/>
              <w:left w:val="nil"/>
              <w:bottom w:val="nil"/>
              <w:right w:val="nil"/>
            </w:tcBorders>
            <w:shd w:val="clear" w:color="auto" w:fill="auto"/>
            <w:noWrap/>
            <w:vAlign w:val="center"/>
            <w:hideMark/>
          </w:tcPr>
          <w:p w14:paraId="310189C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-1.158</w:t>
            </w:r>
          </w:p>
        </w:tc>
        <w:tc>
          <w:tcPr>
            <w:tcW w:w="944" w:type="dxa"/>
            <w:tcBorders>
              <w:top w:val="nil"/>
              <w:left w:val="nil"/>
              <w:bottom w:val="nil"/>
              <w:right w:val="single" w:sz="4" w:space="0" w:color="auto"/>
            </w:tcBorders>
            <w:shd w:val="clear" w:color="auto" w:fill="auto"/>
            <w:noWrap/>
            <w:vAlign w:val="center"/>
            <w:hideMark/>
          </w:tcPr>
          <w:p w14:paraId="2310346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-1.086</w:t>
            </w:r>
          </w:p>
        </w:tc>
      </w:tr>
      <w:tr w:rsidR="00ED02A4" w:rsidRPr="00AC0EE7" w14:paraId="23ECB296"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6A269A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34" w:type="dxa"/>
            <w:tcBorders>
              <w:top w:val="nil"/>
              <w:left w:val="nil"/>
              <w:bottom w:val="nil"/>
              <w:right w:val="nil"/>
            </w:tcBorders>
            <w:shd w:val="clear" w:color="auto" w:fill="auto"/>
            <w:noWrap/>
            <w:vAlign w:val="center"/>
            <w:hideMark/>
          </w:tcPr>
          <w:p w14:paraId="7FBB71AC" w14:textId="2BAC4402"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-1.38</w:t>
            </w:r>
            <w:r w:rsidR="00C10819">
              <w:rPr>
                <w:rFonts w:ascii="Calibri" w:eastAsia="Times New Roman" w:hAnsi="Calibri" w:cs="Calibri"/>
                <w:b/>
                <w:bCs/>
                <w:i/>
                <w:iCs/>
                <w:color w:val="000000"/>
                <w:sz w:val="18"/>
                <w:szCs w:val="18"/>
                <w:lang w:eastAsia="en-IE"/>
              </w:rPr>
              <w:t>0</w:t>
            </w:r>
          </w:p>
        </w:tc>
        <w:tc>
          <w:tcPr>
            <w:tcW w:w="960" w:type="dxa"/>
            <w:tcBorders>
              <w:top w:val="nil"/>
              <w:left w:val="nil"/>
              <w:bottom w:val="nil"/>
              <w:right w:val="nil"/>
            </w:tcBorders>
            <w:shd w:val="clear" w:color="auto" w:fill="auto"/>
            <w:noWrap/>
            <w:vAlign w:val="center"/>
            <w:hideMark/>
          </w:tcPr>
          <w:p w14:paraId="5504BD0F" w14:textId="7D720659"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2.017</w:t>
            </w:r>
          </w:p>
        </w:tc>
        <w:tc>
          <w:tcPr>
            <w:tcW w:w="956" w:type="dxa"/>
            <w:tcBorders>
              <w:top w:val="nil"/>
              <w:left w:val="nil"/>
              <w:bottom w:val="nil"/>
              <w:right w:val="nil"/>
            </w:tcBorders>
            <w:shd w:val="clear" w:color="auto" w:fill="auto"/>
            <w:noWrap/>
            <w:vAlign w:val="center"/>
            <w:hideMark/>
          </w:tcPr>
          <w:p w14:paraId="31D5BFBE"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-0.931</w:t>
            </w:r>
          </w:p>
        </w:tc>
        <w:tc>
          <w:tcPr>
            <w:tcW w:w="954" w:type="dxa"/>
            <w:tcBorders>
              <w:top w:val="nil"/>
              <w:left w:val="nil"/>
              <w:bottom w:val="nil"/>
              <w:right w:val="nil"/>
            </w:tcBorders>
            <w:shd w:val="clear" w:color="auto" w:fill="auto"/>
            <w:noWrap/>
            <w:vAlign w:val="center"/>
            <w:hideMark/>
          </w:tcPr>
          <w:p w14:paraId="7029A6F3" w14:textId="1A6A70E8"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0.19</w:t>
            </w:r>
            <w:r w:rsidR="00C10819">
              <w:rPr>
                <w:rFonts w:ascii="Calibri" w:eastAsia="Times New Roman" w:hAnsi="Calibri" w:cs="Calibri"/>
                <w:b/>
                <w:bCs/>
                <w:i/>
                <w:iCs/>
                <w:color w:val="000000"/>
                <w:sz w:val="18"/>
                <w:szCs w:val="18"/>
                <w:lang w:eastAsia="en-IE"/>
              </w:rPr>
              <w:t>0</w:t>
            </w:r>
          </w:p>
        </w:tc>
        <w:tc>
          <w:tcPr>
            <w:tcW w:w="939" w:type="dxa"/>
            <w:tcBorders>
              <w:top w:val="nil"/>
              <w:left w:val="nil"/>
              <w:bottom w:val="nil"/>
              <w:right w:val="nil"/>
            </w:tcBorders>
            <w:shd w:val="clear" w:color="auto" w:fill="auto"/>
            <w:noWrap/>
            <w:vAlign w:val="center"/>
            <w:hideMark/>
          </w:tcPr>
          <w:p w14:paraId="08F6AAB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-0.205</w:t>
            </w:r>
          </w:p>
        </w:tc>
        <w:tc>
          <w:tcPr>
            <w:tcW w:w="994" w:type="dxa"/>
            <w:tcBorders>
              <w:top w:val="nil"/>
              <w:left w:val="nil"/>
              <w:bottom w:val="nil"/>
              <w:right w:val="nil"/>
            </w:tcBorders>
            <w:shd w:val="clear" w:color="auto" w:fill="auto"/>
            <w:noWrap/>
            <w:vAlign w:val="center"/>
            <w:hideMark/>
          </w:tcPr>
          <w:p w14:paraId="79FF3039"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-0.811</w:t>
            </w:r>
          </w:p>
        </w:tc>
        <w:tc>
          <w:tcPr>
            <w:tcW w:w="944" w:type="dxa"/>
            <w:tcBorders>
              <w:top w:val="nil"/>
              <w:left w:val="nil"/>
              <w:bottom w:val="nil"/>
              <w:right w:val="single" w:sz="4" w:space="0" w:color="auto"/>
            </w:tcBorders>
            <w:shd w:val="clear" w:color="auto" w:fill="auto"/>
            <w:noWrap/>
            <w:vAlign w:val="center"/>
            <w:hideMark/>
          </w:tcPr>
          <w:p w14:paraId="4DE9F870"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-0.962</w:t>
            </w:r>
          </w:p>
        </w:tc>
      </w:tr>
      <w:tr w:rsidR="00ED02A4" w:rsidRPr="00AC0EE7" w14:paraId="667FE633"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A8BEC6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Germany</w:t>
            </w:r>
          </w:p>
        </w:tc>
        <w:tc>
          <w:tcPr>
            <w:tcW w:w="934" w:type="dxa"/>
            <w:tcBorders>
              <w:top w:val="nil"/>
              <w:left w:val="nil"/>
              <w:bottom w:val="nil"/>
              <w:right w:val="nil"/>
            </w:tcBorders>
            <w:shd w:val="clear" w:color="auto" w:fill="auto"/>
            <w:noWrap/>
            <w:vAlign w:val="center"/>
            <w:hideMark/>
          </w:tcPr>
          <w:p w14:paraId="74F9D37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Ghana</w:t>
            </w:r>
          </w:p>
        </w:tc>
        <w:tc>
          <w:tcPr>
            <w:tcW w:w="960" w:type="dxa"/>
            <w:tcBorders>
              <w:top w:val="nil"/>
              <w:left w:val="nil"/>
              <w:bottom w:val="nil"/>
              <w:right w:val="nil"/>
            </w:tcBorders>
            <w:shd w:val="clear" w:color="auto" w:fill="auto"/>
            <w:noWrap/>
            <w:vAlign w:val="center"/>
            <w:hideMark/>
          </w:tcPr>
          <w:p w14:paraId="2F3222B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Greece</w:t>
            </w:r>
          </w:p>
        </w:tc>
        <w:tc>
          <w:tcPr>
            <w:tcW w:w="956" w:type="dxa"/>
            <w:tcBorders>
              <w:top w:val="nil"/>
              <w:left w:val="nil"/>
              <w:bottom w:val="nil"/>
              <w:right w:val="nil"/>
            </w:tcBorders>
            <w:shd w:val="clear" w:color="auto" w:fill="auto"/>
            <w:noWrap/>
            <w:vAlign w:val="center"/>
            <w:hideMark/>
          </w:tcPr>
          <w:p w14:paraId="316BBAC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Hong Kong</w:t>
            </w:r>
          </w:p>
        </w:tc>
        <w:tc>
          <w:tcPr>
            <w:tcW w:w="954" w:type="dxa"/>
            <w:tcBorders>
              <w:top w:val="nil"/>
              <w:left w:val="nil"/>
              <w:bottom w:val="nil"/>
              <w:right w:val="nil"/>
            </w:tcBorders>
            <w:shd w:val="clear" w:color="auto" w:fill="auto"/>
            <w:noWrap/>
            <w:vAlign w:val="center"/>
            <w:hideMark/>
          </w:tcPr>
          <w:p w14:paraId="0CEA13E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Hungary</w:t>
            </w:r>
          </w:p>
        </w:tc>
        <w:tc>
          <w:tcPr>
            <w:tcW w:w="939" w:type="dxa"/>
            <w:tcBorders>
              <w:top w:val="nil"/>
              <w:left w:val="nil"/>
              <w:bottom w:val="nil"/>
              <w:right w:val="nil"/>
            </w:tcBorders>
            <w:shd w:val="clear" w:color="auto" w:fill="auto"/>
            <w:noWrap/>
            <w:vAlign w:val="center"/>
            <w:hideMark/>
          </w:tcPr>
          <w:p w14:paraId="0B0A5F0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Iceland</w:t>
            </w:r>
          </w:p>
        </w:tc>
        <w:tc>
          <w:tcPr>
            <w:tcW w:w="994" w:type="dxa"/>
            <w:tcBorders>
              <w:top w:val="nil"/>
              <w:left w:val="nil"/>
              <w:bottom w:val="nil"/>
              <w:right w:val="nil"/>
            </w:tcBorders>
            <w:shd w:val="clear" w:color="auto" w:fill="auto"/>
            <w:noWrap/>
            <w:vAlign w:val="center"/>
            <w:hideMark/>
          </w:tcPr>
          <w:p w14:paraId="27ED89A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India</w:t>
            </w:r>
          </w:p>
        </w:tc>
        <w:tc>
          <w:tcPr>
            <w:tcW w:w="944" w:type="dxa"/>
            <w:tcBorders>
              <w:top w:val="nil"/>
              <w:left w:val="nil"/>
              <w:bottom w:val="nil"/>
              <w:right w:val="single" w:sz="4" w:space="0" w:color="auto"/>
            </w:tcBorders>
            <w:shd w:val="clear" w:color="auto" w:fill="auto"/>
            <w:noWrap/>
            <w:vAlign w:val="center"/>
            <w:hideMark/>
          </w:tcPr>
          <w:p w14:paraId="5EC5D4C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Indonesia</w:t>
            </w:r>
          </w:p>
        </w:tc>
      </w:tr>
      <w:tr w:rsidR="00ED02A4" w:rsidRPr="00AC0EE7" w14:paraId="30A00A53"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3AF168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-0.487</w:t>
            </w:r>
          </w:p>
        </w:tc>
        <w:tc>
          <w:tcPr>
            <w:tcW w:w="934" w:type="dxa"/>
            <w:tcBorders>
              <w:top w:val="nil"/>
              <w:left w:val="nil"/>
              <w:bottom w:val="nil"/>
              <w:right w:val="nil"/>
            </w:tcBorders>
            <w:shd w:val="clear" w:color="auto" w:fill="auto"/>
            <w:noWrap/>
            <w:vAlign w:val="center"/>
            <w:hideMark/>
          </w:tcPr>
          <w:p w14:paraId="7F01323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60" w:type="dxa"/>
            <w:tcBorders>
              <w:top w:val="nil"/>
              <w:left w:val="nil"/>
              <w:bottom w:val="nil"/>
              <w:right w:val="nil"/>
            </w:tcBorders>
            <w:shd w:val="clear" w:color="auto" w:fill="auto"/>
            <w:noWrap/>
            <w:vAlign w:val="center"/>
            <w:hideMark/>
          </w:tcPr>
          <w:p w14:paraId="6BF0E9C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0.056</w:t>
            </w:r>
          </w:p>
        </w:tc>
        <w:tc>
          <w:tcPr>
            <w:tcW w:w="956" w:type="dxa"/>
            <w:tcBorders>
              <w:top w:val="nil"/>
              <w:left w:val="nil"/>
              <w:bottom w:val="nil"/>
              <w:right w:val="nil"/>
            </w:tcBorders>
            <w:shd w:val="clear" w:color="auto" w:fill="auto"/>
            <w:noWrap/>
            <w:vAlign w:val="center"/>
            <w:hideMark/>
          </w:tcPr>
          <w:p w14:paraId="1446851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-1.105</w:t>
            </w:r>
          </w:p>
        </w:tc>
        <w:tc>
          <w:tcPr>
            <w:tcW w:w="954" w:type="dxa"/>
            <w:tcBorders>
              <w:top w:val="nil"/>
              <w:left w:val="nil"/>
              <w:bottom w:val="nil"/>
              <w:right w:val="nil"/>
            </w:tcBorders>
            <w:shd w:val="clear" w:color="auto" w:fill="auto"/>
            <w:noWrap/>
            <w:vAlign w:val="center"/>
            <w:hideMark/>
          </w:tcPr>
          <w:p w14:paraId="706C839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-3.675</w:t>
            </w:r>
          </w:p>
        </w:tc>
        <w:tc>
          <w:tcPr>
            <w:tcW w:w="939" w:type="dxa"/>
            <w:tcBorders>
              <w:top w:val="nil"/>
              <w:left w:val="nil"/>
              <w:bottom w:val="nil"/>
              <w:right w:val="nil"/>
            </w:tcBorders>
            <w:shd w:val="clear" w:color="auto" w:fill="auto"/>
            <w:noWrap/>
            <w:vAlign w:val="center"/>
            <w:hideMark/>
          </w:tcPr>
          <w:p w14:paraId="0E00451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0.177</w:t>
            </w:r>
          </w:p>
        </w:tc>
        <w:tc>
          <w:tcPr>
            <w:tcW w:w="994" w:type="dxa"/>
            <w:tcBorders>
              <w:top w:val="nil"/>
              <w:left w:val="nil"/>
              <w:bottom w:val="nil"/>
              <w:right w:val="nil"/>
            </w:tcBorders>
            <w:shd w:val="clear" w:color="auto" w:fill="auto"/>
            <w:noWrap/>
            <w:vAlign w:val="center"/>
            <w:hideMark/>
          </w:tcPr>
          <w:p w14:paraId="3B666C8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-0.094</w:t>
            </w:r>
          </w:p>
        </w:tc>
        <w:tc>
          <w:tcPr>
            <w:tcW w:w="944" w:type="dxa"/>
            <w:tcBorders>
              <w:top w:val="nil"/>
              <w:left w:val="nil"/>
              <w:bottom w:val="nil"/>
              <w:right w:val="single" w:sz="4" w:space="0" w:color="auto"/>
            </w:tcBorders>
            <w:shd w:val="clear" w:color="auto" w:fill="auto"/>
            <w:noWrap/>
            <w:vAlign w:val="center"/>
            <w:hideMark/>
          </w:tcPr>
          <w:p w14:paraId="635E383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r>
      <w:tr w:rsidR="00ED02A4" w:rsidRPr="00AC0EE7" w14:paraId="507F2BF9"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06B8D24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-0.402</w:t>
            </w:r>
          </w:p>
        </w:tc>
        <w:tc>
          <w:tcPr>
            <w:tcW w:w="934" w:type="dxa"/>
            <w:tcBorders>
              <w:top w:val="nil"/>
              <w:left w:val="nil"/>
              <w:bottom w:val="nil"/>
              <w:right w:val="nil"/>
            </w:tcBorders>
            <w:shd w:val="clear" w:color="auto" w:fill="auto"/>
            <w:noWrap/>
            <w:vAlign w:val="center"/>
            <w:hideMark/>
          </w:tcPr>
          <w:p w14:paraId="7B684D4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60" w:type="dxa"/>
            <w:tcBorders>
              <w:top w:val="nil"/>
              <w:left w:val="nil"/>
              <w:bottom w:val="nil"/>
              <w:right w:val="nil"/>
            </w:tcBorders>
            <w:shd w:val="clear" w:color="auto" w:fill="auto"/>
            <w:noWrap/>
            <w:vAlign w:val="center"/>
            <w:hideMark/>
          </w:tcPr>
          <w:p w14:paraId="6B6A7CCE" w14:textId="007A2F6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0.1</w:t>
            </w:r>
            <w:r w:rsidR="00C10819">
              <w:rPr>
                <w:rFonts w:ascii="Calibri" w:eastAsia="Times New Roman" w:hAnsi="Calibri" w:cs="Calibri"/>
                <w:b/>
                <w:bCs/>
                <w:i/>
                <w:iCs/>
                <w:color w:val="000000"/>
                <w:sz w:val="18"/>
                <w:szCs w:val="18"/>
                <w:lang w:eastAsia="en-IE"/>
              </w:rPr>
              <w:t>00</w:t>
            </w:r>
          </w:p>
        </w:tc>
        <w:tc>
          <w:tcPr>
            <w:tcW w:w="956" w:type="dxa"/>
            <w:tcBorders>
              <w:top w:val="nil"/>
              <w:left w:val="nil"/>
              <w:bottom w:val="nil"/>
              <w:right w:val="nil"/>
            </w:tcBorders>
            <w:shd w:val="clear" w:color="auto" w:fill="auto"/>
            <w:noWrap/>
            <w:vAlign w:val="center"/>
            <w:hideMark/>
          </w:tcPr>
          <w:p w14:paraId="6F42D202" w14:textId="5E6D8C4D"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-1.24</w:t>
            </w:r>
            <w:r w:rsidR="00C10819">
              <w:rPr>
                <w:rFonts w:ascii="Calibri" w:eastAsia="Times New Roman" w:hAnsi="Calibri" w:cs="Calibri"/>
                <w:b/>
                <w:bCs/>
                <w:i/>
                <w:iCs/>
                <w:color w:val="000000"/>
                <w:sz w:val="18"/>
                <w:szCs w:val="18"/>
                <w:lang w:eastAsia="en-IE"/>
              </w:rPr>
              <w:t>0</w:t>
            </w:r>
          </w:p>
        </w:tc>
        <w:tc>
          <w:tcPr>
            <w:tcW w:w="954" w:type="dxa"/>
            <w:tcBorders>
              <w:top w:val="nil"/>
              <w:left w:val="nil"/>
              <w:bottom w:val="nil"/>
              <w:right w:val="nil"/>
            </w:tcBorders>
            <w:shd w:val="clear" w:color="auto" w:fill="auto"/>
            <w:noWrap/>
            <w:vAlign w:val="center"/>
            <w:hideMark/>
          </w:tcPr>
          <w:p w14:paraId="717F9B9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-2.552</w:t>
            </w:r>
          </w:p>
        </w:tc>
        <w:tc>
          <w:tcPr>
            <w:tcW w:w="939" w:type="dxa"/>
            <w:tcBorders>
              <w:top w:val="nil"/>
              <w:left w:val="nil"/>
              <w:bottom w:val="nil"/>
              <w:right w:val="nil"/>
            </w:tcBorders>
            <w:shd w:val="clear" w:color="auto" w:fill="auto"/>
            <w:noWrap/>
            <w:vAlign w:val="center"/>
            <w:hideMark/>
          </w:tcPr>
          <w:p w14:paraId="47803230" w14:textId="6A7941F4"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0.904</w:t>
            </w:r>
          </w:p>
        </w:tc>
        <w:tc>
          <w:tcPr>
            <w:tcW w:w="994" w:type="dxa"/>
            <w:tcBorders>
              <w:top w:val="nil"/>
              <w:left w:val="nil"/>
              <w:bottom w:val="nil"/>
              <w:right w:val="nil"/>
            </w:tcBorders>
            <w:shd w:val="clear" w:color="auto" w:fill="auto"/>
            <w:noWrap/>
            <w:vAlign w:val="center"/>
            <w:hideMark/>
          </w:tcPr>
          <w:p w14:paraId="1C1248E9"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-0.397</w:t>
            </w:r>
          </w:p>
        </w:tc>
        <w:tc>
          <w:tcPr>
            <w:tcW w:w="944" w:type="dxa"/>
            <w:tcBorders>
              <w:top w:val="nil"/>
              <w:left w:val="nil"/>
              <w:bottom w:val="nil"/>
              <w:right w:val="single" w:sz="4" w:space="0" w:color="auto"/>
            </w:tcBorders>
            <w:shd w:val="clear" w:color="auto" w:fill="auto"/>
            <w:noWrap/>
            <w:vAlign w:val="center"/>
            <w:hideMark/>
          </w:tcPr>
          <w:p w14:paraId="0483D49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r>
      <w:tr w:rsidR="00ED02A4" w:rsidRPr="00AC0EE7" w14:paraId="24DD230D"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9C6D31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Ireland</w:t>
            </w:r>
          </w:p>
        </w:tc>
        <w:tc>
          <w:tcPr>
            <w:tcW w:w="934" w:type="dxa"/>
            <w:tcBorders>
              <w:top w:val="nil"/>
              <w:left w:val="nil"/>
              <w:bottom w:val="nil"/>
              <w:right w:val="nil"/>
            </w:tcBorders>
            <w:shd w:val="clear" w:color="auto" w:fill="auto"/>
            <w:noWrap/>
            <w:vAlign w:val="center"/>
            <w:hideMark/>
          </w:tcPr>
          <w:p w14:paraId="1B9DC95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Israel</w:t>
            </w:r>
          </w:p>
        </w:tc>
        <w:tc>
          <w:tcPr>
            <w:tcW w:w="960" w:type="dxa"/>
            <w:tcBorders>
              <w:top w:val="nil"/>
              <w:left w:val="nil"/>
              <w:bottom w:val="nil"/>
              <w:right w:val="nil"/>
            </w:tcBorders>
            <w:shd w:val="clear" w:color="auto" w:fill="auto"/>
            <w:noWrap/>
            <w:vAlign w:val="center"/>
            <w:hideMark/>
          </w:tcPr>
          <w:p w14:paraId="0F41E53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Italy</w:t>
            </w:r>
          </w:p>
        </w:tc>
        <w:tc>
          <w:tcPr>
            <w:tcW w:w="956" w:type="dxa"/>
            <w:tcBorders>
              <w:top w:val="nil"/>
              <w:left w:val="nil"/>
              <w:bottom w:val="nil"/>
              <w:right w:val="nil"/>
            </w:tcBorders>
            <w:shd w:val="clear" w:color="auto" w:fill="auto"/>
            <w:noWrap/>
            <w:vAlign w:val="center"/>
            <w:hideMark/>
          </w:tcPr>
          <w:p w14:paraId="6E0394A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Jamaica</w:t>
            </w:r>
          </w:p>
        </w:tc>
        <w:tc>
          <w:tcPr>
            <w:tcW w:w="954" w:type="dxa"/>
            <w:tcBorders>
              <w:top w:val="nil"/>
              <w:left w:val="nil"/>
              <w:bottom w:val="nil"/>
              <w:right w:val="nil"/>
            </w:tcBorders>
            <w:shd w:val="clear" w:color="auto" w:fill="auto"/>
            <w:noWrap/>
            <w:vAlign w:val="center"/>
            <w:hideMark/>
          </w:tcPr>
          <w:p w14:paraId="1A6A6F1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Japan</w:t>
            </w:r>
          </w:p>
        </w:tc>
        <w:tc>
          <w:tcPr>
            <w:tcW w:w="939" w:type="dxa"/>
            <w:tcBorders>
              <w:top w:val="nil"/>
              <w:left w:val="nil"/>
              <w:bottom w:val="nil"/>
              <w:right w:val="nil"/>
            </w:tcBorders>
            <w:shd w:val="clear" w:color="auto" w:fill="auto"/>
            <w:noWrap/>
            <w:vAlign w:val="center"/>
            <w:hideMark/>
          </w:tcPr>
          <w:p w14:paraId="00345D1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Jordan</w:t>
            </w:r>
          </w:p>
        </w:tc>
        <w:tc>
          <w:tcPr>
            <w:tcW w:w="994" w:type="dxa"/>
            <w:tcBorders>
              <w:top w:val="nil"/>
              <w:left w:val="nil"/>
              <w:bottom w:val="nil"/>
              <w:right w:val="nil"/>
            </w:tcBorders>
            <w:shd w:val="clear" w:color="auto" w:fill="auto"/>
            <w:noWrap/>
            <w:vAlign w:val="center"/>
            <w:hideMark/>
          </w:tcPr>
          <w:p w14:paraId="73E4C4E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Kazakhstan</w:t>
            </w:r>
          </w:p>
        </w:tc>
        <w:tc>
          <w:tcPr>
            <w:tcW w:w="944" w:type="dxa"/>
            <w:tcBorders>
              <w:top w:val="nil"/>
              <w:left w:val="nil"/>
              <w:bottom w:val="nil"/>
              <w:right w:val="single" w:sz="4" w:space="0" w:color="auto"/>
            </w:tcBorders>
            <w:shd w:val="clear" w:color="auto" w:fill="auto"/>
            <w:noWrap/>
            <w:vAlign w:val="center"/>
            <w:hideMark/>
          </w:tcPr>
          <w:p w14:paraId="2A62A19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Kenya</w:t>
            </w:r>
          </w:p>
        </w:tc>
      </w:tr>
      <w:tr w:rsidR="00ED02A4" w:rsidRPr="00AC0EE7" w14:paraId="6D519343"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296685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0.369</w:t>
            </w:r>
          </w:p>
        </w:tc>
        <w:tc>
          <w:tcPr>
            <w:tcW w:w="934" w:type="dxa"/>
            <w:tcBorders>
              <w:top w:val="nil"/>
              <w:left w:val="nil"/>
              <w:bottom w:val="nil"/>
              <w:right w:val="nil"/>
            </w:tcBorders>
            <w:shd w:val="clear" w:color="auto" w:fill="auto"/>
            <w:noWrap/>
            <w:vAlign w:val="center"/>
            <w:hideMark/>
          </w:tcPr>
          <w:p w14:paraId="6F2E8BE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-0.723</w:t>
            </w:r>
          </w:p>
        </w:tc>
        <w:tc>
          <w:tcPr>
            <w:tcW w:w="960" w:type="dxa"/>
            <w:tcBorders>
              <w:top w:val="nil"/>
              <w:left w:val="nil"/>
              <w:bottom w:val="nil"/>
              <w:right w:val="nil"/>
            </w:tcBorders>
            <w:shd w:val="clear" w:color="auto" w:fill="auto"/>
            <w:noWrap/>
            <w:vAlign w:val="center"/>
            <w:hideMark/>
          </w:tcPr>
          <w:p w14:paraId="67BB02A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0.065</w:t>
            </w:r>
          </w:p>
        </w:tc>
        <w:tc>
          <w:tcPr>
            <w:tcW w:w="956" w:type="dxa"/>
            <w:tcBorders>
              <w:top w:val="nil"/>
              <w:left w:val="nil"/>
              <w:bottom w:val="nil"/>
              <w:right w:val="nil"/>
            </w:tcBorders>
            <w:shd w:val="clear" w:color="auto" w:fill="auto"/>
            <w:noWrap/>
            <w:vAlign w:val="center"/>
            <w:hideMark/>
          </w:tcPr>
          <w:p w14:paraId="0C6093D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-0.372</w:t>
            </w:r>
          </w:p>
        </w:tc>
        <w:tc>
          <w:tcPr>
            <w:tcW w:w="954" w:type="dxa"/>
            <w:tcBorders>
              <w:top w:val="nil"/>
              <w:left w:val="nil"/>
              <w:bottom w:val="nil"/>
              <w:right w:val="nil"/>
            </w:tcBorders>
            <w:shd w:val="clear" w:color="auto" w:fill="auto"/>
            <w:noWrap/>
            <w:vAlign w:val="center"/>
            <w:hideMark/>
          </w:tcPr>
          <w:p w14:paraId="7013445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0.722</w:t>
            </w:r>
          </w:p>
        </w:tc>
        <w:tc>
          <w:tcPr>
            <w:tcW w:w="939" w:type="dxa"/>
            <w:tcBorders>
              <w:top w:val="nil"/>
              <w:left w:val="nil"/>
              <w:bottom w:val="nil"/>
              <w:right w:val="nil"/>
            </w:tcBorders>
            <w:shd w:val="clear" w:color="auto" w:fill="auto"/>
            <w:noWrap/>
            <w:vAlign w:val="center"/>
            <w:hideMark/>
          </w:tcPr>
          <w:p w14:paraId="2E30A248" w14:textId="40F84065"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0.46</w:t>
            </w:r>
            <w:r w:rsidR="00C10819">
              <w:rPr>
                <w:rFonts w:ascii="Calibri" w:eastAsia="Times New Roman" w:hAnsi="Calibri" w:cs="Calibri"/>
                <w:color w:val="000000"/>
                <w:sz w:val="18"/>
                <w:szCs w:val="18"/>
                <w:lang w:eastAsia="en-IE"/>
              </w:rPr>
              <w:t>0</w:t>
            </w:r>
          </w:p>
        </w:tc>
        <w:tc>
          <w:tcPr>
            <w:tcW w:w="994" w:type="dxa"/>
            <w:tcBorders>
              <w:top w:val="nil"/>
              <w:left w:val="nil"/>
              <w:bottom w:val="nil"/>
              <w:right w:val="nil"/>
            </w:tcBorders>
            <w:shd w:val="clear" w:color="auto" w:fill="auto"/>
            <w:noWrap/>
            <w:vAlign w:val="center"/>
            <w:hideMark/>
          </w:tcPr>
          <w:p w14:paraId="1ACE695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44" w:type="dxa"/>
            <w:tcBorders>
              <w:top w:val="nil"/>
              <w:left w:val="nil"/>
              <w:bottom w:val="nil"/>
              <w:right w:val="single" w:sz="4" w:space="0" w:color="auto"/>
            </w:tcBorders>
            <w:shd w:val="clear" w:color="auto" w:fill="auto"/>
            <w:noWrap/>
            <w:vAlign w:val="center"/>
            <w:hideMark/>
          </w:tcPr>
          <w:p w14:paraId="7BAB1500" w14:textId="0ECB3364"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0.01</w:t>
            </w:r>
            <w:r w:rsidR="00C10819">
              <w:rPr>
                <w:rFonts w:ascii="Calibri" w:eastAsia="Times New Roman" w:hAnsi="Calibri" w:cs="Calibri"/>
                <w:color w:val="000000"/>
                <w:sz w:val="18"/>
                <w:szCs w:val="18"/>
                <w:lang w:eastAsia="en-IE"/>
              </w:rPr>
              <w:t>0</w:t>
            </w:r>
          </w:p>
        </w:tc>
      </w:tr>
      <w:tr w:rsidR="00ED02A4" w:rsidRPr="00AC0EE7" w14:paraId="4307FDB8"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D8B71B1" w14:textId="48E42F0B"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0.417</w:t>
            </w:r>
          </w:p>
        </w:tc>
        <w:tc>
          <w:tcPr>
            <w:tcW w:w="934" w:type="dxa"/>
            <w:tcBorders>
              <w:top w:val="nil"/>
              <w:left w:val="nil"/>
              <w:bottom w:val="nil"/>
              <w:right w:val="nil"/>
            </w:tcBorders>
            <w:shd w:val="clear" w:color="auto" w:fill="auto"/>
            <w:noWrap/>
            <w:vAlign w:val="center"/>
            <w:hideMark/>
          </w:tcPr>
          <w:p w14:paraId="199572F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-2.087</w:t>
            </w:r>
          </w:p>
        </w:tc>
        <w:tc>
          <w:tcPr>
            <w:tcW w:w="960" w:type="dxa"/>
            <w:tcBorders>
              <w:top w:val="nil"/>
              <w:left w:val="nil"/>
              <w:bottom w:val="nil"/>
              <w:right w:val="nil"/>
            </w:tcBorders>
            <w:shd w:val="clear" w:color="auto" w:fill="auto"/>
            <w:noWrap/>
            <w:vAlign w:val="center"/>
            <w:hideMark/>
          </w:tcPr>
          <w:p w14:paraId="156905BE" w14:textId="74ED9288"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0.071</w:t>
            </w:r>
          </w:p>
        </w:tc>
        <w:tc>
          <w:tcPr>
            <w:tcW w:w="956" w:type="dxa"/>
            <w:tcBorders>
              <w:top w:val="nil"/>
              <w:left w:val="nil"/>
              <w:bottom w:val="nil"/>
              <w:right w:val="nil"/>
            </w:tcBorders>
            <w:shd w:val="clear" w:color="auto" w:fill="auto"/>
            <w:noWrap/>
            <w:vAlign w:val="center"/>
            <w:hideMark/>
          </w:tcPr>
          <w:p w14:paraId="790DF57B" w14:textId="591B6DEE"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1.603</w:t>
            </w:r>
          </w:p>
        </w:tc>
        <w:tc>
          <w:tcPr>
            <w:tcW w:w="954" w:type="dxa"/>
            <w:tcBorders>
              <w:top w:val="nil"/>
              <w:left w:val="nil"/>
              <w:bottom w:val="nil"/>
              <w:right w:val="nil"/>
            </w:tcBorders>
            <w:shd w:val="clear" w:color="auto" w:fill="auto"/>
            <w:noWrap/>
            <w:vAlign w:val="center"/>
            <w:hideMark/>
          </w:tcPr>
          <w:p w14:paraId="278F5703" w14:textId="0C552D7D"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1.061</w:t>
            </w:r>
          </w:p>
        </w:tc>
        <w:tc>
          <w:tcPr>
            <w:tcW w:w="939" w:type="dxa"/>
            <w:tcBorders>
              <w:top w:val="nil"/>
              <w:left w:val="nil"/>
              <w:bottom w:val="nil"/>
              <w:right w:val="nil"/>
            </w:tcBorders>
            <w:shd w:val="clear" w:color="auto" w:fill="auto"/>
            <w:noWrap/>
            <w:vAlign w:val="center"/>
            <w:hideMark/>
          </w:tcPr>
          <w:p w14:paraId="4109D426" w14:textId="3ABEC8B6"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1.365</w:t>
            </w:r>
          </w:p>
        </w:tc>
        <w:tc>
          <w:tcPr>
            <w:tcW w:w="994" w:type="dxa"/>
            <w:tcBorders>
              <w:top w:val="nil"/>
              <w:left w:val="nil"/>
              <w:bottom w:val="nil"/>
              <w:right w:val="nil"/>
            </w:tcBorders>
            <w:shd w:val="clear" w:color="auto" w:fill="auto"/>
            <w:noWrap/>
            <w:vAlign w:val="center"/>
            <w:hideMark/>
          </w:tcPr>
          <w:p w14:paraId="311C894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44" w:type="dxa"/>
            <w:tcBorders>
              <w:top w:val="nil"/>
              <w:left w:val="nil"/>
              <w:bottom w:val="nil"/>
              <w:right w:val="single" w:sz="4" w:space="0" w:color="auto"/>
            </w:tcBorders>
            <w:shd w:val="clear" w:color="auto" w:fill="auto"/>
            <w:noWrap/>
            <w:vAlign w:val="center"/>
            <w:hideMark/>
          </w:tcPr>
          <w:p w14:paraId="2ECB299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-0.217</w:t>
            </w:r>
          </w:p>
        </w:tc>
      </w:tr>
      <w:tr w:rsidR="00ED02A4" w:rsidRPr="00AC0EE7" w14:paraId="3ABF956F"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49D509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Kuwait</w:t>
            </w:r>
          </w:p>
        </w:tc>
        <w:tc>
          <w:tcPr>
            <w:tcW w:w="934" w:type="dxa"/>
            <w:tcBorders>
              <w:top w:val="nil"/>
              <w:left w:val="nil"/>
              <w:bottom w:val="nil"/>
              <w:right w:val="nil"/>
            </w:tcBorders>
            <w:shd w:val="clear" w:color="auto" w:fill="auto"/>
            <w:noWrap/>
            <w:vAlign w:val="center"/>
            <w:hideMark/>
          </w:tcPr>
          <w:p w14:paraId="4229750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Latvia</w:t>
            </w:r>
          </w:p>
        </w:tc>
        <w:tc>
          <w:tcPr>
            <w:tcW w:w="960" w:type="dxa"/>
            <w:tcBorders>
              <w:top w:val="nil"/>
              <w:left w:val="nil"/>
              <w:bottom w:val="nil"/>
              <w:right w:val="nil"/>
            </w:tcBorders>
            <w:shd w:val="clear" w:color="auto" w:fill="auto"/>
            <w:noWrap/>
            <w:vAlign w:val="center"/>
            <w:hideMark/>
          </w:tcPr>
          <w:p w14:paraId="4B7BE5B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Lebanon</w:t>
            </w:r>
          </w:p>
        </w:tc>
        <w:tc>
          <w:tcPr>
            <w:tcW w:w="956" w:type="dxa"/>
            <w:tcBorders>
              <w:top w:val="nil"/>
              <w:left w:val="nil"/>
              <w:bottom w:val="nil"/>
              <w:right w:val="nil"/>
            </w:tcBorders>
            <w:shd w:val="clear" w:color="auto" w:fill="auto"/>
            <w:noWrap/>
            <w:vAlign w:val="center"/>
            <w:hideMark/>
          </w:tcPr>
          <w:p w14:paraId="6B28523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Lithuania</w:t>
            </w:r>
          </w:p>
        </w:tc>
        <w:tc>
          <w:tcPr>
            <w:tcW w:w="954" w:type="dxa"/>
            <w:tcBorders>
              <w:top w:val="nil"/>
              <w:left w:val="nil"/>
              <w:bottom w:val="nil"/>
              <w:right w:val="nil"/>
            </w:tcBorders>
            <w:shd w:val="clear" w:color="auto" w:fill="auto"/>
            <w:noWrap/>
            <w:vAlign w:val="center"/>
            <w:hideMark/>
          </w:tcPr>
          <w:p w14:paraId="04E7767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Luxembourg</w:t>
            </w:r>
          </w:p>
        </w:tc>
        <w:tc>
          <w:tcPr>
            <w:tcW w:w="939" w:type="dxa"/>
            <w:tcBorders>
              <w:top w:val="nil"/>
              <w:left w:val="nil"/>
              <w:bottom w:val="nil"/>
              <w:right w:val="nil"/>
            </w:tcBorders>
            <w:shd w:val="clear" w:color="auto" w:fill="auto"/>
            <w:noWrap/>
            <w:vAlign w:val="center"/>
            <w:hideMark/>
          </w:tcPr>
          <w:p w14:paraId="3EB9067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Macedonia</w:t>
            </w:r>
          </w:p>
        </w:tc>
        <w:tc>
          <w:tcPr>
            <w:tcW w:w="994" w:type="dxa"/>
            <w:tcBorders>
              <w:top w:val="nil"/>
              <w:left w:val="nil"/>
              <w:bottom w:val="nil"/>
              <w:right w:val="nil"/>
            </w:tcBorders>
            <w:shd w:val="clear" w:color="auto" w:fill="auto"/>
            <w:noWrap/>
            <w:vAlign w:val="center"/>
            <w:hideMark/>
          </w:tcPr>
          <w:p w14:paraId="5B396BB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Malaysia</w:t>
            </w:r>
          </w:p>
        </w:tc>
        <w:tc>
          <w:tcPr>
            <w:tcW w:w="944" w:type="dxa"/>
            <w:tcBorders>
              <w:top w:val="nil"/>
              <w:left w:val="nil"/>
              <w:bottom w:val="nil"/>
              <w:right w:val="single" w:sz="4" w:space="0" w:color="auto"/>
            </w:tcBorders>
            <w:shd w:val="clear" w:color="auto" w:fill="auto"/>
            <w:noWrap/>
            <w:vAlign w:val="center"/>
            <w:hideMark/>
          </w:tcPr>
          <w:p w14:paraId="44E5B0E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Malta</w:t>
            </w:r>
          </w:p>
        </w:tc>
      </w:tr>
      <w:tr w:rsidR="00ED02A4" w:rsidRPr="00AC0EE7" w14:paraId="657323EC"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2D49A2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-0.095</w:t>
            </w:r>
          </w:p>
        </w:tc>
        <w:tc>
          <w:tcPr>
            <w:tcW w:w="934" w:type="dxa"/>
            <w:tcBorders>
              <w:top w:val="nil"/>
              <w:left w:val="nil"/>
              <w:bottom w:val="nil"/>
              <w:right w:val="nil"/>
            </w:tcBorders>
            <w:shd w:val="clear" w:color="auto" w:fill="auto"/>
            <w:noWrap/>
            <w:vAlign w:val="center"/>
            <w:hideMark/>
          </w:tcPr>
          <w:p w14:paraId="112B2B1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60" w:type="dxa"/>
            <w:tcBorders>
              <w:top w:val="nil"/>
              <w:left w:val="nil"/>
              <w:bottom w:val="nil"/>
              <w:right w:val="nil"/>
            </w:tcBorders>
            <w:shd w:val="clear" w:color="auto" w:fill="auto"/>
            <w:noWrap/>
            <w:vAlign w:val="center"/>
            <w:hideMark/>
          </w:tcPr>
          <w:p w14:paraId="4021693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56" w:type="dxa"/>
            <w:tcBorders>
              <w:top w:val="nil"/>
              <w:left w:val="nil"/>
              <w:bottom w:val="nil"/>
              <w:right w:val="nil"/>
            </w:tcBorders>
            <w:shd w:val="clear" w:color="auto" w:fill="auto"/>
            <w:noWrap/>
            <w:vAlign w:val="center"/>
            <w:hideMark/>
          </w:tcPr>
          <w:p w14:paraId="5CCE954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7C42DD3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2C2DD8A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94" w:type="dxa"/>
            <w:tcBorders>
              <w:top w:val="nil"/>
              <w:left w:val="nil"/>
              <w:bottom w:val="nil"/>
              <w:right w:val="nil"/>
            </w:tcBorders>
            <w:shd w:val="clear" w:color="auto" w:fill="auto"/>
            <w:noWrap/>
            <w:vAlign w:val="center"/>
            <w:hideMark/>
          </w:tcPr>
          <w:p w14:paraId="75DC7B2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0.741</w:t>
            </w:r>
          </w:p>
        </w:tc>
        <w:tc>
          <w:tcPr>
            <w:tcW w:w="944" w:type="dxa"/>
            <w:tcBorders>
              <w:top w:val="nil"/>
              <w:left w:val="nil"/>
              <w:bottom w:val="nil"/>
              <w:right w:val="single" w:sz="4" w:space="0" w:color="auto"/>
            </w:tcBorders>
            <w:shd w:val="clear" w:color="auto" w:fill="auto"/>
            <w:noWrap/>
            <w:vAlign w:val="center"/>
            <w:hideMark/>
          </w:tcPr>
          <w:p w14:paraId="266E02E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1.016</w:t>
            </w:r>
          </w:p>
        </w:tc>
      </w:tr>
      <w:tr w:rsidR="00ED02A4" w:rsidRPr="00AC0EE7" w14:paraId="623750EE"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0D360F2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-0.478</w:t>
            </w:r>
          </w:p>
        </w:tc>
        <w:tc>
          <w:tcPr>
            <w:tcW w:w="934" w:type="dxa"/>
            <w:tcBorders>
              <w:top w:val="nil"/>
              <w:left w:val="nil"/>
              <w:bottom w:val="nil"/>
              <w:right w:val="nil"/>
            </w:tcBorders>
            <w:shd w:val="clear" w:color="auto" w:fill="auto"/>
            <w:noWrap/>
            <w:vAlign w:val="center"/>
            <w:hideMark/>
          </w:tcPr>
          <w:p w14:paraId="6DF0B6D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60" w:type="dxa"/>
            <w:tcBorders>
              <w:top w:val="nil"/>
              <w:left w:val="nil"/>
              <w:bottom w:val="nil"/>
              <w:right w:val="nil"/>
            </w:tcBorders>
            <w:shd w:val="clear" w:color="auto" w:fill="auto"/>
            <w:noWrap/>
            <w:vAlign w:val="center"/>
            <w:hideMark/>
          </w:tcPr>
          <w:p w14:paraId="46A253B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56" w:type="dxa"/>
            <w:tcBorders>
              <w:top w:val="nil"/>
              <w:left w:val="nil"/>
              <w:bottom w:val="nil"/>
              <w:right w:val="nil"/>
            </w:tcBorders>
            <w:shd w:val="clear" w:color="auto" w:fill="auto"/>
            <w:noWrap/>
            <w:vAlign w:val="center"/>
            <w:hideMark/>
          </w:tcPr>
          <w:p w14:paraId="5C7304A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43872F39"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342B776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94" w:type="dxa"/>
            <w:tcBorders>
              <w:top w:val="nil"/>
              <w:left w:val="nil"/>
              <w:bottom w:val="nil"/>
              <w:right w:val="nil"/>
            </w:tcBorders>
            <w:shd w:val="clear" w:color="auto" w:fill="auto"/>
            <w:noWrap/>
            <w:vAlign w:val="center"/>
            <w:hideMark/>
          </w:tcPr>
          <w:p w14:paraId="029047CB" w14:textId="4426BFB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1.117</w:t>
            </w:r>
          </w:p>
        </w:tc>
        <w:tc>
          <w:tcPr>
            <w:tcW w:w="944" w:type="dxa"/>
            <w:tcBorders>
              <w:top w:val="nil"/>
              <w:left w:val="nil"/>
              <w:bottom w:val="nil"/>
              <w:right w:val="single" w:sz="4" w:space="0" w:color="auto"/>
            </w:tcBorders>
            <w:shd w:val="clear" w:color="auto" w:fill="auto"/>
            <w:noWrap/>
            <w:vAlign w:val="center"/>
            <w:hideMark/>
          </w:tcPr>
          <w:p w14:paraId="741EF203" w14:textId="1D95A1E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1.932</w:t>
            </w:r>
          </w:p>
        </w:tc>
      </w:tr>
      <w:tr w:rsidR="00ED02A4" w:rsidRPr="00AC0EE7" w14:paraId="32644DFE"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F28A42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Mauritius</w:t>
            </w:r>
          </w:p>
        </w:tc>
        <w:tc>
          <w:tcPr>
            <w:tcW w:w="934" w:type="dxa"/>
            <w:tcBorders>
              <w:top w:val="nil"/>
              <w:left w:val="nil"/>
              <w:bottom w:val="nil"/>
              <w:right w:val="nil"/>
            </w:tcBorders>
            <w:shd w:val="clear" w:color="auto" w:fill="auto"/>
            <w:noWrap/>
            <w:vAlign w:val="center"/>
            <w:hideMark/>
          </w:tcPr>
          <w:p w14:paraId="552F843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Mexico</w:t>
            </w:r>
          </w:p>
        </w:tc>
        <w:tc>
          <w:tcPr>
            <w:tcW w:w="960" w:type="dxa"/>
            <w:tcBorders>
              <w:top w:val="nil"/>
              <w:left w:val="nil"/>
              <w:bottom w:val="nil"/>
              <w:right w:val="nil"/>
            </w:tcBorders>
            <w:shd w:val="clear" w:color="auto" w:fill="auto"/>
            <w:noWrap/>
            <w:vAlign w:val="center"/>
            <w:hideMark/>
          </w:tcPr>
          <w:p w14:paraId="1AF0872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Montenegro</w:t>
            </w:r>
          </w:p>
        </w:tc>
        <w:tc>
          <w:tcPr>
            <w:tcW w:w="956" w:type="dxa"/>
            <w:tcBorders>
              <w:top w:val="nil"/>
              <w:left w:val="nil"/>
              <w:bottom w:val="nil"/>
              <w:right w:val="nil"/>
            </w:tcBorders>
            <w:shd w:val="clear" w:color="auto" w:fill="auto"/>
            <w:noWrap/>
            <w:vAlign w:val="center"/>
            <w:hideMark/>
          </w:tcPr>
          <w:p w14:paraId="187DB41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Morocco</w:t>
            </w:r>
          </w:p>
        </w:tc>
        <w:tc>
          <w:tcPr>
            <w:tcW w:w="954" w:type="dxa"/>
            <w:tcBorders>
              <w:top w:val="nil"/>
              <w:left w:val="nil"/>
              <w:bottom w:val="nil"/>
              <w:right w:val="nil"/>
            </w:tcBorders>
            <w:shd w:val="clear" w:color="auto" w:fill="auto"/>
            <w:noWrap/>
            <w:vAlign w:val="center"/>
            <w:hideMark/>
          </w:tcPr>
          <w:p w14:paraId="2972B6C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Namibia</w:t>
            </w:r>
          </w:p>
        </w:tc>
        <w:tc>
          <w:tcPr>
            <w:tcW w:w="939" w:type="dxa"/>
            <w:tcBorders>
              <w:top w:val="nil"/>
              <w:left w:val="nil"/>
              <w:bottom w:val="nil"/>
              <w:right w:val="nil"/>
            </w:tcBorders>
            <w:shd w:val="clear" w:color="auto" w:fill="auto"/>
            <w:noWrap/>
            <w:vAlign w:val="center"/>
            <w:hideMark/>
          </w:tcPr>
          <w:p w14:paraId="30DB347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Netherlands</w:t>
            </w:r>
          </w:p>
        </w:tc>
        <w:tc>
          <w:tcPr>
            <w:tcW w:w="994" w:type="dxa"/>
            <w:tcBorders>
              <w:top w:val="nil"/>
              <w:left w:val="nil"/>
              <w:bottom w:val="nil"/>
              <w:right w:val="nil"/>
            </w:tcBorders>
            <w:shd w:val="clear" w:color="auto" w:fill="auto"/>
            <w:noWrap/>
            <w:vAlign w:val="center"/>
            <w:hideMark/>
          </w:tcPr>
          <w:p w14:paraId="6478348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New Zealand</w:t>
            </w:r>
          </w:p>
        </w:tc>
        <w:tc>
          <w:tcPr>
            <w:tcW w:w="944" w:type="dxa"/>
            <w:tcBorders>
              <w:top w:val="nil"/>
              <w:left w:val="nil"/>
              <w:bottom w:val="nil"/>
              <w:right w:val="single" w:sz="4" w:space="0" w:color="auto"/>
            </w:tcBorders>
            <w:shd w:val="clear" w:color="auto" w:fill="auto"/>
            <w:noWrap/>
            <w:vAlign w:val="center"/>
            <w:hideMark/>
          </w:tcPr>
          <w:p w14:paraId="72834E6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Nigeria</w:t>
            </w:r>
          </w:p>
        </w:tc>
      </w:tr>
      <w:tr w:rsidR="00ED02A4" w:rsidRPr="00AC0EE7" w14:paraId="2C8C2290"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D10CB2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lastRenderedPageBreak/>
              <w:t>-0.095</w:t>
            </w:r>
          </w:p>
        </w:tc>
        <w:tc>
          <w:tcPr>
            <w:tcW w:w="934" w:type="dxa"/>
            <w:tcBorders>
              <w:top w:val="nil"/>
              <w:left w:val="nil"/>
              <w:bottom w:val="nil"/>
              <w:right w:val="nil"/>
            </w:tcBorders>
            <w:shd w:val="clear" w:color="auto" w:fill="auto"/>
            <w:noWrap/>
            <w:vAlign w:val="center"/>
            <w:hideMark/>
          </w:tcPr>
          <w:p w14:paraId="184DCA9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-2.152</w:t>
            </w:r>
          </w:p>
        </w:tc>
        <w:tc>
          <w:tcPr>
            <w:tcW w:w="960" w:type="dxa"/>
            <w:tcBorders>
              <w:top w:val="nil"/>
              <w:left w:val="nil"/>
              <w:bottom w:val="nil"/>
              <w:right w:val="nil"/>
            </w:tcBorders>
            <w:shd w:val="clear" w:color="auto" w:fill="auto"/>
            <w:noWrap/>
            <w:vAlign w:val="center"/>
            <w:hideMark/>
          </w:tcPr>
          <w:p w14:paraId="7B61EAA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56" w:type="dxa"/>
            <w:tcBorders>
              <w:top w:val="nil"/>
              <w:left w:val="nil"/>
              <w:bottom w:val="nil"/>
              <w:right w:val="nil"/>
            </w:tcBorders>
            <w:shd w:val="clear" w:color="auto" w:fill="auto"/>
            <w:noWrap/>
            <w:vAlign w:val="center"/>
            <w:hideMark/>
          </w:tcPr>
          <w:p w14:paraId="7673124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0.446</w:t>
            </w:r>
          </w:p>
        </w:tc>
        <w:tc>
          <w:tcPr>
            <w:tcW w:w="954" w:type="dxa"/>
            <w:tcBorders>
              <w:top w:val="nil"/>
              <w:left w:val="nil"/>
              <w:bottom w:val="nil"/>
              <w:right w:val="nil"/>
            </w:tcBorders>
            <w:shd w:val="clear" w:color="auto" w:fill="auto"/>
            <w:noWrap/>
            <w:vAlign w:val="center"/>
            <w:hideMark/>
          </w:tcPr>
          <w:p w14:paraId="37912E4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57A9E0D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0.201</w:t>
            </w:r>
          </w:p>
        </w:tc>
        <w:tc>
          <w:tcPr>
            <w:tcW w:w="994" w:type="dxa"/>
            <w:tcBorders>
              <w:top w:val="nil"/>
              <w:left w:val="nil"/>
              <w:bottom w:val="nil"/>
              <w:right w:val="nil"/>
            </w:tcBorders>
            <w:shd w:val="clear" w:color="auto" w:fill="auto"/>
            <w:noWrap/>
            <w:vAlign w:val="center"/>
            <w:hideMark/>
          </w:tcPr>
          <w:p w14:paraId="2B24748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-1.149</w:t>
            </w:r>
          </w:p>
        </w:tc>
        <w:tc>
          <w:tcPr>
            <w:tcW w:w="944" w:type="dxa"/>
            <w:tcBorders>
              <w:top w:val="nil"/>
              <w:left w:val="nil"/>
              <w:bottom w:val="nil"/>
              <w:right w:val="single" w:sz="4" w:space="0" w:color="auto"/>
            </w:tcBorders>
            <w:shd w:val="clear" w:color="auto" w:fill="auto"/>
            <w:noWrap/>
            <w:vAlign w:val="center"/>
            <w:hideMark/>
          </w:tcPr>
          <w:p w14:paraId="3097044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-0.033</w:t>
            </w:r>
          </w:p>
        </w:tc>
      </w:tr>
      <w:tr w:rsidR="00ED02A4" w:rsidRPr="00AC0EE7" w14:paraId="2B0A1339"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716B11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-0.527</w:t>
            </w:r>
          </w:p>
        </w:tc>
        <w:tc>
          <w:tcPr>
            <w:tcW w:w="934" w:type="dxa"/>
            <w:tcBorders>
              <w:top w:val="nil"/>
              <w:left w:val="nil"/>
              <w:bottom w:val="nil"/>
              <w:right w:val="nil"/>
            </w:tcBorders>
            <w:shd w:val="clear" w:color="auto" w:fill="auto"/>
            <w:noWrap/>
            <w:vAlign w:val="center"/>
            <w:hideMark/>
          </w:tcPr>
          <w:p w14:paraId="5C93F9A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-4.527</w:t>
            </w:r>
          </w:p>
        </w:tc>
        <w:tc>
          <w:tcPr>
            <w:tcW w:w="960" w:type="dxa"/>
            <w:tcBorders>
              <w:top w:val="nil"/>
              <w:left w:val="nil"/>
              <w:bottom w:val="nil"/>
              <w:right w:val="nil"/>
            </w:tcBorders>
            <w:shd w:val="clear" w:color="auto" w:fill="auto"/>
            <w:noWrap/>
            <w:vAlign w:val="center"/>
            <w:hideMark/>
          </w:tcPr>
          <w:p w14:paraId="33DE182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56" w:type="dxa"/>
            <w:tcBorders>
              <w:top w:val="nil"/>
              <w:left w:val="nil"/>
              <w:bottom w:val="nil"/>
              <w:right w:val="nil"/>
            </w:tcBorders>
            <w:shd w:val="clear" w:color="auto" w:fill="auto"/>
            <w:noWrap/>
            <w:vAlign w:val="center"/>
            <w:hideMark/>
          </w:tcPr>
          <w:p w14:paraId="6A521DE8" w14:textId="1070ED44"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1.448</w:t>
            </w:r>
          </w:p>
        </w:tc>
        <w:tc>
          <w:tcPr>
            <w:tcW w:w="954" w:type="dxa"/>
            <w:tcBorders>
              <w:top w:val="nil"/>
              <w:left w:val="nil"/>
              <w:bottom w:val="nil"/>
              <w:right w:val="nil"/>
            </w:tcBorders>
            <w:shd w:val="clear" w:color="auto" w:fill="auto"/>
            <w:noWrap/>
            <w:vAlign w:val="center"/>
            <w:hideMark/>
          </w:tcPr>
          <w:p w14:paraId="6B5249E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4EE965ED" w14:textId="574B1514"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0.149</w:t>
            </w:r>
          </w:p>
        </w:tc>
        <w:tc>
          <w:tcPr>
            <w:tcW w:w="994" w:type="dxa"/>
            <w:tcBorders>
              <w:top w:val="nil"/>
              <w:left w:val="nil"/>
              <w:bottom w:val="nil"/>
              <w:right w:val="nil"/>
            </w:tcBorders>
            <w:shd w:val="clear" w:color="auto" w:fill="auto"/>
            <w:noWrap/>
            <w:vAlign w:val="center"/>
            <w:hideMark/>
          </w:tcPr>
          <w:p w14:paraId="6AF8147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-1.072</w:t>
            </w:r>
          </w:p>
        </w:tc>
        <w:tc>
          <w:tcPr>
            <w:tcW w:w="944" w:type="dxa"/>
            <w:tcBorders>
              <w:top w:val="nil"/>
              <w:left w:val="nil"/>
              <w:bottom w:val="nil"/>
              <w:right w:val="single" w:sz="4" w:space="0" w:color="auto"/>
            </w:tcBorders>
            <w:shd w:val="clear" w:color="auto" w:fill="auto"/>
            <w:noWrap/>
            <w:vAlign w:val="center"/>
            <w:hideMark/>
          </w:tcPr>
          <w:p w14:paraId="4A36954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-1.732</w:t>
            </w:r>
          </w:p>
        </w:tc>
      </w:tr>
      <w:tr w:rsidR="00ED02A4" w:rsidRPr="00AC0EE7" w14:paraId="386DCD84"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C90354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Norway</w:t>
            </w:r>
          </w:p>
        </w:tc>
        <w:tc>
          <w:tcPr>
            <w:tcW w:w="934" w:type="dxa"/>
            <w:tcBorders>
              <w:top w:val="nil"/>
              <w:left w:val="nil"/>
              <w:bottom w:val="nil"/>
              <w:right w:val="nil"/>
            </w:tcBorders>
            <w:shd w:val="clear" w:color="auto" w:fill="auto"/>
            <w:noWrap/>
            <w:vAlign w:val="center"/>
            <w:hideMark/>
          </w:tcPr>
          <w:p w14:paraId="035951F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Oman</w:t>
            </w:r>
          </w:p>
        </w:tc>
        <w:tc>
          <w:tcPr>
            <w:tcW w:w="960" w:type="dxa"/>
            <w:tcBorders>
              <w:top w:val="nil"/>
              <w:left w:val="nil"/>
              <w:bottom w:val="nil"/>
              <w:right w:val="nil"/>
            </w:tcBorders>
            <w:shd w:val="clear" w:color="auto" w:fill="auto"/>
            <w:noWrap/>
            <w:vAlign w:val="center"/>
            <w:hideMark/>
          </w:tcPr>
          <w:p w14:paraId="14A9604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Pakistan</w:t>
            </w:r>
          </w:p>
        </w:tc>
        <w:tc>
          <w:tcPr>
            <w:tcW w:w="956" w:type="dxa"/>
            <w:tcBorders>
              <w:top w:val="nil"/>
              <w:left w:val="nil"/>
              <w:bottom w:val="nil"/>
              <w:right w:val="nil"/>
            </w:tcBorders>
            <w:shd w:val="clear" w:color="auto" w:fill="auto"/>
            <w:noWrap/>
            <w:vAlign w:val="center"/>
            <w:hideMark/>
          </w:tcPr>
          <w:p w14:paraId="40DF091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Panama</w:t>
            </w:r>
          </w:p>
        </w:tc>
        <w:tc>
          <w:tcPr>
            <w:tcW w:w="954" w:type="dxa"/>
            <w:tcBorders>
              <w:top w:val="nil"/>
              <w:left w:val="nil"/>
              <w:bottom w:val="nil"/>
              <w:right w:val="nil"/>
            </w:tcBorders>
            <w:shd w:val="clear" w:color="auto" w:fill="auto"/>
            <w:noWrap/>
            <w:vAlign w:val="center"/>
            <w:hideMark/>
          </w:tcPr>
          <w:p w14:paraId="476D736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Peru</w:t>
            </w:r>
          </w:p>
        </w:tc>
        <w:tc>
          <w:tcPr>
            <w:tcW w:w="939" w:type="dxa"/>
            <w:tcBorders>
              <w:top w:val="nil"/>
              <w:left w:val="nil"/>
              <w:bottom w:val="nil"/>
              <w:right w:val="nil"/>
            </w:tcBorders>
            <w:shd w:val="clear" w:color="auto" w:fill="auto"/>
            <w:noWrap/>
            <w:vAlign w:val="center"/>
            <w:hideMark/>
          </w:tcPr>
          <w:p w14:paraId="4CF1166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Philippines</w:t>
            </w:r>
          </w:p>
        </w:tc>
        <w:tc>
          <w:tcPr>
            <w:tcW w:w="994" w:type="dxa"/>
            <w:tcBorders>
              <w:top w:val="nil"/>
              <w:left w:val="nil"/>
              <w:bottom w:val="nil"/>
              <w:right w:val="nil"/>
            </w:tcBorders>
            <w:shd w:val="clear" w:color="auto" w:fill="auto"/>
            <w:noWrap/>
            <w:vAlign w:val="center"/>
            <w:hideMark/>
          </w:tcPr>
          <w:p w14:paraId="57F53B0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Poland</w:t>
            </w:r>
          </w:p>
        </w:tc>
        <w:tc>
          <w:tcPr>
            <w:tcW w:w="944" w:type="dxa"/>
            <w:tcBorders>
              <w:top w:val="nil"/>
              <w:left w:val="nil"/>
              <w:bottom w:val="nil"/>
              <w:right w:val="single" w:sz="4" w:space="0" w:color="auto"/>
            </w:tcBorders>
            <w:shd w:val="clear" w:color="auto" w:fill="auto"/>
            <w:noWrap/>
            <w:vAlign w:val="center"/>
            <w:hideMark/>
          </w:tcPr>
          <w:p w14:paraId="75E6F5B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Portugal</w:t>
            </w:r>
          </w:p>
        </w:tc>
      </w:tr>
      <w:tr w:rsidR="00ED02A4" w:rsidRPr="00AC0EE7" w14:paraId="4C973F0C"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7721ED6" w14:textId="7BAAFC52"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-0.28</w:t>
            </w:r>
            <w:r w:rsidR="00C10819">
              <w:rPr>
                <w:rFonts w:ascii="Calibri" w:eastAsia="Times New Roman" w:hAnsi="Calibri" w:cs="Calibri"/>
                <w:color w:val="000000"/>
                <w:sz w:val="18"/>
                <w:szCs w:val="18"/>
                <w:lang w:eastAsia="en-IE"/>
              </w:rPr>
              <w:t>0</w:t>
            </w:r>
          </w:p>
        </w:tc>
        <w:tc>
          <w:tcPr>
            <w:tcW w:w="934" w:type="dxa"/>
            <w:tcBorders>
              <w:top w:val="nil"/>
              <w:left w:val="nil"/>
              <w:bottom w:val="nil"/>
              <w:right w:val="nil"/>
            </w:tcBorders>
            <w:shd w:val="clear" w:color="auto" w:fill="auto"/>
            <w:noWrap/>
            <w:vAlign w:val="center"/>
            <w:hideMark/>
          </w:tcPr>
          <w:p w14:paraId="2015E87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-0.189</w:t>
            </w:r>
          </w:p>
        </w:tc>
        <w:tc>
          <w:tcPr>
            <w:tcW w:w="960" w:type="dxa"/>
            <w:tcBorders>
              <w:top w:val="nil"/>
              <w:left w:val="nil"/>
              <w:bottom w:val="nil"/>
              <w:right w:val="nil"/>
            </w:tcBorders>
            <w:shd w:val="clear" w:color="auto" w:fill="auto"/>
            <w:noWrap/>
            <w:vAlign w:val="center"/>
            <w:hideMark/>
          </w:tcPr>
          <w:p w14:paraId="0382CB5C" w14:textId="699EDEAE"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-0.38</w:t>
            </w:r>
            <w:r w:rsidR="00C10819">
              <w:rPr>
                <w:rFonts w:ascii="Calibri" w:eastAsia="Times New Roman" w:hAnsi="Calibri" w:cs="Calibri"/>
                <w:color w:val="000000"/>
                <w:sz w:val="18"/>
                <w:szCs w:val="18"/>
                <w:lang w:eastAsia="en-IE"/>
              </w:rPr>
              <w:t>0</w:t>
            </w:r>
          </w:p>
        </w:tc>
        <w:tc>
          <w:tcPr>
            <w:tcW w:w="956" w:type="dxa"/>
            <w:tcBorders>
              <w:top w:val="nil"/>
              <w:left w:val="nil"/>
              <w:bottom w:val="nil"/>
              <w:right w:val="nil"/>
            </w:tcBorders>
            <w:shd w:val="clear" w:color="auto" w:fill="auto"/>
            <w:noWrap/>
            <w:vAlign w:val="center"/>
            <w:hideMark/>
          </w:tcPr>
          <w:p w14:paraId="4BC0448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2A11495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-1.429</w:t>
            </w:r>
          </w:p>
        </w:tc>
        <w:tc>
          <w:tcPr>
            <w:tcW w:w="939" w:type="dxa"/>
            <w:tcBorders>
              <w:top w:val="nil"/>
              <w:left w:val="nil"/>
              <w:bottom w:val="nil"/>
              <w:right w:val="nil"/>
            </w:tcBorders>
            <w:shd w:val="clear" w:color="auto" w:fill="auto"/>
            <w:noWrap/>
            <w:vAlign w:val="center"/>
            <w:hideMark/>
          </w:tcPr>
          <w:p w14:paraId="7437F3E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-1.227</w:t>
            </w:r>
          </w:p>
        </w:tc>
        <w:tc>
          <w:tcPr>
            <w:tcW w:w="994" w:type="dxa"/>
            <w:tcBorders>
              <w:top w:val="nil"/>
              <w:left w:val="nil"/>
              <w:bottom w:val="nil"/>
              <w:right w:val="nil"/>
            </w:tcBorders>
            <w:shd w:val="clear" w:color="auto" w:fill="auto"/>
            <w:noWrap/>
            <w:vAlign w:val="center"/>
            <w:hideMark/>
          </w:tcPr>
          <w:p w14:paraId="21941E6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-3.803</w:t>
            </w:r>
          </w:p>
        </w:tc>
        <w:tc>
          <w:tcPr>
            <w:tcW w:w="944" w:type="dxa"/>
            <w:tcBorders>
              <w:top w:val="nil"/>
              <w:left w:val="nil"/>
              <w:bottom w:val="nil"/>
              <w:right w:val="single" w:sz="4" w:space="0" w:color="auto"/>
            </w:tcBorders>
            <w:shd w:val="clear" w:color="auto" w:fill="auto"/>
            <w:noWrap/>
            <w:vAlign w:val="center"/>
            <w:hideMark/>
          </w:tcPr>
          <w:p w14:paraId="4A5F7EF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-3.363</w:t>
            </w:r>
          </w:p>
        </w:tc>
      </w:tr>
      <w:tr w:rsidR="00ED02A4" w:rsidRPr="00AC0EE7" w14:paraId="6226214F"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15A7D5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-0.348</w:t>
            </w:r>
          </w:p>
        </w:tc>
        <w:tc>
          <w:tcPr>
            <w:tcW w:w="934" w:type="dxa"/>
            <w:tcBorders>
              <w:top w:val="nil"/>
              <w:left w:val="nil"/>
              <w:bottom w:val="nil"/>
              <w:right w:val="nil"/>
            </w:tcBorders>
            <w:shd w:val="clear" w:color="auto" w:fill="auto"/>
            <w:noWrap/>
            <w:vAlign w:val="center"/>
            <w:hideMark/>
          </w:tcPr>
          <w:p w14:paraId="67880FA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-0.849</w:t>
            </w:r>
          </w:p>
        </w:tc>
        <w:tc>
          <w:tcPr>
            <w:tcW w:w="960" w:type="dxa"/>
            <w:tcBorders>
              <w:top w:val="nil"/>
              <w:left w:val="nil"/>
              <w:bottom w:val="nil"/>
              <w:right w:val="nil"/>
            </w:tcBorders>
            <w:shd w:val="clear" w:color="auto" w:fill="auto"/>
            <w:noWrap/>
            <w:vAlign w:val="center"/>
            <w:hideMark/>
          </w:tcPr>
          <w:p w14:paraId="69CC923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-0.651</w:t>
            </w:r>
          </w:p>
        </w:tc>
        <w:tc>
          <w:tcPr>
            <w:tcW w:w="956" w:type="dxa"/>
            <w:tcBorders>
              <w:top w:val="nil"/>
              <w:left w:val="nil"/>
              <w:bottom w:val="nil"/>
              <w:right w:val="nil"/>
            </w:tcBorders>
            <w:shd w:val="clear" w:color="auto" w:fill="auto"/>
            <w:noWrap/>
            <w:vAlign w:val="center"/>
            <w:hideMark/>
          </w:tcPr>
          <w:p w14:paraId="6811418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790CEA0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-2.702</w:t>
            </w:r>
          </w:p>
        </w:tc>
        <w:tc>
          <w:tcPr>
            <w:tcW w:w="939" w:type="dxa"/>
            <w:tcBorders>
              <w:top w:val="nil"/>
              <w:left w:val="nil"/>
              <w:bottom w:val="nil"/>
              <w:right w:val="nil"/>
            </w:tcBorders>
            <w:shd w:val="clear" w:color="auto" w:fill="auto"/>
            <w:noWrap/>
            <w:vAlign w:val="center"/>
            <w:hideMark/>
          </w:tcPr>
          <w:p w14:paraId="7F7B2200" w14:textId="0ED1B406"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-1.94</w:t>
            </w:r>
            <w:r w:rsidR="00C10819">
              <w:rPr>
                <w:rFonts w:ascii="Calibri" w:eastAsia="Times New Roman" w:hAnsi="Calibri" w:cs="Calibri"/>
                <w:b/>
                <w:bCs/>
                <w:i/>
                <w:iCs/>
                <w:color w:val="000000"/>
                <w:sz w:val="18"/>
                <w:szCs w:val="18"/>
                <w:lang w:eastAsia="en-IE"/>
              </w:rPr>
              <w:t>0</w:t>
            </w:r>
          </w:p>
        </w:tc>
        <w:tc>
          <w:tcPr>
            <w:tcW w:w="994" w:type="dxa"/>
            <w:tcBorders>
              <w:top w:val="nil"/>
              <w:left w:val="nil"/>
              <w:bottom w:val="nil"/>
              <w:right w:val="nil"/>
            </w:tcBorders>
            <w:shd w:val="clear" w:color="auto" w:fill="auto"/>
            <w:noWrap/>
            <w:vAlign w:val="center"/>
            <w:hideMark/>
          </w:tcPr>
          <w:p w14:paraId="31D445D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-2.433</w:t>
            </w:r>
          </w:p>
        </w:tc>
        <w:tc>
          <w:tcPr>
            <w:tcW w:w="944" w:type="dxa"/>
            <w:tcBorders>
              <w:top w:val="nil"/>
              <w:left w:val="nil"/>
              <w:bottom w:val="nil"/>
              <w:right w:val="single" w:sz="4" w:space="0" w:color="auto"/>
            </w:tcBorders>
            <w:shd w:val="clear" w:color="auto" w:fill="auto"/>
            <w:noWrap/>
            <w:vAlign w:val="center"/>
            <w:hideMark/>
          </w:tcPr>
          <w:p w14:paraId="378771D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-2.296</w:t>
            </w:r>
          </w:p>
        </w:tc>
      </w:tr>
      <w:tr w:rsidR="00ED02A4" w:rsidRPr="00AC0EE7" w14:paraId="6491AE7B"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BD8D15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Qatar</w:t>
            </w:r>
          </w:p>
        </w:tc>
        <w:tc>
          <w:tcPr>
            <w:tcW w:w="934" w:type="dxa"/>
            <w:tcBorders>
              <w:top w:val="nil"/>
              <w:left w:val="nil"/>
              <w:bottom w:val="nil"/>
              <w:right w:val="nil"/>
            </w:tcBorders>
            <w:shd w:val="clear" w:color="auto" w:fill="auto"/>
            <w:noWrap/>
            <w:vAlign w:val="center"/>
            <w:hideMark/>
          </w:tcPr>
          <w:p w14:paraId="77E45AF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Romania</w:t>
            </w:r>
          </w:p>
        </w:tc>
        <w:tc>
          <w:tcPr>
            <w:tcW w:w="960" w:type="dxa"/>
            <w:tcBorders>
              <w:top w:val="nil"/>
              <w:left w:val="nil"/>
              <w:bottom w:val="nil"/>
              <w:right w:val="nil"/>
            </w:tcBorders>
            <w:shd w:val="clear" w:color="auto" w:fill="auto"/>
            <w:noWrap/>
            <w:vAlign w:val="center"/>
            <w:hideMark/>
          </w:tcPr>
          <w:p w14:paraId="0E8367F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Russia</w:t>
            </w:r>
          </w:p>
        </w:tc>
        <w:tc>
          <w:tcPr>
            <w:tcW w:w="956" w:type="dxa"/>
            <w:tcBorders>
              <w:top w:val="nil"/>
              <w:left w:val="nil"/>
              <w:bottom w:val="nil"/>
              <w:right w:val="nil"/>
            </w:tcBorders>
            <w:shd w:val="clear" w:color="auto" w:fill="auto"/>
            <w:noWrap/>
            <w:vAlign w:val="center"/>
            <w:hideMark/>
          </w:tcPr>
          <w:p w14:paraId="6238304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Saudi Arabia</w:t>
            </w:r>
          </w:p>
        </w:tc>
        <w:tc>
          <w:tcPr>
            <w:tcW w:w="954" w:type="dxa"/>
            <w:tcBorders>
              <w:top w:val="nil"/>
              <w:left w:val="nil"/>
              <w:bottom w:val="nil"/>
              <w:right w:val="nil"/>
            </w:tcBorders>
            <w:shd w:val="clear" w:color="auto" w:fill="auto"/>
            <w:noWrap/>
            <w:vAlign w:val="center"/>
            <w:hideMark/>
          </w:tcPr>
          <w:p w14:paraId="20A1849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Serbia</w:t>
            </w:r>
          </w:p>
        </w:tc>
        <w:tc>
          <w:tcPr>
            <w:tcW w:w="939" w:type="dxa"/>
            <w:tcBorders>
              <w:top w:val="nil"/>
              <w:left w:val="nil"/>
              <w:bottom w:val="nil"/>
              <w:right w:val="nil"/>
            </w:tcBorders>
            <w:shd w:val="clear" w:color="auto" w:fill="auto"/>
            <w:noWrap/>
            <w:vAlign w:val="center"/>
            <w:hideMark/>
          </w:tcPr>
          <w:p w14:paraId="6F694CE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Singapore</w:t>
            </w:r>
          </w:p>
        </w:tc>
        <w:tc>
          <w:tcPr>
            <w:tcW w:w="994" w:type="dxa"/>
            <w:tcBorders>
              <w:top w:val="nil"/>
              <w:left w:val="nil"/>
              <w:bottom w:val="nil"/>
              <w:right w:val="nil"/>
            </w:tcBorders>
            <w:shd w:val="clear" w:color="auto" w:fill="auto"/>
            <w:noWrap/>
            <w:vAlign w:val="center"/>
            <w:hideMark/>
          </w:tcPr>
          <w:p w14:paraId="35B934C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Slovakia</w:t>
            </w:r>
          </w:p>
        </w:tc>
        <w:tc>
          <w:tcPr>
            <w:tcW w:w="944" w:type="dxa"/>
            <w:tcBorders>
              <w:top w:val="nil"/>
              <w:left w:val="nil"/>
              <w:bottom w:val="nil"/>
              <w:right w:val="single" w:sz="4" w:space="0" w:color="auto"/>
            </w:tcBorders>
            <w:shd w:val="clear" w:color="auto" w:fill="auto"/>
            <w:noWrap/>
            <w:vAlign w:val="center"/>
            <w:hideMark/>
          </w:tcPr>
          <w:p w14:paraId="1D29B85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Slovenia</w:t>
            </w:r>
          </w:p>
        </w:tc>
      </w:tr>
      <w:tr w:rsidR="00ED02A4" w:rsidRPr="00AC0EE7" w14:paraId="62D5A000"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3DF8C7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34" w:type="dxa"/>
            <w:tcBorders>
              <w:top w:val="nil"/>
              <w:left w:val="nil"/>
              <w:bottom w:val="nil"/>
              <w:right w:val="nil"/>
            </w:tcBorders>
            <w:shd w:val="clear" w:color="auto" w:fill="auto"/>
            <w:noWrap/>
            <w:vAlign w:val="center"/>
            <w:hideMark/>
          </w:tcPr>
          <w:p w14:paraId="721C544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60" w:type="dxa"/>
            <w:tcBorders>
              <w:top w:val="nil"/>
              <w:left w:val="nil"/>
              <w:bottom w:val="nil"/>
              <w:right w:val="nil"/>
            </w:tcBorders>
            <w:shd w:val="clear" w:color="auto" w:fill="auto"/>
            <w:noWrap/>
            <w:vAlign w:val="center"/>
            <w:hideMark/>
          </w:tcPr>
          <w:p w14:paraId="43DAC1C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-3.371</w:t>
            </w:r>
          </w:p>
        </w:tc>
        <w:tc>
          <w:tcPr>
            <w:tcW w:w="956" w:type="dxa"/>
            <w:tcBorders>
              <w:top w:val="nil"/>
              <w:left w:val="nil"/>
              <w:bottom w:val="nil"/>
              <w:right w:val="nil"/>
            </w:tcBorders>
            <w:shd w:val="clear" w:color="auto" w:fill="auto"/>
            <w:noWrap/>
            <w:vAlign w:val="center"/>
            <w:hideMark/>
          </w:tcPr>
          <w:p w14:paraId="3A47AA0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6A51DE9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61D5858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-0.497</w:t>
            </w:r>
          </w:p>
        </w:tc>
        <w:tc>
          <w:tcPr>
            <w:tcW w:w="994" w:type="dxa"/>
            <w:tcBorders>
              <w:top w:val="nil"/>
              <w:left w:val="nil"/>
              <w:bottom w:val="nil"/>
              <w:right w:val="nil"/>
            </w:tcBorders>
            <w:shd w:val="clear" w:color="auto" w:fill="auto"/>
            <w:noWrap/>
            <w:vAlign w:val="center"/>
            <w:hideMark/>
          </w:tcPr>
          <w:p w14:paraId="5771304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0.182</w:t>
            </w:r>
          </w:p>
        </w:tc>
        <w:tc>
          <w:tcPr>
            <w:tcW w:w="944" w:type="dxa"/>
            <w:tcBorders>
              <w:top w:val="nil"/>
              <w:left w:val="nil"/>
              <w:bottom w:val="nil"/>
              <w:right w:val="single" w:sz="4" w:space="0" w:color="auto"/>
            </w:tcBorders>
            <w:shd w:val="clear" w:color="auto" w:fill="auto"/>
            <w:noWrap/>
            <w:vAlign w:val="center"/>
            <w:hideMark/>
          </w:tcPr>
          <w:p w14:paraId="2C55637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r>
      <w:tr w:rsidR="00ED02A4" w:rsidRPr="00AC0EE7" w14:paraId="24C568F5"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867FCB0"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34" w:type="dxa"/>
            <w:tcBorders>
              <w:top w:val="nil"/>
              <w:left w:val="nil"/>
              <w:bottom w:val="nil"/>
              <w:right w:val="nil"/>
            </w:tcBorders>
            <w:shd w:val="clear" w:color="auto" w:fill="auto"/>
            <w:noWrap/>
            <w:vAlign w:val="center"/>
            <w:hideMark/>
          </w:tcPr>
          <w:p w14:paraId="0855B9DE"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60" w:type="dxa"/>
            <w:tcBorders>
              <w:top w:val="nil"/>
              <w:left w:val="nil"/>
              <w:bottom w:val="nil"/>
              <w:right w:val="nil"/>
            </w:tcBorders>
            <w:shd w:val="clear" w:color="auto" w:fill="auto"/>
            <w:noWrap/>
            <w:vAlign w:val="center"/>
            <w:hideMark/>
          </w:tcPr>
          <w:p w14:paraId="5BC8298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-0.595</w:t>
            </w:r>
          </w:p>
        </w:tc>
        <w:tc>
          <w:tcPr>
            <w:tcW w:w="956" w:type="dxa"/>
            <w:tcBorders>
              <w:top w:val="nil"/>
              <w:left w:val="nil"/>
              <w:bottom w:val="nil"/>
              <w:right w:val="nil"/>
            </w:tcBorders>
            <w:shd w:val="clear" w:color="auto" w:fill="auto"/>
            <w:noWrap/>
            <w:vAlign w:val="center"/>
            <w:hideMark/>
          </w:tcPr>
          <w:p w14:paraId="28EDFC8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4CFCC03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1768137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-0.481</w:t>
            </w:r>
          </w:p>
        </w:tc>
        <w:tc>
          <w:tcPr>
            <w:tcW w:w="994" w:type="dxa"/>
            <w:tcBorders>
              <w:top w:val="nil"/>
              <w:left w:val="nil"/>
              <w:bottom w:val="nil"/>
              <w:right w:val="nil"/>
            </w:tcBorders>
            <w:shd w:val="clear" w:color="auto" w:fill="auto"/>
            <w:noWrap/>
            <w:vAlign w:val="center"/>
            <w:hideMark/>
          </w:tcPr>
          <w:p w14:paraId="0EC0A41D" w14:textId="76749620"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0.983</w:t>
            </w:r>
          </w:p>
        </w:tc>
        <w:tc>
          <w:tcPr>
            <w:tcW w:w="944" w:type="dxa"/>
            <w:tcBorders>
              <w:top w:val="nil"/>
              <w:left w:val="nil"/>
              <w:bottom w:val="nil"/>
              <w:right w:val="single" w:sz="4" w:space="0" w:color="auto"/>
            </w:tcBorders>
            <w:shd w:val="clear" w:color="auto" w:fill="auto"/>
            <w:noWrap/>
            <w:vAlign w:val="center"/>
            <w:hideMark/>
          </w:tcPr>
          <w:p w14:paraId="0F64B020"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r>
      <w:tr w:rsidR="00ED02A4" w:rsidRPr="00AC0EE7" w14:paraId="43B38576"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45854B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South Africa</w:t>
            </w:r>
          </w:p>
        </w:tc>
        <w:tc>
          <w:tcPr>
            <w:tcW w:w="934" w:type="dxa"/>
            <w:tcBorders>
              <w:top w:val="nil"/>
              <w:left w:val="nil"/>
              <w:bottom w:val="nil"/>
              <w:right w:val="nil"/>
            </w:tcBorders>
            <w:shd w:val="clear" w:color="auto" w:fill="auto"/>
            <w:noWrap/>
            <w:vAlign w:val="center"/>
            <w:hideMark/>
          </w:tcPr>
          <w:p w14:paraId="0BB70F4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South Korea</w:t>
            </w:r>
          </w:p>
        </w:tc>
        <w:tc>
          <w:tcPr>
            <w:tcW w:w="960" w:type="dxa"/>
            <w:tcBorders>
              <w:top w:val="nil"/>
              <w:left w:val="nil"/>
              <w:bottom w:val="nil"/>
              <w:right w:val="nil"/>
            </w:tcBorders>
            <w:shd w:val="clear" w:color="auto" w:fill="auto"/>
            <w:noWrap/>
            <w:vAlign w:val="center"/>
            <w:hideMark/>
          </w:tcPr>
          <w:p w14:paraId="08D1067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Spain</w:t>
            </w:r>
          </w:p>
        </w:tc>
        <w:tc>
          <w:tcPr>
            <w:tcW w:w="956" w:type="dxa"/>
            <w:tcBorders>
              <w:top w:val="nil"/>
              <w:left w:val="nil"/>
              <w:bottom w:val="nil"/>
              <w:right w:val="nil"/>
            </w:tcBorders>
            <w:shd w:val="clear" w:color="auto" w:fill="auto"/>
            <w:noWrap/>
            <w:vAlign w:val="center"/>
            <w:hideMark/>
          </w:tcPr>
          <w:p w14:paraId="55F27CA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Sri Lanka</w:t>
            </w:r>
          </w:p>
        </w:tc>
        <w:tc>
          <w:tcPr>
            <w:tcW w:w="954" w:type="dxa"/>
            <w:tcBorders>
              <w:top w:val="nil"/>
              <w:left w:val="nil"/>
              <w:bottom w:val="nil"/>
              <w:right w:val="nil"/>
            </w:tcBorders>
            <w:shd w:val="clear" w:color="auto" w:fill="auto"/>
            <w:noWrap/>
            <w:vAlign w:val="center"/>
            <w:hideMark/>
          </w:tcPr>
          <w:p w14:paraId="52A579B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Sweden</w:t>
            </w:r>
          </w:p>
        </w:tc>
        <w:tc>
          <w:tcPr>
            <w:tcW w:w="939" w:type="dxa"/>
            <w:tcBorders>
              <w:top w:val="nil"/>
              <w:left w:val="nil"/>
              <w:bottom w:val="nil"/>
              <w:right w:val="nil"/>
            </w:tcBorders>
            <w:shd w:val="clear" w:color="auto" w:fill="auto"/>
            <w:noWrap/>
            <w:vAlign w:val="center"/>
            <w:hideMark/>
          </w:tcPr>
          <w:p w14:paraId="313C751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Switzerland</w:t>
            </w:r>
          </w:p>
        </w:tc>
        <w:tc>
          <w:tcPr>
            <w:tcW w:w="994" w:type="dxa"/>
            <w:tcBorders>
              <w:top w:val="nil"/>
              <w:left w:val="nil"/>
              <w:bottom w:val="nil"/>
              <w:right w:val="nil"/>
            </w:tcBorders>
            <w:shd w:val="clear" w:color="auto" w:fill="auto"/>
            <w:noWrap/>
            <w:vAlign w:val="center"/>
            <w:hideMark/>
          </w:tcPr>
          <w:p w14:paraId="7765ECD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Taiwan</w:t>
            </w:r>
          </w:p>
        </w:tc>
        <w:tc>
          <w:tcPr>
            <w:tcW w:w="944" w:type="dxa"/>
            <w:tcBorders>
              <w:top w:val="nil"/>
              <w:left w:val="nil"/>
              <w:bottom w:val="nil"/>
              <w:right w:val="single" w:sz="4" w:space="0" w:color="auto"/>
            </w:tcBorders>
            <w:shd w:val="clear" w:color="auto" w:fill="auto"/>
            <w:noWrap/>
            <w:vAlign w:val="center"/>
            <w:hideMark/>
          </w:tcPr>
          <w:p w14:paraId="1C3BF85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Thailand</w:t>
            </w:r>
          </w:p>
        </w:tc>
      </w:tr>
      <w:tr w:rsidR="00ED02A4" w:rsidRPr="00AC0EE7" w14:paraId="4ABA0F0C"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913E7D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-1.197</w:t>
            </w:r>
          </w:p>
        </w:tc>
        <w:tc>
          <w:tcPr>
            <w:tcW w:w="934" w:type="dxa"/>
            <w:tcBorders>
              <w:top w:val="nil"/>
              <w:left w:val="nil"/>
              <w:bottom w:val="nil"/>
              <w:right w:val="nil"/>
            </w:tcBorders>
            <w:shd w:val="clear" w:color="auto" w:fill="auto"/>
            <w:noWrap/>
            <w:vAlign w:val="center"/>
            <w:hideMark/>
          </w:tcPr>
          <w:p w14:paraId="6BB30DF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-0.011</w:t>
            </w:r>
          </w:p>
        </w:tc>
        <w:tc>
          <w:tcPr>
            <w:tcW w:w="960" w:type="dxa"/>
            <w:tcBorders>
              <w:top w:val="nil"/>
              <w:left w:val="nil"/>
              <w:bottom w:val="nil"/>
              <w:right w:val="nil"/>
            </w:tcBorders>
            <w:shd w:val="clear" w:color="auto" w:fill="auto"/>
            <w:noWrap/>
            <w:vAlign w:val="center"/>
            <w:hideMark/>
          </w:tcPr>
          <w:p w14:paraId="4F2C4A5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-0.422</w:t>
            </w:r>
          </w:p>
        </w:tc>
        <w:tc>
          <w:tcPr>
            <w:tcW w:w="956" w:type="dxa"/>
            <w:tcBorders>
              <w:top w:val="nil"/>
              <w:left w:val="nil"/>
              <w:bottom w:val="nil"/>
              <w:right w:val="nil"/>
            </w:tcBorders>
            <w:shd w:val="clear" w:color="auto" w:fill="auto"/>
            <w:noWrap/>
            <w:vAlign w:val="center"/>
            <w:hideMark/>
          </w:tcPr>
          <w:p w14:paraId="712C1A7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-0.155</w:t>
            </w:r>
          </w:p>
        </w:tc>
        <w:tc>
          <w:tcPr>
            <w:tcW w:w="954" w:type="dxa"/>
            <w:tcBorders>
              <w:top w:val="nil"/>
              <w:left w:val="nil"/>
              <w:bottom w:val="nil"/>
              <w:right w:val="nil"/>
            </w:tcBorders>
            <w:shd w:val="clear" w:color="auto" w:fill="auto"/>
            <w:noWrap/>
            <w:vAlign w:val="center"/>
            <w:hideMark/>
          </w:tcPr>
          <w:p w14:paraId="43FFDF3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-0.616</w:t>
            </w:r>
          </w:p>
        </w:tc>
        <w:tc>
          <w:tcPr>
            <w:tcW w:w="939" w:type="dxa"/>
            <w:tcBorders>
              <w:top w:val="nil"/>
              <w:left w:val="nil"/>
              <w:bottom w:val="nil"/>
              <w:right w:val="nil"/>
            </w:tcBorders>
            <w:shd w:val="clear" w:color="auto" w:fill="auto"/>
            <w:noWrap/>
            <w:vAlign w:val="center"/>
            <w:hideMark/>
          </w:tcPr>
          <w:p w14:paraId="4A22D2E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1.348</w:t>
            </w:r>
          </w:p>
        </w:tc>
        <w:tc>
          <w:tcPr>
            <w:tcW w:w="994" w:type="dxa"/>
            <w:tcBorders>
              <w:top w:val="nil"/>
              <w:left w:val="nil"/>
              <w:bottom w:val="nil"/>
              <w:right w:val="nil"/>
            </w:tcBorders>
            <w:shd w:val="clear" w:color="auto" w:fill="auto"/>
            <w:noWrap/>
            <w:vAlign w:val="center"/>
            <w:hideMark/>
          </w:tcPr>
          <w:p w14:paraId="3501381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-0.053</w:t>
            </w:r>
          </w:p>
        </w:tc>
        <w:tc>
          <w:tcPr>
            <w:tcW w:w="944" w:type="dxa"/>
            <w:tcBorders>
              <w:top w:val="nil"/>
              <w:left w:val="nil"/>
              <w:bottom w:val="nil"/>
              <w:right w:val="single" w:sz="4" w:space="0" w:color="auto"/>
            </w:tcBorders>
            <w:shd w:val="clear" w:color="auto" w:fill="auto"/>
            <w:noWrap/>
            <w:vAlign w:val="center"/>
            <w:hideMark/>
          </w:tcPr>
          <w:p w14:paraId="0AD28EB9" w14:textId="2B1A00E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-0.85</w:t>
            </w:r>
            <w:r w:rsidR="00BA4657">
              <w:rPr>
                <w:rFonts w:ascii="Calibri" w:eastAsia="Times New Roman" w:hAnsi="Calibri" w:cs="Calibri"/>
                <w:color w:val="000000"/>
                <w:sz w:val="18"/>
                <w:szCs w:val="18"/>
                <w:lang w:eastAsia="en-IE"/>
              </w:rPr>
              <w:t>0</w:t>
            </w:r>
          </w:p>
        </w:tc>
      </w:tr>
      <w:tr w:rsidR="00ED02A4" w:rsidRPr="00AC0EE7" w14:paraId="50F95691"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EE00FE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-1.188</w:t>
            </w:r>
          </w:p>
        </w:tc>
        <w:tc>
          <w:tcPr>
            <w:tcW w:w="934" w:type="dxa"/>
            <w:tcBorders>
              <w:top w:val="nil"/>
              <w:left w:val="nil"/>
              <w:bottom w:val="nil"/>
              <w:right w:val="nil"/>
            </w:tcBorders>
            <w:shd w:val="clear" w:color="auto" w:fill="auto"/>
            <w:noWrap/>
            <w:vAlign w:val="center"/>
            <w:hideMark/>
          </w:tcPr>
          <w:p w14:paraId="54CF1B3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-0.046</w:t>
            </w:r>
          </w:p>
        </w:tc>
        <w:tc>
          <w:tcPr>
            <w:tcW w:w="960" w:type="dxa"/>
            <w:tcBorders>
              <w:top w:val="nil"/>
              <w:left w:val="nil"/>
              <w:bottom w:val="nil"/>
              <w:right w:val="nil"/>
            </w:tcBorders>
            <w:shd w:val="clear" w:color="auto" w:fill="auto"/>
            <w:noWrap/>
            <w:vAlign w:val="center"/>
            <w:hideMark/>
          </w:tcPr>
          <w:p w14:paraId="2854B27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-0.457</w:t>
            </w:r>
          </w:p>
        </w:tc>
        <w:tc>
          <w:tcPr>
            <w:tcW w:w="956" w:type="dxa"/>
            <w:tcBorders>
              <w:top w:val="nil"/>
              <w:left w:val="nil"/>
              <w:bottom w:val="nil"/>
              <w:right w:val="nil"/>
            </w:tcBorders>
            <w:shd w:val="clear" w:color="auto" w:fill="auto"/>
            <w:noWrap/>
            <w:vAlign w:val="center"/>
            <w:hideMark/>
          </w:tcPr>
          <w:p w14:paraId="544FB87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-1.047</w:t>
            </w:r>
          </w:p>
        </w:tc>
        <w:tc>
          <w:tcPr>
            <w:tcW w:w="954" w:type="dxa"/>
            <w:tcBorders>
              <w:top w:val="nil"/>
              <w:left w:val="nil"/>
              <w:bottom w:val="nil"/>
              <w:right w:val="nil"/>
            </w:tcBorders>
            <w:shd w:val="clear" w:color="auto" w:fill="auto"/>
            <w:noWrap/>
            <w:vAlign w:val="center"/>
            <w:hideMark/>
          </w:tcPr>
          <w:p w14:paraId="11641495"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-0.534</w:t>
            </w:r>
          </w:p>
        </w:tc>
        <w:tc>
          <w:tcPr>
            <w:tcW w:w="939" w:type="dxa"/>
            <w:tcBorders>
              <w:top w:val="nil"/>
              <w:left w:val="nil"/>
              <w:bottom w:val="nil"/>
              <w:right w:val="nil"/>
            </w:tcBorders>
            <w:shd w:val="clear" w:color="auto" w:fill="auto"/>
            <w:noWrap/>
            <w:vAlign w:val="center"/>
            <w:hideMark/>
          </w:tcPr>
          <w:p w14:paraId="477654D2" w14:textId="71B03F1C"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1.162</w:t>
            </w:r>
          </w:p>
        </w:tc>
        <w:tc>
          <w:tcPr>
            <w:tcW w:w="994" w:type="dxa"/>
            <w:tcBorders>
              <w:top w:val="nil"/>
              <w:left w:val="nil"/>
              <w:bottom w:val="nil"/>
              <w:right w:val="nil"/>
            </w:tcBorders>
            <w:shd w:val="clear" w:color="auto" w:fill="auto"/>
            <w:noWrap/>
            <w:vAlign w:val="center"/>
            <w:hideMark/>
          </w:tcPr>
          <w:p w14:paraId="21A0DB1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-0.199</w:t>
            </w:r>
          </w:p>
        </w:tc>
        <w:tc>
          <w:tcPr>
            <w:tcW w:w="944" w:type="dxa"/>
            <w:tcBorders>
              <w:top w:val="nil"/>
              <w:left w:val="nil"/>
              <w:bottom w:val="nil"/>
              <w:right w:val="single" w:sz="4" w:space="0" w:color="auto"/>
            </w:tcBorders>
            <w:shd w:val="clear" w:color="auto" w:fill="auto"/>
            <w:noWrap/>
            <w:vAlign w:val="center"/>
            <w:hideMark/>
          </w:tcPr>
          <w:p w14:paraId="33013920"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-1.048</w:t>
            </w:r>
          </w:p>
        </w:tc>
      </w:tr>
      <w:tr w:rsidR="00ED02A4" w:rsidRPr="00AC0EE7" w14:paraId="2694157E"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087ADFA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Trinidad</w:t>
            </w:r>
          </w:p>
        </w:tc>
        <w:tc>
          <w:tcPr>
            <w:tcW w:w="934" w:type="dxa"/>
            <w:tcBorders>
              <w:top w:val="nil"/>
              <w:left w:val="nil"/>
              <w:bottom w:val="nil"/>
              <w:right w:val="nil"/>
            </w:tcBorders>
            <w:shd w:val="clear" w:color="auto" w:fill="auto"/>
            <w:noWrap/>
            <w:vAlign w:val="center"/>
            <w:hideMark/>
          </w:tcPr>
          <w:p w14:paraId="6CE1ECF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Tunisia</w:t>
            </w:r>
          </w:p>
        </w:tc>
        <w:tc>
          <w:tcPr>
            <w:tcW w:w="960" w:type="dxa"/>
            <w:tcBorders>
              <w:top w:val="nil"/>
              <w:left w:val="nil"/>
              <w:bottom w:val="nil"/>
              <w:right w:val="nil"/>
            </w:tcBorders>
            <w:shd w:val="clear" w:color="auto" w:fill="auto"/>
            <w:noWrap/>
            <w:vAlign w:val="center"/>
            <w:hideMark/>
          </w:tcPr>
          <w:p w14:paraId="324DAD6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Turkey</w:t>
            </w:r>
          </w:p>
        </w:tc>
        <w:tc>
          <w:tcPr>
            <w:tcW w:w="956" w:type="dxa"/>
            <w:tcBorders>
              <w:top w:val="nil"/>
              <w:left w:val="nil"/>
              <w:bottom w:val="nil"/>
              <w:right w:val="nil"/>
            </w:tcBorders>
            <w:shd w:val="clear" w:color="auto" w:fill="auto"/>
            <w:noWrap/>
            <w:vAlign w:val="center"/>
            <w:hideMark/>
          </w:tcPr>
          <w:p w14:paraId="69014BA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Ukraine</w:t>
            </w:r>
          </w:p>
        </w:tc>
        <w:tc>
          <w:tcPr>
            <w:tcW w:w="954" w:type="dxa"/>
            <w:tcBorders>
              <w:top w:val="nil"/>
              <w:left w:val="nil"/>
              <w:bottom w:val="nil"/>
              <w:right w:val="nil"/>
            </w:tcBorders>
            <w:shd w:val="clear" w:color="auto" w:fill="auto"/>
            <w:noWrap/>
            <w:vAlign w:val="center"/>
            <w:hideMark/>
          </w:tcPr>
          <w:p w14:paraId="71C0820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UAE</w:t>
            </w:r>
          </w:p>
        </w:tc>
        <w:tc>
          <w:tcPr>
            <w:tcW w:w="939" w:type="dxa"/>
            <w:tcBorders>
              <w:top w:val="nil"/>
              <w:left w:val="nil"/>
              <w:bottom w:val="nil"/>
              <w:right w:val="nil"/>
            </w:tcBorders>
            <w:shd w:val="clear" w:color="auto" w:fill="auto"/>
            <w:noWrap/>
            <w:vAlign w:val="center"/>
            <w:hideMark/>
          </w:tcPr>
          <w:p w14:paraId="014985D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UK</w:t>
            </w:r>
          </w:p>
        </w:tc>
        <w:tc>
          <w:tcPr>
            <w:tcW w:w="994" w:type="dxa"/>
            <w:tcBorders>
              <w:top w:val="nil"/>
              <w:left w:val="nil"/>
              <w:bottom w:val="nil"/>
              <w:right w:val="nil"/>
            </w:tcBorders>
            <w:shd w:val="clear" w:color="auto" w:fill="auto"/>
            <w:noWrap/>
            <w:vAlign w:val="center"/>
            <w:hideMark/>
          </w:tcPr>
          <w:p w14:paraId="7CA0323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US</w:t>
            </w:r>
          </w:p>
        </w:tc>
        <w:tc>
          <w:tcPr>
            <w:tcW w:w="944" w:type="dxa"/>
            <w:tcBorders>
              <w:top w:val="nil"/>
              <w:left w:val="nil"/>
              <w:bottom w:val="nil"/>
              <w:right w:val="single" w:sz="4" w:space="0" w:color="auto"/>
            </w:tcBorders>
            <w:shd w:val="clear" w:color="auto" w:fill="auto"/>
            <w:noWrap/>
            <w:vAlign w:val="center"/>
            <w:hideMark/>
          </w:tcPr>
          <w:p w14:paraId="28B443A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Venezuela</w:t>
            </w:r>
          </w:p>
        </w:tc>
      </w:tr>
      <w:tr w:rsidR="00ED02A4" w:rsidRPr="00AC0EE7" w14:paraId="63BBFF50"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A09429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0.551</w:t>
            </w:r>
          </w:p>
        </w:tc>
        <w:tc>
          <w:tcPr>
            <w:tcW w:w="934" w:type="dxa"/>
            <w:tcBorders>
              <w:top w:val="nil"/>
              <w:left w:val="nil"/>
              <w:bottom w:val="nil"/>
              <w:right w:val="nil"/>
            </w:tcBorders>
            <w:shd w:val="clear" w:color="auto" w:fill="auto"/>
            <w:noWrap/>
            <w:vAlign w:val="center"/>
            <w:hideMark/>
          </w:tcPr>
          <w:p w14:paraId="704D519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60" w:type="dxa"/>
            <w:tcBorders>
              <w:top w:val="nil"/>
              <w:left w:val="nil"/>
              <w:bottom w:val="nil"/>
              <w:right w:val="nil"/>
            </w:tcBorders>
            <w:shd w:val="clear" w:color="auto" w:fill="auto"/>
            <w:noWrap/>
            <w:vAlign w:val="center"/>
            <w:hideMark/>
          </w:tcPr>
          <w:p w14:paraId="613FA51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-0.428</w:t>
            </w:r>
          </w:p>
        </w:tc>
        <w:tc>
          <w:tcPr>
            <w:tcW w:w="956" w:type="dxa"/>
            <w:tcBorders>
              <w:top w:val="nil"/>
              <w:left w:val="nil"/>
              <w:bottom w:val="nil"/>
              <w:right w:val="nil"/>
            </w:tcBorders>
            <w:shd w:val="clear" w:color="auto" w:fill="auto"/>
            <w:noWrap/>
            <w:vAlign w:val="center"/>
            <w:hideMark/>
          </w:tcPr>
          <w:p w14:paraId="61ACFC4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445828D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05234DD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-0.966</w:t>
            </w:r>
          </w:p>
        </w:tc>
        <w:tc>
          <w:tcPr>
            <w:tcW w:w="994" w:type="dxa"/>
            <w:tcBorders>
              <w:top w:val="nil"/>
              <w:left w:val="nil"/>
              <w:bottom w:val="nil"/>
              <w:right w:val="nil"/>
            </w:tcBorders>
            <w:shd w:val="clear" w:color="auto" w:fill="auto"/>
            <w:noWrap/>
            <w:vAlign w:val="center"/>
            <w:hideMark/>
          </w:tcPr>
          <w:p w14:paraId="366D2DFB" w14:textId="2CF7A2E0"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-0.75</w:t>
            </w:r>
            <w:r w:rsidR="00C10819">
              <w:rPr>
                <w:rFonts w:ascii="Calibri" w:eastAsia="Times New Roman" w:hAnsi="Calibri" w:cs="Calibri"/>
                <w:color w:val="000000"/>
                <w:sz w:val="18"/>
                <w:szCs w:val="18"/>
                <w:lang w:eastAsia="en-IE"/>
              </w:rPr>
              <w:t>0</w:t>
            </w:r>
          </w:p>
        </w:tc>
        <w:tc>
          <w:tcPr>
            <w:tcW w:w="944" w:type="dxa"/>
            <w:tcBorders>
              <w:top w:val="nil"/>
              <w:left w:val="nil"/>
              <w:bottom w:val="nil"/>
              <w:right w:val="single" w:sz="4" w:space="0" w:color="auto"/>
            </w:tcBorders>
            <w:shd w:val="clear" w:color="auto" w:fill="auto"/>
            <w:noWrap/>
            <w:vAlign w:val="center"/>
            <w:hideMark/>
          </w:tcPr>
          <w:p w14:paraId="1589D4F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-1.062</w:t>
            </w:r>
          </w:p>
        </w:tc>
      </w:tr>
      <w:tr w:rsidR="00ED02A4" w:rsidRPr="00AC0EE7" w14:paraId="57B0907C"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E3E9C5E" w14:textId="11720E2F"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1.495</w:t>
            </w:r>
          </w:p>
        </w:tc>
        <w:tc>
          <w:tcPr>
            <w:tcW w:w="934" w:type="dxa"/>
            <w:tcBorders>
              <w:top w:val="nil"/>
              <w:left w:val="nil"/>
              <w:bottom w:val="nil"/>
              <w:right w:val="nil"/>
            </w:tcBorders>
            <w:shd w:val="clear" w:color="auto" w:fill="auto"/>
            <w:noWrap/>
            <w:vAlign w:val="center"/>
            <w:hideMark/>
          </w:tcPr>
          <w:p w14:paraId="0301A91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60" w:type="dxa"/>
            <w:tcBorders>
              <w:top w:val="nil"/>
              <w:left w:val="nil"/>
              <w:bottom w:val="nil"/>
              <w:right w:val="nil"/>
            </w:tcBorders>
            <w:shd w:val="clear" w:color="auto" w:fill="auto"/>
            <w:noWrap/>
            <w:vAlign w:val="center"/>
            <w:hideMark/>
          </w:tcPr>
          <w:p w14:paraId="71C113F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-1.738</w:t>
            </w:r>
          </w:p>
        </w:tc>
        <w:tc>
          <w:tcPr>
            <w:tcW w:w="956" w:type="dxa"/>
            <w:tcBorders>
              <w:top w:val="nil"/>
              <w:left w:val="nil"/>
              <w:bottom w:val="nil"/>
              <w:right w:val="nil"/>
            </w:tcBorders>
            <w:shd w:val="clear" w:color="auto" w:fill="auto"/>
            <w:noWrap/>
            <w:vAlign w:val="center"/>
            <w:hideMark/>
          </w:tcPr>
          <w:p w14:paraId="1727326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55C4D9F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7BEA453F" w14:textId="1029C1AC"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-0.95</w:t>
            </w:r>
            <w:r w:rsidR="00C10819">
              <w:rPr>
                <w:rFonts w:ascii="Calibri" w:eastAsia="Times New Roman" w:hAnsi="Calibri" w:cs="Calibri"/>
                <w:b/>
                <w:bCs/>
                <w:i/>
                <w:iCs/>
                <w:color w:val="000000"/>
                <w:sz w:val="18"/>
                <w:szCs w:val="18"/>
                <w:lang w:eastAsia="en-IE"/>
              </w:rPr>
              <w:t>0</w:t>
            </w:r>
          </w:p>
        </w:tc>
        <w:tc>
          <w:tcPr>
            <w:tcW w:w="994" w:type="dxa"/>
            <w:tcBorders>
              <w:top w:val="nil"/>
              <w:left w:val="nil"/>
              <w:bottom w:val="nil"/>
              <w:right w:val="nil"/>
            </w:tcBorders>
            <w:shd w:val="clear" w:color="auto" w:fill="auto"/>
            <w:noWrap/>
            <w:vAlign w:val="center"/>
            <w:hideMark/>
          </w:tcPr>
          <w:p w14:paraId="656F7965"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-3.344</w:t>
            </w:r>
          </w:p>
        </w:tc>
        <w:tc>
          <w:tcPr>
            <w:tcW w:w="944" w:type="dxa"/>
            <w:tcBorders>
              <w:top w:val="nil"/>
              <w:left w:val="nil"/>
              <w:bottom w:val="nil"/>
              <w:right w:val="single" w:sz="4" w:space="0" w:color="auto"/>
            </w:tcBorders>
            <w:shd w:val="clear" w:color="auto" w:fill="auto"/>
            <w:noWrap/>
            <w:vAlign w:val="center"/>
            <w:hideMark/>
          </w:tcPr>
          <w:p w14:paraId="00910D1C" w14:textId="3330387A"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-2.54</w:t>
            </w:r>
            <w:r w:rsidR="00C10819">
              <w:rPr>
                <w:rFonts w:ascii="Calibri" w:eastAsia="Times New Roman" w:hAnsi="Calibri" w:cs="Calibri"/>
                <w:b/>
                <w:bCs/>
                <w:i/>
                <w:iCs/>
                <w:color w:val="000000"/>
                <w:sz w:val="18"/>
                <w:szCs w:val="18"/>
                <w:lang w:eastAsia="en-IE"/>
              </w:rPr>
              <w:t>0</w:t>
            </w:r>
          </w:p>
        </w:tc>
      </w:tr>
      <w:tr w:rsidR="00ED02A4" w:rsidRPr="00AC0EE7" w14:paraId="42B9BB8C"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BA3D06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Vietnam</w:t>
            </w:r>
          </w:p>
        </w:tc>
        <w:tc>
          <w:tcPr>
            <w:tcW w:w="934" w:type="dxa"/>
            <w:tcBorders>
              <w:top w:val="nil"/>
              <w:left w:val="nil"/>
              <w:bottom w:val="nil"/>
              <w:right w:val="nil"/>
            </w:tcBorders>
            <w:shd w:val="clear" w:color="auto" w:fill="auto"/>
            <w:noWrap/>
            <w:vAlign w:val="center"/>
            <w:hideMark/>
          </w:tcPr>
          <w:p w14:paraId="467F895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Zambia</w:t>
            </w:r>
          </w:p>
        </w:tc>
        <w:tc>
          <w:tcPr>
            <w:tcW w:w="960" w:type="dxa"/>
            <w:tcBorders>
              <w:top w:val="nil"/>
              <w:left w:val="nil"/>
              <w:bottom w:val="nil"/>
              <w:right w:val="nil"/>
            </w:tcBorders>
            <w:shd w:val="clear" w:color="auto" w:fill="auto"/>
            <w:noWrap/>
            <w:hideMark/>
          </w:tcPr>
          <w:p w14:paraId="25C49ABC"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6" w:type="dxa"/>
            <w:tcBorders>
              <w:top w:val="nil"/>
              <w:left w:val="nil"/>
              <w:bottom w:val="nil"/>
              <w:right w:val="nil"/>
            </w:tcBorders>
            <w:shd w:val="clear" w:color="auto" w:fill="auto"/>
            <w:noWrap/>
            <w:hideMark/>
          </w:tcPr>
          <w:p w14:paraId="0270E6C2"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4" w:type="dxa"/>
            <w:tcBorders>
              <w:top w:val="nil"/>
              <w:left w:val="nil"/>
              <w:bottom w:val="nil"/>
              <w:right w:val="nil"/>
            </w:tcBorders>
            <w:shd w:val="clear" w:color="auto" w:fill="auto"/>
            <w:noWrap/>
            <w:hideMark/>
          </w:tcPr>
          <w:p w14:paraId="40514664"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090640BA"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4FEDD43F"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71F442F6"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2F22ED6A"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A5CBE2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34" w:type="dxa"/>
            <w:tcBorders>
              <w:top w:val="nil"/>
              <w:left w:val="nil"/>
              <w:bottom w:val="nil"/>
              <w:right w:val="nil"/>
            </w:tcBorders>
            <w:shd w:val="clear" w:color="auto" w:fill="auto"/>
            <w:noWrap/>
            <w:vAlign w:val="center"/>
            <w:hideMark/>
          </w:tcPr>
          <w:p w14:paraId="02F7C54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60" w:type="dxa"/>
            <w:tcBorders>
              <w:top w:val="nil"/>
              <w:left w:val="nil"/>
              <w:bottom w:val="nil"/>
              <w:right w:val="nil"/>
            </w:tcBorders>
            <w:shd w:val="clear" w:color="auto" w:fill="auto"/>
            <w:noWrap/>
            <w:hideMark/>
          </w:tcPr>
          <w:p w14:paraId="7657BF81"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6" w:type="dxa"/>
            <w:tcBorders>
              <w:top w:val="nil"/>
              <w:left w:val="nil"/>
              <w:bottom w:val="nil"/>
              <w:right w:val="nil"/>
            </w:tcBorders>
            <w:shd w:val="clear" w:color="auto" w:fill="auto"/>
            <w:noWrap/>
            <w:hideMark/>
          </w:tcPr>
          <w:p w14:paraId="1F5AB719"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4" w:type="dxa"/>
            <w:tcBorders>
              <w:top w:val="nil"/>
              <w:left w:val="nil"/>
              <w:bottom w:val="nil"/>
              <w:right w:val="nil"/>
            </w:tcBorders>
            <w:shd w:val="clear" w:color="auto" w:fill="auto"/>
            <w:noWrap/>
            <w:hideMark/>
          </w:tcPr>
          <w:p w14:paraId="762EEE74"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017ED713"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7A0D9BD6"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772059D3"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2128A386"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9FAB56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34" w:type="dxa"/>
            <w:tcBorders>
              <w:top w:val="nil"/>
              <w:left w:val="nil"/>
              <w:bottom w:val="nil"/>
              <w:right w:val="nil"/>
            </w:tcBorders>
            <w:shd w:val="clear" w:color="auto" w:fill="auto"/>
            <w:noWrap/>
            <w:vAlign w:val="center"/>
            <w:hideMark/>
          </w:tcPr>
          <w:p w14:paraId="520F0019"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60" w:type="dxa"/>
            <w:tcBorders>
              <w:top w:val="nil"/>
              <w:left w:val="nil"/>
              <w:bottom w:val="nil"/>
              <w:right w:val="nil"/>
            </w:tcBorders>
            <w:shd w:val="clear" w:color="auto" w:fill="auto"/>
            <w:noWrap/>
            <w:hideMark/>
          </w:tcPr>
          <w:p w14:paraId="24838F55"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6" w:type="dxa"/>
            <w:tcBorders>
              <w:top w:val="nil"/>
              <w:left w:val="nil"/>
              <w:bottom w:val="nil"/>
              <w:right w:val="nil"/>
            </w:tcBorders>
            <w:shd w:val="clear" w:color="auto" w:fill="auto"/>
            <w:noWrap/>
            <w:hideMark/>
          </w:tcPr>
          <w:p w14:paraId="661E77F5"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4" w:type="dxa"/>
            <w:tcBorders>
              <w:top w:val="nil"/>
              <w:left w:val="nil"/>
              <w:bottom w:val="nil"/>
              <w:right w:val="nil"/>
            </w:tcBorders>
            <w:shd w:val="clear" w:color="auto" w:fill="auto"/>
            <w:noWrap/>
            <w:hideMark/>
          </w:tcPr>
          <w:p w14:paraId="39ECE82B"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39" w:type="dxa"/>
            <w:tcBorders>
              <w:top w:val="nil"/>
              <w:left w:val="nil"/>
              <w:bottom w:val="nil"/>
              <w:right w:val="nil"/>
            </w:tcBorders>
            <w:shd w:val="clear" w:color="auto" w:fill="auto"/>
            <w:noWrap/>
            <w:hideMark/>
          </w:tcPr>
          <w:p w14:paraId="50937E41"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94" w:type="dxa"/>
            <w:tcBorders>
              <w:top w:val="nil"/>
              <w:left w:val="nil"/>
              <w:bottom w:val="nil"/>
              <w:right w:val="nil"/>
            </w:tcBorders>
            <w:shd w:val="clear" w:color="auto" w:fill="auto"/>
            <w:noWrap/>
            <w:hideMark/>
          </w:tcPr>
          <w:p w14:paraId="455F6C23"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44" w:type="dxa"/>
            <w:tcBorders>
              <w:top w:val="nil"/>
              <w:left w:val="nil"/>
              <w:bottom w:val="nil"/>
              <w:right w:val="single" w:sz="4" w:space="0" w:color="auto"/>
            </w:tcBorders>
            <w:shd w:val="clear" w:color="auto" w:fill="auto"/>
            <w:noWrap/>
            <w:hideMark/>
          </w:tcPr>
          <w:p w14:paraId="78C46376"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r>
      <w:tr w:rsidR="00ED02A4" w:rsidRPr="00AC0EE7" w14:paraId="580DD352" w14:textId="77777777" w:rsidTr="00367A87">
        <w:trPr>
          <w:trHeight w:val="288"/>
        </w:trPr>
        <w:tc>
          <w:tcPr>
            <w:tcW w:w="999" w:type="dxa"/>
            <w:tcBorders>
              <w:top w:val="nil"/>
              <w:left w:val="single" w:sz="4" w:space="0" w:color="auto"/>
              <w:bottom w:val="nil"/>
              <w:right w:val="nil"/>
            </w:tcBorders>
            <w:shd w:val="clear" w:color="auto" w:fill="auto"/>
            <w:noWrap/>
            <w:vAlign w:val="bottom"/>
            <w:hideMark/>
          </w:tcPr>
          <w:p w14:paraId="2F1616AF"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4" w:type="dxa"/>
            <w:tcBorders>
              <w:top w:val="nil"/>
              <w:left w:val="nil"/>
              <w:bottom w:val="nil"/>
              <w:right w:val="nil"/>
            </w:tcBorders>
            <w:shd w:val="clear" w:color="auto" w:fill="auto"/>
            <w:noWrap/>
            <w:vAlign w:val="bottom"/>
            <w:hideMark/>
          </w:tcPr>
          <w:p w14:paraId="7D710A97"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60" w:type="dxa"/>
            <w:tcBorders>
              <w:top w:val="nil"/>
              <w:left w:val="nil"/>
              <w:bottom w:val="nil"/>
              <w:right w:val="nil"/>
            </w:tcBorders>
            <w:shd w:val="clear" w:color="auto" w:fill="auto"/>
            <w:noWrap/>
            <w:vAlign w:val="bottom"/>
            <w:hideMark/>
          </w:tcPr>
          <w:p w14:paraId="74B04CF2"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6" w:type="dxa"/>
            <w:tcBorders>
              <w:top w:val="nil"/>
              <w:left w:val="nil"/>
              <w:bottom w:val="nil"/>
              <w:right w:val="nil"/>
            </w:tcBorders>
            <w:shd w:val="clear" w:color="auto" w:fill="auto"/>
            <w:noWrap/>
            <w:vAlign w:val="bottom"/>
            <w:hideMark/>
          </w:tcPr>
          <w:p w14:paraId="2A84D720"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4" w:type="dxa"/>
            <w:tcBorders>
              <w:top w:val="nil"/>
              <w:left w:val="nil"/>
              <w:bottom w:val="nil"/>
              <w:right w:val="nil"/>
            </w:tcBorders>
            <w:shd w:val="clear" w:color="auto" w:fill="auto"/>
            <w:noWrap/>
            <w:vAlign w:val="bottom"/>
            <w:hideMark/>
          </w:tcPr>
          <w:p w14:paraId="453DC02A"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vAlign w:val="bottom"/>
            <w:hideMark/>
          </w:tcPr>
          <w:p w14:paraId="6D01E76B"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vAlign w:val="bottom"/>
            <w:hideMark/>
          </w:tcPr>
          <w:p w14:paraId="7D17DDBE"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vAlign w:val="bottom"/>
            <w:hideMark/>
          </w:tcPr>
          <w:p w14:paraId="17A2B531"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724E3D57" w14:textId="77777777" w:rsidTr="00367A87">
        <w:trPr>
          <w:trHeight w:val="288"/>
        </w:trPr>
        <w:tc>
          <w:tcPr>
            <w:tcW w:w="768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570C54F" w14:textId="77777777" w:rsidR="00ED02A4" w:rsidRPr="00AC0EE7" w:rsidRDefault="00ED02A4" w:rsidP="00367A87">
            <w:pPr>
              <w:spacing w:after="0" w:line="240" w:lineRule="auto"/>
              <w:jc w:val="center"/>
              <w:rPr>
                <w:rFonts w:ascii="Calibri" w:eastAsia="Times New Roman" w:hAnsi="Calibri" w:cs="Calibri"/>
                <w:b/>
                <w:bCs/>
                <w:color w:val="000000"/>
                <w:lang w:eastAsia="en-IE"/>
              </w:rPr>
            </w:pPr>
            <w:r w:rsidRPr="00AC0EE7">
              <w:rPr>
                <w:rFonts w:ascii="Calibri" w:eastAsia="Times New Roman" w:hAnsi="Calibri" w:cs="Calibri"/>
                <w:b/>
                <w:bCs/>
                <w:color w:val="000000"/>
                <w:lang w:eastAsia="en-IE"/>
              </w:rPr>
              <w:t>Bonds</w:t>
            </w:r>
          </w:p>
        </w:tc>
      </w:tr>
      <w:tr w:rsidR="00ED02A4" w:rsidRPr="00AC0EE7" w14:paraId="563878CE"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E94240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World Index</w:t>
            </w:r>
          </w:p>
        </w:tc>
        <w:tc>
          <w:tcPr>
            <w:tcW w:w="934" w:type="dxa"/>
            <w:tcBorders>
              <w:top w:val="nil"/>
              <w:left w:val="nil"/>
              <w:bottom w:val="nil"/>
              <w:right w:val="nil"/>
            </w:tcBorders>
            <w:shd w:val="clear" w:color="auto" w:fill="auto"/>
            <w:noWrap/>
            <w:vAlign w:val="center"/>
            <w:hideMark/>
          </w:tcPr>
          <w:p w14:paraId="5437BA5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Australia</w:t>
            </w:r>
          </w:p>
        </w:tc>
        <w:tc>
          <w:tcPr>
            <w:tcW w:w="960" w:type="dxa"/>
            <w:tcBorders>
              <w:top w:val="nil"/>
              <w:left w:val="nil"/>
              <w:bottom w:val="nil"/>
              <w:right w:val="nil"/>
            </w:tcBorders>
            <w:shd w:val="clear" w:color="auto" w:fill="auto"/>
            <w:noWrap/>
            <w:vAlign w:val="center"/>
            <w:hideMark/>
          </w:tcPr>
          <w:p w14:paraId="78F4C7F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Austria</w:t>
            </w:r>
          </w:p>
        </w:tc>
        <w:tc>
          <w:tcPr>
            <w:tcW w:w="956" w:type="dxa"/>
            <w:tcBorders>
              <w:top w:val="nil"/>
              <w:left w:val="nil"/>
              <w:bottom w:val="nil"/>
              <w:right w:val="nil"/>
            </w:tcBorders>
            <w:shd w:val="clear" w:color="auto" w:fill="auto"/>
            <w:noWrap/>
            <w:vAlign w:val="center"/>
            <w:hideMark/>
          </w:tcPr>
          <w:p w14:paraId="61A739B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Belgium</w:t>
            </w:r>
          </w:p>
        </w:tc>
        <w:tc>
          <w:tcPr>
            <w:tcW w:w="954" w:type="dxa"/>
            <w:tcBorders>
              <w:top w:val="nil"/>
              <w:left w:val="nil"/>
              <w:bottom w:val="nil"/>
              <w:right w:val="nil"/>
            </w:tcBorders>
            <w:shd w:val="clear" w:color="auto" w:fill="auto"/>
            <w:noWrap/>
            <w:vAlign w:val="center"/>
            <w:hideMark/>
          </w:tcPr>
          <w:p w14:paraId="675D571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Canada</w:t>
            </w:r>
          </w:p>
        </w:tc>
        <w:tc>
          <w:tcPr>
            <w:tcW w:w="939" w:type="dxa"/>
            <w:tcBorders>
              <w:top w:val="nil"/>
              <w:left w:val="nil"/>
              <w:bottom w:val="nil"/>
              <w:right w:val="nil"/>
            </w:tcBorders>
            <w:shd w:val="clear" w:color="auto" w:fill="auto"/>
            <w:noWrap/>
            <w:vAlign w:val="center"/>
            <w:hideMark/>
          </w:tcPr>
          <w:p w14:paraId="02E265F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China</w:t>
            </w:r>
          </w:p>
        </w:tc>
        <w:tc>
          <w:tcPr>
            <w:tcW w:w="994" w:type="dxa"/>
            <w:tcBorders>
              <w:top w:val="nil"/>
              <w:left w:val="nil"/>
              <w:bottom w:val="nil"/>
              <w:right w:val="nil"/>
            </w:tcBorders>
            <w:shd w:val="clear" w:color="auto" w:fill="auto"/>
            <w:noWrap/>
            <w:vAlign w:val="center"/>
            <w:hideMark/>
          </w:tcPr>
          <w:p w14:paraId="426DB9E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Czech Rep.</w:t>
            </w:r>
          </w:p>
        </w:tc>
        <w:tc>
          <w:tcPr>
            <w:tcW w:w="944" w:type="dxa"/>
            <w:tcBorders>
              <w:top w:val="nil"/>
              <w:left w:val="nil"/>
              <w:bottom w:val="nil"/>
              <w:right w:val="single" w:sz="4" w:space="0" w:color="auto"/>
            </w:tcBorders>
            <w:shd w:val="clear" w:color="auto" w:fill="auto"/>
            <w:noWrap/>
            <w:vAlign w:val="center"/>
            <w:hideMark/>
          </w:tcPr>
          <w:p w14:paraId="068277B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Denmark</w:t>
            </w:r>
          </w:p>
        </w:tc>
      </w:tr>
      <w:tr w:rsidR="00ED02A4" w:rsidRPr="00AC0EE7" w14:paraId="32F25FFF"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F7F6D4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1.536</w:t>
            </w:r>
          </w:p>
        </w:tc>
        <w:tc>
          <w:tcPr>
            <w:tcW w:w="934" w:type="dxa"/>
            <w:tcBorders>
              <w:top w:val="nil"/>
              <w:left w:val="nil"/>
              <w:bottom w:val="nil"/>
              <w:right w:val="nil"/>
            </w:tcBorders>
            <w:shd w:val="clear" w:color="auto" w:fill="auto"/>
            <w:noWrap/>
            <w:vAlign w:val="center"/>
            <w:hideMark/>
          </w:tcPr>
          <w:p w14:paraId="6690DD1D" w14:textId="1FA1566B"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0.58</w:t>
            </w:r>
            <w:r w:rsidR="00BA4657">
              <w:rPr>
                <w:rFonts w:ascii="Calibri" w:eastAsia="Times New Roman" w:hAnsi="Calibri" w:cs="Calibri"/>
                <w:color w:val="000000"/>
                <w:sz w:val="18"/>
                <w:szCs w:val="18"/>
                <w:lang w:eastAsia="en-IE"/>
              </w:rPr>
              <w:t>0</w:t>
            </w:r>
          </w:p>
        </w:tc>
        <w:tc>
          <w:tcPr>
            <w:tcW w:w="960" w:type="dxa"/>
            <w:tcBorders>
              <w:top w:val="nil"/>
              <w:left w:val="nil"/>
              <w:bottom w:val="nil"/>
              <w:right w:val="nil"/>
            </w:tcBorders>
            <w:shd w:val="clear" w:color="auto" w:fill="auto"/>
            <w:noWrap/>
            <w:vAlign w:val="center"/>
            <w:hideMark/>
          </w:tcPr>
          <w:p w14:paraId="5E7F9FF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1.91</w:t>
            </w:r>
          </w:p>
        </w:tc>
        <w:tc>
          <w:tcPr>
            <w:tcW w:w="956" w:type="dxa"/>
            <w:tcBorders>
              <w:top w:val="nil"/>
              <w:left w:val="nil"/>
              <w:bottom w:val="nil"/>
              <w:right w:val="nil"/>
            </w:tcBorders>
            <w:shd w:val="clear" w:color="auto" w:fill="auto"/>
            <w:noWrap/>
            <w:vAlign w:val="center"/>
            <w:hideMark/>
          </w:tcPr>
          <w:p w14:paraId="6127A46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1.627</w:t>
            </w:r>
          </w:p>
        </w:tc>
        <w:tc>
          <w:tcPr>
            <w:tcW w:w="954" w:type="dxa"/>
            <w:tcBorders>
              <w:top w:val="nil"/>
              <w:left w:val="nil"/>
              <w:bottom w:val="nil"/>
              <w:right w:val="nil"/>
            </w:tcBorders>
            <w:shd w:val="clear" w:color="auto" w:fill="auto"/>
            <w:noWrap/>
            <w:vAlign w:val="center"/>
            <w:hideMark/>
          </w:tcPr>
          <w:p w14:paraId="48DC25E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-0.431</w:t>
            </w:r>
          </w:p>
        </w:tc>
        <w:tc>
          <w:tcPr>
            <w:tcW w:w="939" w:type="dxa"/>
            <w:tcBorders>
              <w:top w:val="nil"/>
              <w:left w:val="nil"/>
              <w:bottom w:val="nil"/>
              <w:right w:val="nil"/>
            </w:tcBorders>
            <w:shd w:val="clear" w:color="auto" w:fill="auto"/>
            <w:noWrap/>
            <w:vAlign w:val="center"/>
            <w:hideMark/>
          </w:tcPr>
          <w:p w14:paraId="40A6876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94" w:type="dxa"/>
            <w:tcBorders>
              <w:top w:val="nil"/>
              <w:left w:val="nil"/>
              <w:bottom w:val="nil"/>
              <w:right w:val="nil"/>
            </w:tcBorders>
            <w:shd w:val="clear" w:color="auto" w:fill="auto"/>
            <w:noWrap/>
            <w:vAlign w:val="center"/>
            <w:hideMark/>
          </w:tcPr>
          <w:p w14:paraId="4FA6342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44" w:type="dxa"/>
            <w:tcBorders>
              <w:top w:val="nil"/>
              <w:left w:val="nil"/>
              <w:bottom w:val="nil"/>
              <w:right w:val="single" w:sz="4" w:space="0" w:color="auto"/>
            </w:tcBorders>
            <w:shd w:val="clear" w:color="auto" w:fill="auto"/>
            <w:noWrap/>
            <w:vAlign w:val="center"/>
            <w:hideMark/>
          </w:tcPr>
          <w:p w14:paraId="362B373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1.812</w:t>
            </w:r>
          </w:p>
        </w:tc>
      </w:tr>
      <w:tr w:rsidR="00ED02A4" w:rsidRPr="00AC0EE7" w14:paraId="3E5CE6E3"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7598EC2" w14:textId="5F96E209"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2.006</w:t>
            </w:r>
          </w:p>
        </w:tc>
        <w:tc>
          <w:tcPr>
            <w:tcW w:w="934" w:type="dxa"/>
            <w:tcBorders>
              <w:top w:val="nil"/>
              <w:left w:val="nil"/>
              <w:bottom w:val="nil"/>
              <w:right w:val="nil"/>
            </w:tcBorders>
            <w:shd w:val="clear" w:color="auto" w:fill="auto"/>
            <w:noWrap/>
            <w:vAlign w:val="center"/>
            <w:hideMark/>
          </w:tcPr>
          <w:p w14:paraId="61C66923" w14:textId="3A6A5F9E"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1.456</w:t>
            </w:r>
          </w:p>
        </w:tc>
        <w:tc>
          <w:tcPr>
            <w:tcW w:w="960" w:type="dxa"/>
            <w:tcBorders>
              <w:top w:val="nil"/>
              <w:left w:val="nil"/>
              <w:bottom w:val="nil"/>
              <w:right w:val="nil"/>
            </w:tcBorders>
            <w:shd w:val="clear" w:color="auto" w:fill="auto"/>
            <w:noWrap/>
            <w:vAlign w:val="center"/>
            <w:hideMark/>
          </w:tcPr>
          <w:p w14:paraId="13BC5A8E" w14:textId="1DE2FCE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1.937</w:t>
            </w:r>
          </w:p>
        </w:tc>
        <w:tc>
          <w:tcPr>
            <w:tcW w:w="956" w:type="dxa"/>
            <w:tcBorders>
              <w:top w:val="nil"/>
              <w:left w:val="nil"/>
              <w:bottom w:val="nil"/>
              <w:right w:val="nil"/>
            </w:tcBorders>
            <w:shd w:val="clear" w:color="auto" w:fill="auto"/>
            <w:noWrap/>
            <w:vAlign w:val="center"/>
            <w:hideMark/>
          </w:tcPr>
          <w:p w14:paraId="3BEAB036" w14:textId="280CEEDB"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1.812</w:t>
            </w:r>
          </w:p>
        </w:tc>
        <w:tc>
          <w:tcPr>
            <w:tcW w:w="954" w:type="dxa"/>
            <w:tcBorders>
              <w:top w:val="nil"/>
              <w:left w:val="nil"/>
              <w:bottom w:val="nil"/>
              <w:right w:val="nil"/>
            </w:tcBorders>
            <w:shd w:val="clear" w:color="auto" w:fill="auto"/>
            <w:noWrap/>
            <w:vAlign w:val="center"/>
            <w:hideMark/>
          </w:tcPr>
          <w:p w14:paraId="3576CB0E"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-2.068</w:t>
            </w:r>
          </w:p>
        </w:tc>
        <w:tc>
          <w:tcPr>
            <w:tcW w:w="939" w:type="dxa"/>
            <w:tcBorders>
              <w:top w:val="nil"/>
              <w:left w:val="nil"/>
              <w:bottom w:val="nil"/>
              <w:right w:val="nil"/>
            </w:tcBorders>
            <w:shd w:val="clear" w:color="auto" w:fill="auto"/>
            <w:noWrap/>
            <w:vAlign w:val="center"/>
            <w:hideMark/>
          </w:tcPr>
          <w:p w14:paraId="29589DD9"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94" w:type="dxa"/>
            <w:tcBorders>
              <w:top w:val="nil"/>
              <w:left w:val="nil"/>
              <w:bottom w:val="nil"/>
              <w:right w:val="nil"/>
            </w:tcBorders>
            <w:shd w:val="clear" w:color="auto" w:fill="auto"/>
            <w:noWrap/>
            <w:vAlign w:val="center"/>
            <w:hideMark/>
          </w:tcPr>
          <w:p w14:paraId="47AC456E"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44" w:type="dxa"/>
            <w:tcBorders>
              <w:top w:val="nil"/>
              <w:left w:val="nil"/>
              <w:bottom w:val="nil"/>
              <w:right w:val="single" w:sz="4" w:space="0" w:color="auto"/>
            </w:tcBorders>
            <w:shd w:val="clear" w:color="auto" w:fill="auto"/>
            <w:noWrap/>
            <w:vAlign w:val="center"/>
            <w:hideMark/>
          </w:tcPr>
          <w:p w14:paraId="36F05E42" w14:textId="1333FF3C"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1.954</w:t>
            </w:r>
          </w:p>
        </w:tc>
      </w:tr>
      <w:tr w:rsidR="00ED02A4" w:rsidRPr="00AC0EE7" w14:paraId="39F8B96C"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0D12754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Finland</w:t>
            </w:r>
          </w:p>
        </w:tc>
        <w:tc>
          <w:tcPr>
            <w:tcW w:w="934" w:type="dxa"/>
            <w:tcBorders>
              <w:top w:val="nil"/>
              <w:left w:val="nil"/>
              <w:bottom w:val="nil"/>
              <w:right w:val="nil"/>
            </w:tcBorders>
            <w:shd w:val="clear" w:color="auto" w:fill="auto"/>
            <w:noWrap/>
            <w:vAlign w:val="center"/>
            <w:hideMark/>
          </w:tcPr>
          <w:p w14:paraId="182AAE7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France</w:t>
            </w:r>
          </w:p>
        </w:tc>
        <w:tc>
          <w:tcPr>
            <w:tcW w:w="960" w:type="dxa"/>
            <w:tcBorders>
              <w:top w:val="nil"/>
              <w:left w:val="nil"/>
              <w:bottom w:val="nil"/>
              <w:right w:val="nil"/>
            </w:tcBorders>
            <w:shd w:val="clear" w:color="auto" w:fill="auto"/>
            <w:noWrap/>
            <w:vAlign w:val="center"/>
            <w:hideMark/>
          </w:tcPr>
          <w:p w14:paraId="3874CEF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Germany</w:t>
            </w:r>
          </w:p>
        </w:tc>
        <w:tc>
          <w:tcPr>
            <w:tcW w:w="956" w:type="dxa"/>
            <w:tcBorders>
              <w:top w:val="nil"/>
              <w:left w:val="nil"/>
              <w:bottom w:val="nil"/>
              <w:right w:val="nil"/>
            </w:tcBorders>
            <w:shd w:val="clear" w:color="auto" w:fill="auto"/>
            <w:noWrap/>
            <w:vAlign w:val="center"/>
            <w:hideMark/>
          </w:tcPr>
          <w:p w14:paraId="7435E17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Ireland</w:t>
            </w:r>
          </w:p>
        </w:tc>
        <w:tc>
          <w:tcPr>
            <w:tcW w:w="954" w:type="dxa"/>
            <w:tcBorders>
              <w:top w:val="nil"/>
              <w:left w:val="nil"/>
              <w:bottom w:val="nil"/>
              <w:right w:val="nil"/>
            </w:tcBorders>
            <w:shd w:val="clear" w:color="auto" w:fill="auto"/>
            <w:noWrap/>
            <w:vAlign w:val="center"/>
            <w:hideMark/>
          </w:tcPr>
          <w:p w14:paraId="521710A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Italy</w:t>
            </w:r>
          </w:p>
        </w:tc>
        <w:tc>
          <w:tcPr>
            <w:tcW w:w="939" w:type="dxa"/>
            <w:tcBorders>
              <w:top w:val="nil"/>
              <w:left w:val="nil"/>
              <w:bottom w:val="nil"/>
              <w:right w:val="nil"/>
            </w:tcBorders>
            <w:shd w:val="clear" w:color="auto" w:fill="auto"/>
            <w:noWrap/>
            <w:vAlign w:val="center"/>
            <w:hideMark/>
          </w:tcPr>
          <w:p w14:paraId="59E6DE1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Japan</w:t>
            </w:r>
          </w:p>
        </w:tc>
        <w:tc>
          <w:tcPr>
            <w:tcW w:w="994" w:type="dxa"/>
            <w:tcBorders>
              <w:top w:val="nil"/>
              <w:left w:val="nil"/>
              <w:bottom w:val="nil"/>
              <w:right w:val="nil"/>
            </w:tcBorders>
            <w:shd w:val="clear" w:color="auto" w:fill="auto"/>
            <w:noWrap/>
            <w:vAlign w:val="center"/>
            <w:hideMark/>
          </w:tcPr>
          <w:p w14:paraId="08E1EE4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Mexico</w:t>
            </w:r>
          </w:p>
        </w:tc>
        <w:tc>
          <w:tcPr>
            <w:tcW w:w="944" w:type="dxa"/>
            <w:tcBorders>
              <w:top w:val="nil"/>
              <w:left w:val="nil"/>
              <w:bottom w:val="nil"/>
              <w:right w:val="single" w:sz="4" w:space="0" w:color="auto"/>
            </w:tcBorders>
            <w:shd w:val="clear" w:color="auto" w:fill="auto"/>
            <w:noWrap/>
            <w:vAlign w:val="center"/>
            <w:hideMark/>
          </w:tcPr>
          <w:p w14:paraId="5E7E9A7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Netherlands</w:t>
            </w:r>
          </w:p>
        </w:tc>
      </w:tr>
      <w:tr w:rsidR="00ED02A4" w:rsidRPr="00AC0EE7" w14:paraId="2C7F5B40"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5EE372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2.351</w:t>
            </w:r>
          </w:p>
        </w:tc>
        <w:tc>
          <w:tcPr>
            <w:tcW w:w="934" w:type="dxa"/>
            <w:tcBorders>
              <w:top w:val="nil"/>
              <w:left w:val="nil"/>
              <w:bottom w:val="nil"/>
              <w:right w:val="nil"/>
            </w:tcBorders>
            <w:shd w:val="clear" w:color="auto" w:fill="auto"/>
            <w:noWrap/>
            <w:vAlign w:val="center"/>
            <w:hideMark/>
          </w:tcPr>
          <w:p w14:paraId="6EC7BC7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2.047</w:t>
            </w:r>
          </w:p>
        </w:tc>
        <w:tc>
          <w:tcPr>
            <w:tcW w:w="960" w:type="dxa"/>
            <w:tcBorders>
              <w:top w:val="nil"/>
              <w:left w:val="nil"/>
              <w:bottom w:val="nil"/>
              <w:right w:val="nil"/>
            </w:tcBorders>
            <w:shd w:val="clear" w:color="auto" w:fill="auto"/>
            <w:noWrap/>
            <w:vAlign w:val="center"/>
            <w:hideMark/>
          </w:tcPr>
          <w:p w14:paraId="7F9642D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2.434</w:t>
            </w:r>
          </w:p>
        </w:tc>
        <w:tc>
          <w:tcPr>
            <w:tcW w:w="956" w:type="dxa"/>
            <w:tcBorders>
              <w:top w:val="nil"/>
              <w:left w:val="nil"/>
              <w:bottom w:val="nil"/>
              <w:right w:val="nil"/>
            </w:tcBorders>
            <w:shd w:val="clear" w:color="auto" w:fill="auto"/>
            <w:noWrap/>
            <w:vAlign w:val="center"/>
            <w:hideMark/>
          </w:tcPr>
          <w:p w14:paraId="428F7764" w14:textId="545DBCD9"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1.94</w:t>
            </w:r>
            <w:r w:rsidR="00BA4657">
              <w:rPr>
                <w:rFonts w:ascii="Calibri" w:eastAsia="Times New Roman" w:hAnsi="Calibri" w:cs="Calibri"/>
                <w:color w:val="000000"/>
                <w:sz w:val="18"/>
                <w:szCs w:val="18"/>
                <w:lang w:eastAsia="en-IE"/>
              </w:rPr>
              <w:t>0</w:t>
            </w:r>
          </w:p>
        </w:tc>
        <w:tc>
          <w:tcPr>
            <w:tcW w:w="954" w:type="dxa"/>
            <w:tcBorders>
              <w:top w:val="nil"/>
              <w:left w:val="nil"/>
              <w:bottom w:val="nil"/>
              <w:right w:val="nil"/>
            </w:tcBorders>
            <w:shd w:val="clear" w:color="auto" w:fill="auto"/>
            <w:noWrap/>
            <w:vAlign w:val="center"/>
            <w:hideMark/>
          </w:tcPr>
          <w:p w14:paraId="14E41B3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2.384</w:t>
            </w:r>
          </w:p>
        </w:tc>
        <w:tc>
          <w:tcPr>
            <w:tcW w:w="939" w:type="dxa"/>
            <w:tcBorders>
              <w:top w:val="nil"/>
              <w:left w:val="nil"/>
              <w:bottom w:val="nil"/>
              <w:right w:val="nil"/>
            </w:tcBorders>
            <w:shd w:val="clear" w:color="auto" w:fill="auto"/>
            <w:noWrap/>
            <w:vAlign w:val="center"/>
            <w:hideMark/>
          </w:tcPr>
          <w:p w14:paraId="0DF49EF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1.729</w:t>
            </w:r>
          </w:p>
        </w:tc>
        <w:tc>
          <w:tcPr>
            <w:tcW w:w="994" w:type="dxa"/>
            <w:tcBorders>
              <w:top w:val="nil"/>
              <w:left w:val="nil"/>
              <w:bottom w:val="nil"/>
              <w:right w:val="nil"/>
            </w:tcBorders>
            <w:shd w:val="clear" w:color="auto" w:fill="auto"/>
            <w:noWrap/>
            <w:vAlign w:val="center"/>
            <w:hideMark/>
          </w:tcPr>
          <w:p w14:paraId="7C8333F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44" w:type="dxa"/>
            <w:tcBorders>
              <w:top w:val="nil"/>
              <w:left w:val="nil"/>
              <w:bottom w:val="nil"/>
              <w:right w:val="single" w:sz="4" w:space="0" w:color="auto"/>
            </w:tcBorders>
            <w:shd w:val="clear" w:color="auto" w:fill="auto"/>
            <w:noWrap/>
            <w:vAlign w:val="center"/>
            <w:hideMark/>
          </w:tcPr>
          <w:p w14:paraId="506E249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2.441</w:t>
            </w:r>
          </w:p>
        </w:tc>
      </w:tr>
      <w:tr w:rsidR="00ED02A4" w:rsidRPr="00AC0EE7" w14:paraId="3BBC3B76"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CDC7347" w14:textId="4CD352B3"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1.442</w:t>
            </w:r>
          </w:p>
        </w:tc>
        <w:tc>
          <w:tcPr>
            <w:tcW w:w="934" w:type="dxa"/>
            <w:tcBorders>
              <w:top w:val="nil"/>
              <w:left w:val="nil"/>
              <w:bottom w:val="nil"/>
              <w:right w:val="nil"/>
            </w:tcBorders>
            <w:shd w:val="clear" w:color="auto" w:fill="auto"/>
            <w:noWrap/>
            <w:vAlign w:val="center"/>
            <w:hideMark/>
          </w:tcPr>
          <w:p w14:paraId="203F3A25" w14:textId="621875D1"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1.978</w:t>
            </w:r>
          </w:p>
        </w:tc>
        <w:tc>
          <w:tcPr>
            <w:tcW w:w="960" w:type="dxa"/>
            <w:tcBorders>
              <w:top w:val="nil"/>
              <w:left w:val="nil"/>
              <w:bottom w:val="nil"/>
              <w:right w:val="nil"/>
            </w:tcBorders>
            <w:shd w:val="clear" w:color="auto" w:fill="auto"/>
            <w:noWrap/>
            <w:vAlign w:val="center"/>
            <w:hideMark/>
          </w:tcPr>
          <w:p w14:paraId="34A65EA1" w14:textId="5F6CB621"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1.934</w:t>
            </w:r>
          </w:p>
        </w:tc>
        <w:tc>
          <w:tcPr>
            <w:tcW w:w="956" w:type="dxa"/>
            <w:tcBorders>
              <w:top w:val="nil"/>
              <w:left w:val="nil"/>
              <w:bottom w:val="nil"/>
              <w:right w:val="nil"/>
            </w:tcBorders>
            <w:shd w:val="clear" w:color="auto" w:fill="auto"/>
            <w:noWrap/>
            <w:vAlign w:val="center"/>
            <w:hideMark/>
          </w:tcPr>
          <w:p w14:paraId="6D892160" w14:textId="6893FCB5"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2.486</w:t>
            </w:r>
          </w:p>
        </w:tc>
        <w:tc>
          <w:tcPr>
            <w:tcW w:w="954" w:type="dxa"/>
            <w:tcBorders>
              <w:top w:val="nil"/>
              <w:left w:val="nil"/>
              <w:bottom w:val="nil"/>
              <w:right w:val="nil"/>
            </w:tcBorders>
            <w:shd w:val="clear" w:color="auto" w:fill="auto"/>
            <w:noWrap/>
            <w:vAlign w:val="center"/>
            <w:hideMark/>
          </w:tcPr>
          <w:p w14:paraId="40D24661" w14:textId="10529B1A"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1.252</w:t>
            </w:r>
          </w:p>
        </w:tc>
        <w:tc>
          <w:tcPr>
            <w:tcW w:w="939" w:type="dxa"/>
            <w:tcBorders>
              <w:top w:val="nil"/>
              <w:left w:val="nil"/>
              <w:bottom w:val="nil"/>
              <w:right w:val="nil"/>
            </w:tcBorders>
            <w:shd w:val="clear" w:color="auto" w:fill="auto"/>
            <w:noWrap/>
            <w:vAlign w:val="center"/>
            <w:hideMark/>
          </w:tcPr>
          <w:p w14:paraId="5DE2BD4B" w14:textId="4C14E4C6"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2.425</w:t>
            </w:r>
          </w:p>
        </w:tc>
        <w:tc>
          <w:tcPr>
            <w:tcW w:w="994" w:type="dxa"/>
            <w:tcBorders>
              <w:top w:val="nil"/>
              <w:left w:val="nil"/>
              <w:bottom w:val="nil"/>
              <w:right w:val="nil"/>
            </w:tcBorders>
            <w:shd w:val="clear" w:color="auto" w:fill="auto"/>
            <w:noWrap/>
            <w:vAlign w:val="center"/>
            <w:hideMark/>
          </w:tcPr>
          <w:p w14:paraId="5E84E01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44" w:type="dxa"/>
            <w:tcBorders>
              <w:top w:val="nil"/>
              <w:left w:val="nil"/>
              <w:bottom w:val="nil"/>
              <w:right w:val="single" w:sz="4" w:space="0" w:color="auto"/>
            </w:tcBorders>
            <w:shd w:val="clear" w:color="auto" w:fill="auto"/>
            <w:noWrap/>
            <w:vAlign w:val="center"/>
            <w:hideMark/>
          </w:tcPr>
          <w:p w14:paraId="2A954672" w14:textId="58995FD6"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1.976</w:t>
            </w:r>
          </w:p>
        </w:tc>
      </w:tr>
      <w:tr w:rsidR="00ED02A4" w:rsidRPr="00AC0EE7" w14:paraId="6FCB1ADF"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F41F29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New Zealand</w:t>
            </w:r>
          </w:p>
        </w:tc>
        <w:tc>
          <w:tcPr>
            <w:tcW w:w="934" w:type="dxa"/>
            <w:tcBorders>
              <w:top w:val="nil"/>
              <w:left w:val="nil"/>
              <w:bottom w:val="nil"/>
              <w:right w:val="nil"/>
            </w:tcBorders>
            <w:shd w:val="clear" w:color="auto" w:fill="auto"/>
            <w:noWrap/>
            <w:vAlign w:val="center"/>
            <w:hideMark/>
          </w:tcPr>
          <w:p w14:paraId="6005353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Norway</w:t>
            </w:r>
          </w:p>
        </w:tc>
        <w:tc>
          <w:tcPr>
            <w:tcW w:w="960" w:type="dxa"/>
            <w:tcBorders>
              <w:top w:val="nil"/>
              <w:left w:val="nil"/>
              <w:bottom w:val="nil"/>
              <w:right w:val="nil"/>
            </w:tcBorders>
            <w:shd w:val="clear" w:color="auto" w:fill="auto"/>
            <w:noWrap/>
            <w:vAlign w:val="center"/>
            <w:hideMark/>
          </w:tcPr>
          <w:p w14:paraId="42D78A6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Poland</w:t>
            </w:r>
          </w:p>
        </w:tc>
        <w:tc>
          <w:tcPr>
            <w:tcW w:w="956" w:type="dxa"/>
            <w:tcBorders>
              <w:top w:val="nil"/>
              <w:left w:val="nil"/>
              <w:bottom w:val="nil"/>
              <w:right w:val="nil"/>
            </w:tcBorders>
            <w:shd w:val="clear" w:color="auto" w:fill="auto"/>
            <w:noWrap/>
            <w:vAlign w:val="center"/>
            <w:hideMark/>
          </w:tcPr>
          <w:p w14:paraId="61E62C5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Portugal</w:t>
            </w:r>
          </w:p>
        </w:tc>
        <w:tc>
          <w:tcPr>
            <w:tcW w:w="954" w:type="dxa"/>
            <w:tcBorders>
              <w:top w:val="nil"/>
              <w:left w:val="nil"/>
              <w:bottom w:val="nil"/>
              <w:right w:val="nil"/>
            </w:tcBorders>
            <w:shd w:val="clear" w:color="auto" w:fill="auto"/>
            <w:noWrap/>
            <w:vAlign w:val="center"/>
            <w:hideMark/>
          </w:tcPr>
          <w:p w14:paraId="5640276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South Africa</w:t>
            </w:r>
          </w:p>
        </w:tc>
        <w:tc>
          <w:tcPr>
            <w:tcW w:w="939" w:type="dxa"/>
            <w:tcBorders>
              <w:top w:val="nil"/>
              <w:left w:val="nil"/>
              <w:bottom w:val="nil"/>
              <w:right w:val="nil"/>
            </w:tcBorders>
            <w:shd w:val="clear" w:color="auto" w:fill="auto"/>
            <w:noWrap/>
            <w:vAlign w:val="center"/>
            <w:hideMark/>
          </w:tcPr>
          <w:p w14:paraId="76336DE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Spain</w:t>
            </w:r>
          </w:p>
        </w:tc>
        <w:tc>
          <w:tcPr>
            <w:tcW w:w="994" w:type="dxa"/>
            <w:tcBorders>
              <w:top w:val="nil"/>
              <w:left w:val="nil"/>
              <w:bottom w:val="nil"/>
              <w:right w:val="nil"/>
            </w:tcBorders>
            <w:shd w:val="clear" w:color="auto" w:fill="auto"/>
            <w:noWrap/>
            <w:vAlign w:val="center"/>
            <w:hideMark/>
          </w:tcPr>
          <w:p w14:paraId="2E0D3E6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Sweden</w:t>
            </w:r>
          </w:p>
        </w:tc>
        <w:tc>
          <w:tcPr>
            <w:tcW w:w="944" w:type="dxa"/>
            <w:tcBorders>
              <w:top w:val="nil"/>
              <w:left w:val="nil"/>
              <w:bottom w:val="nil"/>
              <w:right w:val="single" w:sz="4" w:space="0" w:color="auto"/>
            </w:tcBorders>
            <w:shd w:val="clear" w:color="auto" w:fill="auto"/>
            <w:noWrap/>
            <w:vAlign w:val="center"/>
            <w:hideMark/>
          </w:tcPr>
          <w:p w14:paraId="4D206B8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Switzerland</w:t>
            </w:r>
          </w:p>
        </w:tc>
      </w:tr>
      <w:tr w:rsidR="00ED02A4" w:rsidRPr="00AC0EE7" w14:paraId="2511E2A5"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DD2D99E" w14:textId="00BF0110"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0.26</w:t>
            </w:r>
            <w:r w:rsidR="00C10819">
              <w:rPr>
                <w:rFonts w:ascii="Calibri" w:eastAsia="Times New Roman" w:hAnsi="Calibri" w:cs="Calibri"/>
                <w:color w:val="000000"/>
                <w:sz w:val="18"/>
                <w:szCs w:val="18"/>
                <w:lang w:eastAsia="en-IE"/>
              </w:rPr>
              <w:t>0</w:t>
            </w:r>
          </w:p>
        </w:tc>
        <w:tc>
          <w:tcPr>
            <w:tcW w:w="934" w:type="dxa"/>
            <w:tcBorders>
              <w:top w:val="nil"/>
              <w:left w:val="nil"/>
              <w:bottom w:val="nil"/>
              <w:right w:val="nil"/>
            </w:tcBorders>
            <w:shd w:val="clear" w:color="auto" w:fill="auto"/>
            <w:noWrap/>
            <w:vAlign w:val="center"/>
            <w:hideMark/>
          </w:tcPr>
          <w:p w14:paraId="7CF35EEE" w14:textId="3A986DD2"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1.48</w:t>
            </w:r>
            <w:r w:rsidR="00C10819">
              <w:rPr>
                <w:rFonts w:ascii="Calibri" w:eastAsia="Times New Roman" w:hAnsi="Calibri" w:cs="Calibri"/>
                <w:color w:val="000000"/>
                <w:sz w:val="18"/>
                <w:szCs w:val="18"/>
                <w:lang w:eastAsia="en-IE"/>
              </w:rPr>
              <w:t>0</w:t>
            </w:r>
          </w:p>
        </w:tc>
        <w:tc>
          <w:tcPr>
            <w:tcW w:w="960" w:type="dxa"/>
            <w:tcBorders>
              <w:top w:val="nil"/>
              <w:left w:val="nil"/>
              <w:bottom w:val="nil"/>
              <w:right w:val="nil"/>
            </w:tcBorders>
            <w:shd w:val="clear" w:color="auto" w:fill="auto"/>
            <w:noWrap/>
            <w:vAlign w:val="center"/>
            <w:hideMark/>
          </w:tcPr>
          <w:p w14:paraId="1F8DDD2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56" w:type="dxa"/>
            <w:tcBorders>
              <w:top w:val="nil"/>
              <w:left w:val="nil"/>
              <w:bottom w:val="nil"/>
              <w:right w:val="nil"/>
            </w:tcBorders>
            <w:shd w:val="clear" w:color="auto" w:fill="auto"/>
            <w:noWrap/>
            <w:vAlign w:val="center"/>
            <w:hideMark/>
          </w:tcPr>
          <w:p w14:paraId="206AE5D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1.442</w:t>
            </w:r>
          </w:p>
        </w:tc>
        <w:tc>
          <w:tcPr>
            <w:tcW w:w="954" w:type="dxa"/>
            <w:tcBorders>
              <w:top w:val="nil"/>
              <w:left w:val="nil"/>
              <w:bottom w:val="nil"/>
              <w:right w:val="nil"/>
            </w:tcBorders>
            <w:shd w:val="clear" w:color="auto" w:fill="auto"/>
            <w:noWrap/>
            <w:vAlign w:val="center"/>
            <w:hideMark/>
          </w:tcPr>
          <w:p w14:paraId="3FFFF81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59DD70C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0.853</w:t>
            </w:r>
          </w:p>
        </w:tc>
        <w:tc>
          <w:tcPr>
            <w:tcW w:w="994" w:type="dxa"/>
            <w:tcBorders>
              <w:top w:val="nil"/>
              <w:left w:val="nil"/>
              <w:bottom w:val="nil"/>
              <w:right w:val="nil"/>
            </w:tcBorders>
            <w:shd w:val="clear" w:color="auto" w:fill="auto"/>
            <w:noWrap/>
            <w:vAlign w:val="center"/>
            <w:hideMark/>
          </w:tcPr>
          <w:p w14:paraId="1F3C8E1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1.497</w:t>
            </w:r>
          </w:p>
        </w:tc>
        <w:tc>
          <w:tcPr>
            <w:tcW w:w="944" w:type="dxa"/>
            <w:tcBorders>
              <w:top w:val="nil"/>
              <w:left w:val="nil"/>
              <w:bottom w:val="nil"/>
              <w:right w:val="single" w:sz="4" w:space="0" w:color="auto"/>
            </w:tcBorders>
            <w:shd w:val="clear" w:color="auto" w:fill="auto"/>
            <w:noWrap/>
            <w:vAlign w:val="center"/>
            <w:hideMark/>
          </w:tcPr>
          <w:p w14:paraId="71249FC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1.486</w:t>
            </w:r>
          </w:p>
        </w:tc>
      </w:tr>
      <w:tr w:rsidR="00ED02A4" w:rsidRPr="00AC0EE7" w14:paraId="183D4329"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A308F83" w14:textId="0EFE81C4"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0.482</w:t>
            </w:r>
          </w:p>
        </w:tc>
        <w:tc>
          <w:tcPr>
            <w:tcW w:w="934" w:type="dxa"/>
            <w:tcBorders>
              <w:top w:val="nil"/>
              <w:left w:val="nil"/>
              <w:bottom w:val="nil"/>
              <w:right w:val="nil"/>
            </w:tcBorders>
            <w:shd w:val="clear" w:color="auto" w:fill="auto"/>
            <w:noWrap/>
            <w:vAlign w:val="center"/>
            <w:hideMark/>
          </w:tcPr>
          <w:p w14:paraId="73FE5793" w14:textId="54C4FAB1"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1.464</w:t>
            </w:r>
          </w:p>
        </w:tc>
        <w:tc>
          <w:tcPr>
            <w:tcW w:w="960" w:type="dxa"/>
            <w:tcBorders>
              <w:top w:val="nil"/>
              <w:left w:val="nil"/>
              <w:bottom w:val="nil"/>
              <w:right w:val="nil"/>
            </w:tcBorders>
            <w:shd w:val="clear" w:color="auto" w:fill="auto"/>
            <w:noWrap/>
            <w:vAlign w:val="center"/>
            <w:hideMark/>
          </w:tcPr>
          <w:p w14:paraId="7F728B1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56" w:type="dxa"/>
            <w:tcBorders>
              <w:top w:val="nil"/>
              <w:left w:val="nil"/>
              <w:bottom w:val="nil"/>
              <w:right w:val="nil"/>
            </w:tcBorders>
            <w:shd w:val="clear" w:color="auto" w:fill="auto"/>
            <w:noWrap/>
            <w:vAlign w:val="center"/>
            <w:hideMark/>
          </w:tcPr>
          <w:p w14:paraId="684E4EA9" w14:textId="23D244E0"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1.934</w:t>
            </w:r>
          </w:p>
        </w:tc>
        <w:tc>
          <w:tcPr>
            <w:tcW w:w="954" w:type="dxa"/>
            <w:tcBorders>
              <w:top w:val="nil"/>
              <w:left w:val="nil"/>
              <w:bottom w:val="nil"/>
              <w:right w:val="nil"/>
            </w:tcBorders>
            <w:shd w:val="clear" w:color="auto" w:fill="auto"/>
            <w:noWrap/>
            <w:vAlign w:val="center"/>
            <w:hideMark/>
          </w:tcPr>
          <w:p w14:paraId="1F2CA5D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0EE36AB9" w14:textId="54A9006B"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1.372</w:t>
            </w:r>
          </w:p>
        </w:tc>
        <w:tc>
          <w:tcPr>
            <w:tcW w:w="994" w:type="dxa"/>
            <w:tcBorders>
              <w:top w:val="nil"/>
              <w:left w:val="nil"/>
              <w:bottom w:val="nil"/>
              <w:right w:val="nil"/>
            </w:tcBorders>
            <w:shd w:val="clear" w:color="auto" w:fill="auto"/>
            <w:noWrap/>
            <w:vAlign w:val="center"/>
            <w:hideMark/>
          </w:tcPr>
          <w:p w14:paraId="4581FC78" w14:textId="7281E7CD"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1.802</w:t>
            </w:r>
          </w:p>
        </w:tc>
        <w:tc>
          <w:tcPr>
            <w:tcW w:w="944" w:type="dxa"/>
            <w:tcBorders>
              <w:top w:val="nil"/>
              <w:left w:val="nil"/>
              <w:bottom w:val="nil"/>
              <w:right w:val="single" w:sz="4" w:space="0" w:color="auto"/>
            </w:tcBorders>
            <w:shd w:val="clear" w:color="auto" w:fill="auto"/>
            <w:noWrap/>
            <w:vAlign w:val="center"/>
            <w:hideMark/>
          </w:tcPr>
          <w:p w14:paraId="26BF6974" w14:textId="7CA6A8FE"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1.615</w:t>
            </w:r>
          </w:p>
        </w:tc>
      </w:tr>
      <w:tr w:rsidR="00ED02A4" w:rsidRPr="00AC0EE7" w14:paraId="7BC77B80"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0146425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UK</w:t>
            </w:r>
          </w:p>
        </w:tc>
        <w:tc>
          <w:tcPr>
            <w:tcW w:w="934" w:type="dxa"/>
            <w:tcBorders>
              <w:top w:val="nil"/>
              <w:left w:val="nil"/>
              <w:bottom w:val="nil"/>
              <w:right w:val="nil"/>
            </w:tcBorders>
            <w:shd w:val="clear" w:color="auto" w:fill="auto"/>
            <w:noWrap/>
            <w:vAlign w:val="center"/>
            <w:hideMark/>
          </w:tcPr>
          <w:p w14:paraId="7F6B607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US</w:t>
            </w:r>
          </w:p>
        </w:tc>
        <w:tc>
          <w:tcPr>
            <w:tcW w:w="960" w:type="dxa"/>
            <w:tcBorders>
              <w:top w:val="nil"/>
              <w:left w:val="nil"/>
              <w:bottom w:val="nil"/>
              <w:right w:val="nil"/>
            </w:tcBorders>
            <w:shd w:val="clear" w:color="auto" w:fill="auto"/>
            <w:noWrap/>
            <w:hideMark/>
          </w:tcPr>
          <w:p w14:paraId="556087CD"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6" w:type="dxa"/>
            <w:tcBorders>
              <w:top w:val="nil"/>
              <w:left w:val="nil"/>
              <w:bottom w:val="nil"/>
              <w:right w:val="nil"/>
            </w:tcBorders>
            <w:shd w:val="clear" w:color="auto" w:fill="auto"/>
            <w:noWrap/>
            <w:hideMark/>
          </w:tcPr>
          <w:p w14:paraId="7346AF4B"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4" w:type="dxa"/>
            <w:tcBorders>
              <w:top w:val="nil"/>
              <w:left w:val="nil"/>
              <w:bottom w:val="nil"/>
              <w:right w:val="nil"/>
            </w:tcBorders>
            <w:shd w:val="clear" w:color="auto" w:fill="auto"/>
            <w:noWrap/>
            <w:hideMark/>
          </w:tcPr>
          <w:p w14:paraId="79BFB8B1"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4B1D6672"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41EFFEE7"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2F12B571"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4A1EEA3D"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ED9DA5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1.004</w:t>
            </w:r>
          </w:p>
        </w:tc>
        <w:tc>
          <w:tcPr>
            <w:tcW w:w="934" w:type="dxa"/>
            <w:tcBorders>
              <w:top w:val="nil"/>
              <w:left w:val="nil"/>
              <w:bottom w:val="nil"/>
              <w:right w:val="nil"/>
            </w:tcBorders>
            <w:shd w:val="clear" w:color="auto" w:fill="auto"/>
            <w:noWrap/>
            <w:vAlign w:val="center"/>
            <w:hideMark/>
          </w:tcPr>
          <w:p w14:paraId="7699B9E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0.211</w:t>
            </w:r>
          </w:p>
        </w:tc>
        <w:tc>
          <w:tcPr>
            <w:tcW w:w="960" w:type="dxa"/>
            <w:tcBorders>
              <w:top w:val="nil"/>
              <w:left w:val="nil"/>
              <w:bottom w:val="nil"/>
              <w:right w:val="nil"/>
            </w:tcBorders>
            <w:shd w:val="clear" w:color="auto" w:fill="auto"/>
            <w:noWrap/>
            <w:hideMark/>
          </w:tcPr>
          <w:p w14:paraId="027CE620"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6" w:type="dxa"/>
            <w:tcBorders>
              <w:top w:val="nil"/>
              <w:left w:val="nil"/>
              <w:bottom w:val="nil"/>
              <w:right w:val="nil"/>
            </w:tcBorders>
            <w:shd w:val="clear" w:color="auto" w:fill="auto"/>
            <w:noWrap/>
            <w:hideMark/>
          </w:tcPr>
          <w:p w14:paraId="0C9516FF"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4" w:type="dxa"/>
            <w:tcBorders>
              <w:top w:val="nil"/>
              <w:left w:val="nil"/>
              <w:bottom w:val="nil"/>
              <w:right w:val="nil"/>
            </w:tcBorders>
            <w:shd w:val="clear" w:color="auto" w:fill="auto"/>
            <w:noWrap/>
            <w:hideMark/>
          </w:tcPr>
          <w:p w14:paraId="4E9FDF0C"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663CB8D9"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428C4429"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1A1F9EE1"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19C4EB52"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F0D1176" w14:textId="20AE0C7D"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1.366</w:t>
            </w:r>
          </w:p>
        </w:tc>
        <w:tc>
          <w:tcPr>
            <w:tcW w:w="934" w:type="dxa"/>
            <w:tcBorders>
              <w:top w:val="nil"/>
              <w:left w:val="nil"/>
              <w:bottom w:val="nil"/>
              <w:right w:val="nil"/>
            </w:tcBorders>
            <w:shd w:val="clear" w:color="auto" w:fill="auto"/>
            <w:noWrap/>
            <w:vAlign w:val="center"/>
            <w:hideMark/>
          </w:tcPr>
          <w:p w14:paraId="5363938A" w14:textId="5021E6C2"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0.55</w:t>
            </w:r>
            <w:r w:rsidR="00C10819">
              <w:rPr>
                <w:rFonts w:ascii="Calibri" w:eastAsia="Times New Roman" w:hAnsi="Calibri" w:cs="Calibri"/>
                <w:b/>
                <w:bCs/>
                <w:i/>
                <w:iCs/>
                <w:color w:val="000000"/>
                <w:sz w:val="18"/>
                <w:szCs w:val="18"/>
                <w:lang w:eastAsia="en-IE"/>
              </w:rPr>
              <w:t>0</w:t>
            </w:r>
          </w:p>
        </w:tc>
        <w:tc>
          <w:tcPr>
            <w:tcW w:w="960" w:type="dxa"/>
            <w:tcBorders>
              <w:top w:val="nil"/>
              <w:left w:val="nil"/>
              <w:bottom w:val="nil"/>
              <w:right w:val="nil"/>
            </w:tcBorders>
            <w:shd w:val="clear" w:color="auto" w:fill="auto"/>
            <w:noWrap/>
            <w:hideMark/>
          </w:tcPr>
          <w:p w14:paraId="2E1FED66"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6" w:type="dxa"/>
            <w:tcBorders>
              <w:top w:val="nil"/>
              <w:left w:val="nil"/>
              <w:bottom w:val="nil"/>
              <w:right w:val="nil"/>
            </w:tcBorders>
            <w:shd w:val="clear" w:color="auto" w:fill="auto"/>
            <w:noWrap/>
            <w:hideMark/>
          </w:tcPr>
          <w:p w14:paraId="19E33AD9"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4" w:type="dxa"/>
            <w:tcBorders>
              <w:top w:val="nil"/>
              <w:left w:val="nil"/>
              <w:bottom w:val="nil"/>
              <w:right w:val="nil"/>
            </w:tcBorders>
            <w:shd w:val="clear" w:color="auto" w:fill="auto"/>
            <w:noWrap/>
            <w:hideMark/>
          </w:tcPr>
          <w:p w14:paraId="3D5553AD"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39" w:type="dxa"/>
            <w:tcBorders>
              <w:top w:val="nil"/>
              <w:left w:val="nil"/>
              <w:bottom w:val="nil"/>
              <w:right w:val="nil"/>
            </w:tcBorders>
            <w:shd w:val="clear" w:color="auto" w:fill="auto"/>
            <w:noWrap/>
            <w:hideMark/>
          </w:tcPr>
          <w:p w14:paraId="0D77DA35"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94" w:type="dxa"/>
            <w:tcBorders>
              <w:top w:val="nil"/>
              <w:left w:val="nil"/>
              <w:bottom w:val="nil"/>
              <w:right w:val="nil"/>
            </w:tcBorders>
            <w:shd w:val="clear" w:color="auto" w:fill="auto"/>
            <w:noWrap/>
            <w:hideMark/>
          </w:tcPr>
          <w:p w14:paraId="49FAEC3C"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44" w:type="dxa"/>
            <w:tcBorders>
              <w:top w:val="nil"/>
              <w:left w:val="nil"/>
              <w:bottom w:val="nil"/>
              <w:right w:val="single" w:sz="4" w:space="0" w:color="auto"/>
            </w:tcBorders>
            <w:shd w:val="clear" w:color="auto" w:fill="auto"/>
            <w:noWrap/>
            <w:hideMark/>
          </w:tcPr>
          <w:p w14:paraId="3A45907D"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r>
      <w:tr w:rsidR="00ED02A4" w:rsidRPr="00AC0EE7" w14:paraId="0DABF770"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2846F7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p>
        </w:tc>
        <w:tc>
          <w:tcPr>
            <w:tcW w:w="934" w:type="dxa"/>
            <w:tcBorders>
              <w:top w:val="nil"/>
              <w:left w:val="nil"/>
              <w:bottom w:val="nil"/>
              <w:right w:val="nil"/>
            </w:tcBorders>
            <w:shd w:val="clear" w:color="auto" w:fill="auto"/>
            <w:noWrap/>
            <w:vAlign w:val="center"/>
            <w:hideMark/>
          </w:tcPr>
          <w:p w14:paraId="1DB44D45"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p>
        </w:tc>
        <w:tc>
          <w:tcPr>
            <w:tcW w:w="960" w:type="dxa"/>
            <w:tcBorders>
              <w:top w:val="nil"/>
              <w:left w:val="nil"/>
              <w:bottom w:val="nil"/>
              <w:right w:val="nil"/>
            </w:tcBorders>
            <w:shd w:val="clear" w:color="auto" w:fill="auto"/>
            <w:noWrap/>
            <w:hideMark/>
          </w:tcPr>
          <w:p w14:paraId="29051647"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6" w:type="dxa"/>
            <w:tcBorders>
              <w:top w:val="nil"/>
              <w:left w:val="nil"/>
              <w:bottom w:val="nil"/>
              <w:right w:val="nil"/>
            </w:tcBorders>
            <w:shd w:val="clear" w:color="auto" w:fill="auto"/>
            <w:noWrap/>
            <w:hideMark/>
          </w:tcPr>
          <w:p w14:paraId="43345CD6"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4" w:type="dxa"/>
            <w:tcBorders>
              <w:top w:val="nil"/>
              <w:left w:val="nil"/>
              <w:bottom w:val="nil"/>
              <w:right w:val="nil"/>
            </w:tcBorders>
            <w:shd w:val="clear" w:color="auto" w:fill="auto"/>
            <w:noWrap/>
            <w:hideMark/>
          </w:tcPr>
          <w:p w14:paraId="4ADA5CAD"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39" w:type="dxa"/>
            <w:tcBorders>
              <w:top w:val="nil"/>
              <w:left w:val="nil"/>
              <w:bottom w:val="nil"/>
              <w:right w:val="nil"/>
            </w:tcBorders>
            <w:shd w:val="clear" w:color="auto" w:fill="auto"/>
            <w:noWrap/>
            <w:hideMark/>
          </w:tcPr>
          <w:p w14:paraId="36223802"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94" w:type="dxa"/>
            <w:tcBorders>
              <w:top w:val="nil"/>
              <w:left w:val="nil"/>
              <w:bottom w:val="nil"/>
              <w:right w:val="nil"/>
            </w:tcBorders>
            <w:shd w:val="clear" w:color="auto" w:fill="auto"/>
            <w:noWrap/>
            <w:hideMark/>
          </w:tcPr>
          <w:p w14:paraId="59CB726D"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44" w:type="dxa"/>
            <w:tcBorders>
              <w:top w:val="nil"/>
              <w:left w:val="nil"/>
              <w:bottom w:val="nil"/>
              <w:right w:val="single" w:sz="4" w:space="0" w:color="auto"/>
            </w:tcBorders>
            <w:shd w:val="clear" w:color="auto" w:fill="auto"/>
            <w:noWrap/>
            <w:hideMark/>
          </w:tcPr>
          <w:p w14:paraId="6CF1A74C"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r>
      <w:tr w:rsidR="00ED02A4" w:rsidRPr="00AC0EE7" w14:paraId="503D902B" w14:textId="77777777" w:rsidTr="00367A87">
        <w:trPr>
          <w:trHeight w:val="288"/>
        </w:trPr>
        <w:tc>
          <w:tcPr>
            <w:tcW w:w="768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9403BA9" w14:textId="77777777" w:rsidR="00ED02A4" w:rsidRPr="00AC0EE7" w:rsidRDefault="00ED02A4" w:rsidP="00367A87">
            <w:pPr>
              <w:spacing w:after="0" w:line="240" w:lineRule="auto"/>
              <w:jc w:val="center"/>
              <w:rPr>
                <w:rFonts w:ascii="Calibri" w:eastAsia="Times New Roman" w:hAnsi="Calibri" w:cs="Calibri"/>
                <w:b/>
                <w:bCs/>
                <w:color w:val="000000"/>
                <w:lang w:eastAsia="en-IE"/>
              </w:rPr>
            </w:pPr>
            <w:r w:rsidRPr="00AC0EE7">
              <w:rPr>
                <w:rFonts w:ascii="Calibri" w:eastAsia="Times New Roman" w:hAnsi="Calibri" w:cs="Calibri"/>
                <w:b/>
                <w:bCs/>
                <w:color w:val="000000"/>
                <w:lang w:eastAsia="en-IE"/>
              </w:rPr>
              <w:t>REITs</w:t>
            </w:r>
          </w:p>
        </w:tc>
      </w:tr>
      <w:tr w:rsidR="00ED02A4" w:rsidRPr="00AC0EE7" w14:paraId="234FA56F"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4D0B04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World Index</w:t>
            </w:r>
          </w:p>
        </w:tc>
        <w:tc>
          <w:tcPr>
            <w:tcW w:w="934" w:type="dxa"/>
            <w:tcBorders>
              <w:top w:val="nil"/>
              <w:left w:val="nil"/>
              <w:bottom w:val="nil"/>
              <w:right w:val="nil"/>
            </w:tcBorders>
            <w:shd w:val="clear" w:color="auto" w:fill="auto"/>
            <w:noWrap/>
            <w:vAlign w:val="center"/>
            <w:hideMark/>
          </w:tcPr>
          <w:p w14:paraId="3507EB9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Australia</w:t>
            </w:r>
          </w:p>
        </w:tc>
        <w:tc>
          <w:tcPr>
            <w:tcW w:w="960" w:type="dxa"/>
            <w:tcBorders>
              <w:top w:val="nil"/>
              <w:left w:val="nil"/>
              <w:bottom w:val="nil"/>
              <w:right w:val="nil"/>
            </w:tcBorders>
            <w:shd w:val="clear" w:color="auto" w:fill="auto"/>
            <w:noWrap/>
            <w:vAlign w:val="center"/>
            <w:hideMark/>
          </w:tcPr>
          <w:p w14:paraId="0BE5B82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Belgium</w:t>
            </w:r>
          </w:p>
        </w:tc>
        <w:tc>
          <w:tcPr>
            <w:tcW w:w="956" w:type="dxa"/>
            <w:tcBorders>
              <w:top w:val="nil"/>
              <w:left w:val="nil"/>
              <w:bottom w:val="nil"/>
              <w:right w:val="nil"/>
            </w:tcBorders>
            <w:shd w:val="clear" w:color="auto" w:fill="auto"/>
            <w:noWrap/>
            <w:vAlign w:val="center"/>
            <w:hideMark/>
          </w:tcPr>
          <w:p w14:paraId="06D58D4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Bulgaria</w:t>
            </w:r>
          </w:p>
        </w:tc>
        <w:tc>
          <w:tcPr>
            <w:tcW w:w="954" w:type="dxa"/>
            <w:tcBorders>
              <w:top w:val="nil"/>
              <w:left w:val="nil"/>
              <w:bottom w:val="nil"/>
              <w:right w:val="nil"/>
            </w:tcBorders>
            <w:shd w:val="clear" w:color="auto" w:fill="auto"/>
            <w:noWrap/>
            <w:vAlign w:val="center"/>
            <w:hideMark/>
          </w:tcPr>
          <w:p w14:paraId="4999949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Canada</w:t>
            </w:r>
          </w:p>
        </w:tc>
        <w:tc>
          <w:tcPr>
            <w:tcW w:w="939" w:type="dxa"/>
            <w:tcBorders>
              <w:top w:val="nil"/>
              <w:left w:val="nil"/>
              <w:bottom w:val="nil"/>
              <w:right w:val="nil"/>
            </w:tcBorders>
            <w:shd w:val="clear" w:color="auto" w:fill="auto"/>
            <w:noWrap/>
            <w:vAlign w:val="center"/>
            <w:hideMark/>
          </w:tcPr>
          <w:p w14:paraId="23E7313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France</w:t>
            </w:r>
          </w:p>
        </w:tc>
        <w:tc>
          <w:tcPr>
            <w:tcW w:w="994" w:type="dxa"/>
            <w:tcBorders>
              <w:top w:val="nil"/>
              <w:left w:val="nil"/>
              <w:bottom w:val="nil"/>
              <w:right w:val="nil"/>
            </w:tcBorders>
            <w:shd w:val="clear" w:color="auto" w:fill="auto"/>
            <w:noWrap/>
            <w:vAlign w:val="center"/>
            <w:hideMark/>
          </w:tcPr>
          <w:p w14:paraId="7758C1B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Germany</w:t>
            </w:r>
          </w:p>
        </w:tc>
        <w:tc>
          <w:tcPr>
            <w:tcW w:w="944" w:type="dxa"/>
            <w:tcBorders>
              <w:top w:val="nil"/>
              <w:left w:val="nil"/>
              <w:bottom w:val="nil"/>
              <w:right w:val="single" w:sz="4" w:space="0" w:color="auto"/>
            </w:tcBorders>
            <w:shd w:val="clear" w:color="auto" w:fill="auto"/>
            <w:noWrap/>
            <w:vAlign w:val="center"/>
            <w:hideMark/>
          </w:tcPr>
          <w:p w14:paraId="230C20B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Greece</w:t>
            </w:r>
          </w:p>
        </w:tc>
      </w:tr>
      <w:tr w:rsidR="00ED02A4" w:rsidRPr="00AC0EE7" w14:paraId="7AFF9E60"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18A597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0.518</w:t>
            </w:r>
          </w:p>
        </w:tc>
        <w:tc>
          <w:tcPr>
            <w:tcW w:w="934" w:type="dxa"/>
            <w:tcBorders>
              <w:top w:val="nil"/>
              <w:left w:val="nil"/>
              <w:bottom w:val="nil"/>
              <w:right w:val="nil"/>
            </w:tcBorders>
            <w:shd w:val="clear" w:color="auto" w:fill="auto"/>
            <w:noWrap/>
            <w:vAlign w:val="center"/>
            <w:hideMark/>
          </w:tcPr>
          <w:p w14:paraId="7396B7F1" w14:textId="33951E41"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-1.3</w:t>
            </w:r>
            <w:r w:rsidR="00AA77C8">
              <w:rPr>
                <w:rFonts w:ascii="Calibri" w:eastAsia="Times New Roman" w:hAnsi="Calibri" w:cs="Calibri"/>
                <w:color w:val="000000"/>
                <w:sz w:val="18"/>
                <w:szCs w:val="18"/>
                <w:lang w:eastAsia="en-IE"/>
              </w:rPr>
              <w:t>00</w:t>
            </w:r>
          </w:p>
        </w:tc>
        <w:tc>
          <w:tcPr>
            <w:tcW w:w="960" w:type="dxa"/>
            <w:tcBorders>
              <w:top w:val="nil"/>
              <w:left w:val="nil"/>
              <w:bottom w:val="nil"/>
              <w:right w:val="nil"/>
            </w:tcBorders>
            <w:shd w:val="clear" w:color="auto" w:fill="auto"/>
            <w:noWrap/>
            <w:vAlign w:val="center"/>
            <w:hideMark/>
          </w:tcPr>
          <w:p w14:paraId="781B7B9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-0.032</w:t>
            </w:r>
          </w:p>
        </w:tc>
        <w:tc>
          <w:tcPr>
            <w:tcW w:w="956" w:type="dxa"/>
            <w:tcBorders>
              <w:top w:val="nil"/>
              <w:left w:val="nil"/>
              <w:bottom w:val="nil"/>
              <w:right w:val="nil"/>
            </w:tcBorders>
            <w:shd w:val="clear" w:color="auto" w:fill="auto"/>
            <w:noWrap/>
            <w:vAlign w:val="center"/>
            <w:hideMark/>
          </w:tcPr>
          <w:p w14:paraId="5161C81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2F46120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-1.147</w:t>
            </w:r>
          </w:p>
        </w:tc>
        <w:tc>
          <w:tcPr>
            <w:tcW w:w="939" w:type="dxa"/>
            <w:tcBorders>
              <w:top w:val="nil"/>
              <w:left w:val="nil"/>
              <w:bottom w:val="nil"/>
              <w:right w:val="nil"/>
            </w:tcBorders>
            <w:shd w:val="clear" w:color="auto" w:fill="auto"/>
            <w:noWrap/>
            <w:vAlign w:val="center"/>
            <w:hideMark/>
          </w:tcPr>
          <w:p w14:paraId="2E2E005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0.868</w:t>
            </w:r>
          </w:p>
        </w:tc>
        <w:tc>
          <w:tcPr>
            <w:tcW w:w="994" w:type="dxa"/>
            <w:tcBorders>
              <w:top w:val="nil"/>
              <w:left w:val="nil"/>
              <w:bottom w:val="nil"/>
              <w:right w:val="nil"/>
            </w:tcBorders>
            <w:shd w:val="clear" w:color="auto" w:fill="auto"/>
            <w:noWrap/>
            <w:vAlign w:val="center"/>
            <w:hideMark/>
          </w:tcPr>
          <w:p w14:paraId="35D0D29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0.637</w:t>
            </w:r>
          </w:p>
        </w:tc>
        <w:tc>
          <w:tcPr>
            <w:tcW w:w="944" w:type="dxa"/>
            <w:tcBorders>
              <w:top w:val="nil"/>
              <w:left w:val="nil"/>
              <w:bottom w:val="nil"/>
              <w:right w:val="single" w:sz="4" w:space="0" w:color="auto"/>
            </w:tcBorders>
            <w:shd w:val="clear" w:color="auto" w:fill="auto"/>
            <w:noWrap/>
            <w:vAlign w:val="center"/>
            <w:hideMark/>
          </w:tcPr>
          <w:p w14:paraId="272CC14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r>
      <w:tr w:rsidR="00ED02A4" w:rsidRPr="00AC0EE7" w14:paraId="7091F1FB"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B6BC40F" w14:textId="3F9E880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1.662</w:t>
            </w:r>
          </w:p>
        </w:tc>
        <w:tc>
          <w:tcPr>
            <w:tcW w:w="934" w:type="dxa"/>
            <w:tcBorders>
              <w:top w:val="nil"/>
              <w:left w:val="nil"/>
              <w:bottom w:val="nil"/>
              <w:right w:val="nil"/>
            </w:tcBorders>
            <w:shd w:val="clear" w:color="auto" w:fill="auto"/>
            <w:noWrap/>
            <w:vAlign w:val="center"/>
            <w:hideMark/>
          </w:tcPr>
          <w:p w14:paraId="304D3E9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-1.641</w:t>
            </w:r>
          </w:p>
        </w:tc>
        <w:tc>
          <w:tcPr>
            <w:tcW w:w="960" w:type="dxa"/>
            <w:tcBorders>
              <w:top w:val="nil"/>
              <w:left w:val="nil"/>
              <w:bottom w:val="nil"/>
              <w:right w:val="nil"/>
            </w:tcBorders>
            <w:shd w:val="clear" w:color="auto" w:fill="auto"/>
            <w:noWrap/>
            <w:vAlign w:val="center"/>
            <w:hideMark/>
          </w:tcPr>
          <w:p w14:paraId="1E677AE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-0.173</w:t>
            </w:r>
          </w:p>
        </w:tc>
        <w:tc>
          <w:tcPr>
            <w:tcW w:w="956" w:type="dxa"/>
            <w:tcBorders>
              <w:top w:val="nil"/>
              <w:left w:val="nil"/>
              <w:bottom w:val="nil"/>
              <w:right w:val="nil"/>
            </w:tcBorders>
            <w:shd w:val="clear" w:color="auto" w:fill="auto"/>
            <w:noWrap/>
            <w:vAlign w:val="center"/>
            <w:hideMark/>
          </w:tcPr>
          <w:p w14:paraId="02E2CB69"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51A2264D" w14:textId="7AB67475"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-1.75</w:t>
            </w:r>
            <w:r w:rsidR="00AA77C8">
              <w:rPr>
                <w:rFonts w:ascii="Calibri" w:eastAsia="Times New Roman" w:hAnsi="Calibri" w:cs="Calibri"/>
                <w:b/>
                <w:bCs/>
                <w:i/>
                <w:iCs/>
                <w:color w:val="000000"/>
                <w:sz w:val="18"/>
                <w:szCs w:val="18"/>
                <w:lang w:eastAsia="en-IE"/>
              </w:rPr>
              <w:t>0</w:t>
            </w:r>
          </w:p>
        </w:tc>
        <w:tc>
          <w:tcPr>
            <w:tcW w:w="939" w:type="dxa"/>
            <w:tcBorders>
              <w:top w:val="nil"/>
              <w:left w:val="nil"/>
              <w:bottom w:val="nil"/>
              <w:right w:val="nil"/>
            </w:tcBorders>
            <w:shd w:val="clear" w:color="auto" w:fill="auto"/>
            <w:noWrap/>
            <w:vAlign w:val="center"/>
            <w:hideMark/>
          </w:tcPr>
          <w:p w14:paraId="54A449CA" w14:textId="3FD54F6E"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1.988</w:t>
            </w:r>
          </w:p>
        </w:tc>
        <w:tc>
          <w:tcPr>
            <w:tcW w:w="994" w:type="dxa"/>
            <w:tcBorders>
              <w:top w:val="nil"/>
              <w:left w:val="nil"/>
              <w:bottom w:val="nil"/>
              <w:right w:val="nil"/>
            </w:tcBorders>
            <w:shd w:val="clear" w:color="auto" w:fill="auto"/>
            <w:noWrap/>
            <w:vAlign w:val="center"/>
            <w:hideMark/>
          </w:tcPr>
          <w:p w14:paraId="3DAFB7DA" w14:textId="75551576"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1.153</w:t>
            </w:r>
          </w:p>
        </w:tc>
        <w:tc>
          <w:tcPr>
            <w:tcW w:w="944" w:type="dxa"/>
            <w:tcBorders>
              <w:top w:val="nil"/>
              <w:left w:val="nil"/>
              <w:bottom w:val="nil"/>
              <w:right w:val="single" w:sz="4" w:space="0" w:color="auto"/>
            </w:tcBorders>
            <w:shd w:val="clear" w:color="auto" w:fill="auto"/>
            <w:noWrap/>
            <w:vAlign w:val="center"/>
            <w:hideMark/>
          </w:tcPr>
          <w:p w14:paraId="192D0E80"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r>
      <w:tr w:rsidR="00ED02A4" w:rsidRPr="00AC0EE7" w14:paraId="692EF3B6"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9FD0DD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Hong Kong</w:t>
            </w:r>
          </w:p>
        </w:tc>
        <w:tc>
          <w:tcPr>
            <w:tcW w:w="934" w:type="dxa"/>
            <w:tcBorders>
              <w:top w:val="nil"/>
              <w:left w:val="nil"/>
              <w:bottom w:val="nil"/>
              <w:right w:val="nil"/>
            </w:tcBorders>
            <w:shd w:val="clear" w:color="auto" w:fill="auto"/>
            <w:noWrap/>
            <w:vAlign w:val="center"/>
            <w:hideMark/>
          </w:tcPr>
          <w:p w14:paraId="6C08BAE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Italy</w:t>
            </w:r>
          </w:p>
        </w:tc>
        <w:tc>
          <w:tcPr>
            <w:tcW w:w="960" w:type="dxa"/>
            <w:tcBorders>
              <w:top w:val="nil"/>
              <w:left w:val="nil"/>
              <w:bottom w:val="nil"/>
              <w:right w:val="nil"/>
            </w:tcBorders>
            <w:shd w:val="clear" w:color="auto" w:fill="auto"/>
            <w:noWrap/>
            <w:vAlign w:val="center"/>
            <w:hideMark/>
          </w:tcPr>
          <w:p w14:paraId="25F7534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Japan</w:t>
            </w:r>
          </w:p>
        </w:tc>
        <w:tc>
          <w:tcPr>
            <w:tcW w:w="956" w:type="dxa"/>
            <w:tcBorders>
              <w:top w:val="nil"/>
              <w:left w:val="nil"/>
              <w:bottom w:val="nil"/>
              <w:right w:val="nil"/>
            </w:tcBorders>
            <w:shd w:val="clear" w:color="auto" w:fill="auto"/>
            <w:noWrap/>
            <w:vAlign w:val="center"/>
            <w:hideMark/>
          </w:tcPr>
          <w:p w14:paraId="1C420A4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Malaysia</w:t>
            </w:r>
          </w:p>
        </w:tc>
        <w:tc>
          <w:tcPr>
            <w:tcW w:w="954" w:type="dxa"/>
            <w:tcBorders>
              <w:top w:val="nil"/>
              <w:left w:val="nil"/>
              <w:bottom w:val="nil"/>
              <w:right w:val="nil"/>
            </w:tcBorders>
            <w:shd w:val="clear" w:color="auto" w:fill="auto"/>
            <w:noWrap/>
            <w:vAlign w:val="center"/>
            <w:hideMark/>
          </w:tcPr>
          <w:p w14:paraId="2C9136F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Mexico</w:t>
            </w:r>
          </w:p>
        </w:tc>
        <w:tc>
          <w:tcPr>
            <w:tcW w:w="939" w:type="dxa"/>
            <w:tcBorders>
              <w:top w:val="nil"/>
              <w:left w:val="nil"/>
              <w:bottom w:val="nil"/>
              <w:right w:val="nil"/>
            </w:tcBorders>
            <w:shd w:val="clear" w:color="auto" w:fill="auto"/>
            <w:noWrap/>
            <w:vAlign w:val="center"/>
            <w:hideMark/>
          </w:tcPr>
          <w:p w14:paraId="59F5534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Netherlands</w:t>
            </w:r>
          </w:p>
        </w:tc>
        <w:tc>
          <w:tcPr>
            <w:tcW w:w="994" w:type="dxa"/>
            <w:tcBorders>
              <w:top w:val="nil"/>
              <w:left w:val="nil"/>
              <w:bottom w:val="nil"/>
              <w:right w:val="nil"/>
            </w:tcBorders>
            <w:shd w:val="clear" w:color="auto" w:fill="auto"/>
            <w:noWrap/>
            <w:vAlign w:val="center"/>
            <w:hideMark/>
          </w:tcPr>
          <w:p w14:paraId="3389A11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New Zealand</w:t>
            </w:r>
          </w:p>
        </w:tc>
        <w:tc>
          <w:tcPr>
            <w:tcW w:w="944" w:type="dxa"/>
            <w:tcBorders>
              <w:top w:val="nil"/>
              <w:left w:val="nil"/>
              <w:bottom w:val="nil"/>
              <w:right w:val="single" w:sz="4" w:space="0" w:color="auto"/>
            </w:tcBorders>
            <w:shd w:val="clear" w:color="auto" w:fill="auto"/>
            <w:noWrap/>
            <w:vAlign w:val="center"/>
            <w:hideMark/>
          </w:tcPr>
          <w:p w14:paraId="41F4D8D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Singapore</w:t>
            </w:r>
          </w:p>
        </w:tc>
      </w:tr>
      <w:tr w:rsidR="00ED02A4" w:rsidRPr="00AC0EE7" w14:paraId="79102D8C"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9487DE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34" w:type="dxa"/>
            <w:tcBorders>
              <w:top w:val="nil"/>
              <w:left w:val="nil"/>
              <w:bottom w:val="nil"/>
              <w:right w:val="nil"/>
            </w:tcBorders>
            <w:shd w:val="clear" w:color="auto" w:fill="auto"/>
            <w:noWrap/>
            <w:vAlign w:val="center"/>
            <w:hideMark/>
          </w:tcPr>
          <w:p w14:paraId="7D122F1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60" w:type="dxa"/>
            <w:tcBorders>
              <w:top w:val="nil"/>
              <w:left w:val="nil"/>
              <w:bottom w:val="nil"/>
              <w:right w:val="nil"/>
            </w:tcBorders>
            <w:shd w:val="clear" w:color="auto" w:fill="auto"/>
            <w:noWrap/>
            <w:vAlign w:val="center"/>
            <w:hideMark/>
          </w:tcPr>
          <w:p w14:paraId="3DA5D6C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56" w:type="dxa"/>
            <w:tcBorders>
              <w:top w:val="nil"/>
              <w:left w:val="nil"/>
              <w:bottom w:val="nil"/>
              <w:right w:val="nil"/>
            </w:tcBorders>
            <w:shd w:val="clear" w:color="auto" w:fill="auto"/>
            <w:noWrap/>
            <w:vAlign w:val="center"/>
            <w:hideMark/>
          </w:tcPr>
          <w:p w14:paraId="1E2D848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53413E8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0907951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1.866</w:t>
            </w:r>
          </w:p>
        </w:tc>
        <w:tc>
          <w:tcPr>
            <w:tcW w:w="994" w:type="dxa"/>
            <w:tcBorders>
              <w:top w:val="nil"/>
              <w:left w:val="nil"/>
              <w:bottom w:val="nil"/>
              <w:right w:val="nil"/>
            </w:tcBorders>
            <w:shd w:val="clear" w:color="auto" w:fill="auto"/>
            <w:noWrap/>
            <w:vAlign w:val="center"/>
            <w:hideMark/>
          </w:tcPr>
          <w:p w14:paraId="02EF25A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44" w:type="dxa"/>
            <w:tcBorders>
              <w:top w:val="nil"/>
              <w:left w:val="nil"/>
              <w:bottom w:val="nil"/>
              <w:right w:val="single" w:sz="4" w:space="0" w:color="auto"/>
            </w:tcBorders>
            <w:shd w:val="clear" w:color="auto" w:fill="auto"/>
            <w:noWrap/>
            <w:vAlign w:val="center"/>
            <w:hideMark/>
          </w:tcPr>
          <w:p w14:paraId="2B83C45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r>
      <w:tr w:rsidR="00ED02A4" w:rsidRPr="00AC0EE7" w14:paraId="57106BAC"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CB052E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34" w:type="dxa"/>
            <w:tcBorders>
              <w:top w:val="nil"/>
              <w:left w:val="nil"/>
              <w:bottom w:val="nil"/>
              <w:right w:val="nil"/>
            </w:tcBorders>
            <w:shd w:val="clear" w:color="auto" w:fill="auto"/>
            <w:noWrap/>
            <w:vAlign w:val="center"/>
            <w:hideMark/>
          </w:tcPr>
          <w:p w14:paraId="136A9D6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60" w:type="dxa"/>
            <w:tcBorders>
              <w:top w:val="nil"/>
              <w:left w:val="nil"/>
              <w:bottom w:val="nil"/>
              <w:right w:val="nil"/>
            </w:tcBorders>
            <w:shd w:val="clear" w:color="auto" w:fill="auto"/>
            <w:noWrap/>
            <w:vAlign w:val="center"/>
            <w:hideMark/>
          </w:tcPr>
          <w:p w14:paraId="7C26292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56" w:type="dxa"/>
            <w:tcBorders>
              <w:top w:val="nil"/>
              <w:left w:val="nil"/>
              <w:bottom w:val="nil"/>
              <w:right w:val="nil"/>
            </w:tcBorders>
            <w:shd w:val="clear" w:color="auto" w:fill="auto"/>
            <w:noWrap/>
            <w:vAlign w:val="center"/>
            <w:hideMark/>
          </w:tcPr>
          <w:p w14:paraId="5F058CBE"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72F52B1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4283EC6C" w14:textId="5C253C49"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2.505</w:t>
            </w:r>
          </w:p>
        </w:tc>
        <w:tc>
          <w:tcPr>
            <w:tcW w:w="994" w:type="dxa"/>
            <w:tcBorders>
              <w:top w:val="nil"/>
              <w:left w:val="nil"/>
              <w:bottom w:val="nil"/>
              <w:right w:val="nil"/>
            </w:tcBorders>
            <w:shd w:val="clear" w:color="auto" w:fill="auto"/>
            <w:noWrap/>
            <w:vAlign w:val="center"/>
            <w:hideMark/>
          </w:tcPr>
          <w:p w14:paraId="5A11D2D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44" w:type="dxa"/>
            <w:tcBorders>
              <w:top w:val="nil"/>
              <w:left w:val="nil"/>
              <w:bottom w:val="nil"/>
              <w:right w:val="single" w:sz="4" w:space="0" w:color="auto"/>
            </w:tcBorders>
            <w:shd w:val="clear" w:color="auto" w:fill="auto"/>
            <w:noWrap/>
            <w:vAlign w:val="center"/>
            <w:hideMark/>
          </w:tcPr>
          <w:p w14:paraId="78D323C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r>
      <w:tr w:rsidR="00ED02A4" w:rsidRPr="00AC0EE7" w14:paraId="2A2EE046"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BFF925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South Africa</w:t>
            </w:r>
          </w:p>
        </w:tc>
        <w:tc>
          <w:tcPr>
            <w:tcW w:w="934" w:type="dxa"/>
            <w:tcBorders>
              <w:top w:val="nil"/>
              <w:left w:val="nil"/>
              <w:bottom w:val="nil"/>
              <w:right w:val="nil"/>
            </w:tcBorders>
            <w:shd w:val="clear" w:color="auto" w:fill="auto"/>
            <w:noWrap/>
            <w:vAlign w:val="center"/>
            <w:hideMark/>
          </w:tcPr>
          <w:p w14:paraId="069E83F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Turkey</w:t>
            </w:r>
          </w:p>
        </w:tc>
        <w:tc>
          <w:tcPr>
            <w:tcW w:w="960" w:type="dxa"/>
            <w:tcBorders>
              <w:top w:val="nil"/>
              <w:left w:val="nil"/>
              <w:bottom w:val="nil"/>
              <w:right w:val="nil"/>
            </w:tcBorders>
            <w:shd w:val="clear" w:color="auto" w:fill="auto"/>
            <w:noWrap/>
            <w:vAlign w:val="center"/>
            <w:hideMark/>
          </w:tcPr>
          <w:p w14:paraId="0A39DC4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UK</w:t>
            </w:r>
          </w:p>
        </w:tc>
        <w:tc>
          <w:tcPr>
            <w:tcW w:w="956" w:type="dxa"/>
            <w:tcBorders>
              <w:top w:val="nil"/>
              <w:left w:val="nil"/>
              <w:bottom w:val="nil"/>
              <w:right w:val="nil"/>
            </w:tcBorders>
            <w:shd w:val="clear" w:color="auto" w:fill="auto"/>
            <w:noWrap/>
            <w:vAlign w:val="center"/>
            <w:hideMark/>
          </w:tcPr>
          <w:p w14:paraId="68C423B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US</w:t>
            </w:r>
          </w:p>
        </w:tc>
        <w:tc>
          <w:tcPr>
            <w:tcW w:w="954" w:type="dxa"/>
            <w:tcBorders>
              <w:top w:val="nil"/>
              <w:left w:val="nil"/>
              <w:bottom w:val="nil"/>
              <w:right w:val="nil"/>
            </w:tcBorders>
            <w:shd w:val="clear" w:color="auto" w:fill="auto"/>
            <w:noWrap/>
            <w:hideMark/>
          </w:tcPr>
          <w:p w14:paraId="479B562F"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2D462B15"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77EF8E94"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3C3DCEAF"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2A351532"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35EA8F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0.232</w:t>
            </w:r>
          </w:p>
        </w:tc>
        <w:tc>
          <w:tcPr>
            <w:tcW w:w="934" w:type="dxa"/>
            <w:tcBorders>
              <w:top w:val="nil"/>
              <w:left w:val="nil"/>
              <w:bottom w:val="nil"/>
              <w:right w:val="nil"/>
            </w:tcBorders>
            <w:shd w:val="clear" w:color="auto" w:fill="auto"/>
            <w:noWrap/>
            <w:vAlign w:val="center"/>
            <w:hideMark/>
          </w:tcPr>
          <w:p w14:paraId="41849C7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60" w:type="dxa"/>
            <w:tcBorders>
              <w:top w:val="nil"/>
              <w:left w:val="nil"/>
              <w:bottom w:val="nil"/>
              <w:right w:val="nil"/>
            </w:tcBorders>
            <w:shd w:val="clear" w:color="auto" w:fill="auto"/>
            <w:noWrap/>
            <w:vAlign w:val="center"/>
            <w:hideMark/>
          </w:tcPr>
          <w:p w14:paraId="177261F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0.647</w:t>
            </w:r>
          </w:p>
        </w:tc>
        <w:tc>
          <w:tcPr>
            <w:tcW w:w="956" w:type="dxa"/>
            <w:tcBorders>
              <w:top w:val="nil"/>
              <w:left w:val="nil"/>
              <w:bottom w:val="nil"/>
              <w:right w:val="nil"/>
            </w:tcBorders>
            <w:shd w:val="clear" w:color="auto" w:fill="auto"/>
            <w:noWrap/>
            <w:vAlign w:val="center"/>
            <w:hideMark/>
          </w:tcPr>
          <w:p w14:paraId="1A23E13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-0.635</w:t>
            </w:r>
          </w:p>
        </w:tc>
        <w:tc>
          <w:tcPr>
            <w:tcW w:w="954" w:type="dxa"/>
            <w:tcBorders>
              <w:top w:val="nil"/>
              <w:left w:val="nil"/>
              <w:bottom w:val="nil"/>
              <w:right w:val="nil"/>
            </w:tcBorders>
            <w:shd w:val="clear" w:color="auto" w:fill="auto"/>
            <w:noWrap/>
            <w:hideMark/>
          </w:tcPr>
          <w:p w14:paraId="6D84018D"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7C3C60C0"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3358A08F"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6A145CB2"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622D68AF"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17AF4A8" w14:textId="1B86B66E" w:rsidR="00ED02A4" w:rsidRPr="005930D4" w:rsidRDefault="00ED02A4" w:rsidP="00367A87">
            <w:pPr>
              <w:spacing w:after="0" w:line="240" w:lineRule="auto"/>
              <w:jc w:val="center"/>
              <w:rPr>
                <w:rFonts w:ascii="Calibri" w:eastAsia="Times New Roman" w:hAnsi="Calibri" w:cs="Calibri"/>
                <w:b/>
                <w:i/>
                <w:color w:val="000000"/>
                <w:sz w:val="18"/>
                <w:szCs w:val="18"/>
                <w:lang w:eastAsia="en-IE"/>
              </w:rPr>
            </w:pPr>
            <w:r w:rsidRPr="005930D4">
              <w:rPr>
                <w:rFonts w:ascii="Calibri" w:eastAsia="Times New Roman" w:hAnsi="Calibri" w:cs="Calibri"/>
                <w:b/>
                <w:i/>
                <w:color w:val="000000"/>
                <w:sz w:val="18"/>
                <w:szCs w:val="18"/>
                <w:lang w:eastAsia="en-IE"/>
              </w:rPr>
              <w:t>0.783</w:t>
            </w:r>
          </w:p>
        </w:tc>
        <w:tc>
          <w:tcPr>
            <w:tcW w:w="934" w:type="dxa"/>
            <w:tcBorders>
              <w:top w:val="nil"/>
              <w:left w:val="nil"/>
              <w:bottom w:val="nil"/>
              <w:right w:val="nil"/>
            </w:tcBorders>
            <w:shd w:val="clear" w:color="auto" w:fill="auto"/>
            <w:noWrap/>
            <w:vAlign w:val="center"/>
            <w:hideMark/>
          </w:tcPr>
          <w:p w14:paraId="7508B488" w14:textId="77777777" w:rsidR="00ED02A4" w:rsidRPr="005930D4" w:rsidRDefault="00ED02A4" w:rsidP="00367A87">
            <w:pPr>
              <w:spacing w:after="0" w:line="240" w:lineRule="auto"/>
              <w:jc w:val="center"/>
              <w:rPr>
                <w:rFonts w:ascii="Calibri" w:eastAsia="Times New Roman" w:hAnsi="Calibri" w:cs="Calibri"/>
                <w:b/>
                <w:i/>
                <w:color w:val="000000"/>
                <w:sz w:val="18"/>
                <w:szCs w:val="18"/>
                <w:lang w:eastAsia="en-IE"/>
              </w:rPr>
            </w:pPr>
            <w:r w:rsidRPr="005930D4">
              <w:rPr>
                <w:rFonts w:ascii="Calibri" w:eastAsia="Times New Roman" w:hAnsi="Calibri" w:cs="Calibri"/>
                <w:b/>
                <w:i/>
                <w:color w:val="000000"/>
                <w:sz w:val="18"/>
                <w:szCs w:val="18"/>
                <w:lang w:eastAsia="en-IE"/>
              </w:rPr>
              <w:t>NA</w:t>
            </w:r>
          </w:p>
        </w:tc>
        <w:tc>
          <w:tcPr>
            <w:tcW w:w="960" w:type="dxa"/>
            <w:tcBorders>
              <w:top w:val="nil"/>
              <w:left w:val="nil"/>
              <w:bottom w:val="nil"/>
              <w:right w:val="nil"/>
            </w:tcBorders>
            <w:shd w:val="clear" w:color="auto" w:fill="auto"/>
            <w:noWrap/>
            <w:vAlign w:val="center"/>
            <w:hideMark/>
          </w:tcPr>
          <w:p w14:paraId="6A02CE00" w14:textId="1A1161BF" w:rsidR="00ED02A4" w:rsidRPr="005930D4" w:rsidRDefault="00ED02A4" w:rsidP="00367A87">
            <w:pPr>
              <w:spacing w:after="0" w:line="240" w:lineRule="auto"/>
              <w:jc w:val="center"/>
              <w:rPr>
                <w:rFonts w:ascii="Calibri" w:eastAsia="Times New Roman" w:hAnsi="Calibri" w:cs="Calibri"/>
                <w:b/>
                <w:i/>
                <w:color w:val="000000"/>
                <w:sz w:val="18"/>
                <w:szCs w:val="18"/>
                <w:lang w:eastAsia="en-IE"/>
              </w:rPr>
            </w:pPr>
            <w:r w:rsidRPr="005930D4">
              <w:rPr>
                <w:rFonts w:ascii="Calibri" w:eastAsia="Times New Roman" w:hAnsi="Calibri" w:cs="Calibri"/>
                <w:b/>
                <w:i/>
                <w:color w:val="000000"/>
                <w:sz w:val="18"/>
                <w:szCs w:val="18"/>
                <w:lang w:eastAsia="en-IE"/>
              </w:rPr>
              <w:t>1.293</w:t>
            </w:r>
          </w:p>
        </w:tc>
        <w:tc>
          <w:tcPr>
            <w:tcW w:w="956" w:type="dxa"/>
            <w:tcBorders>
              <w:top w:val="nil"/>
              <w:left w:val="nil"/>
              <w:bottom w:val="nil"/>
              <w:right w:val="nil"/>
            </w:tcBorders>
            <w:shd w:val="clear" w:color="auto" w:fill="auto"/>
            <w:noWrap/>
            <w:vAlign w:val="center"/>
            <w:hideMark/>
          </w:tcPr>
          <w:p w14:paraId="08A5B4F0" w14:textId="77777777" w:rsidR="00ED02A4" w:rsidRPr="005930D4" w:rsidRDefault="00ED02A4" w:rsidP="00367A87">
            <w:pPr>
              <w:spacing w:after="0" w:line="240" w:lineRule="auto"/>
              <w:jc w:val="center"/>
              <w:rPr>
                <w:rFonts w:ascii="Calibri" w:eastAsia="Times New Roman" w:hAnsi="Calibri" w:cs="Calibri"/>
                <w:b/>
                <w:i/>
                <w:color w:val="000000"/>
                <w:sz w:val="18"/>
                <w:szCs w:val="18"/>
                <w:lang w:eastAsia="en-IE"/>
              </w:rPr>
            </w:pPr>
            <w:r w:rsidRPr="005930D4">
              <w:rPr>
                <w:rFonts w:ascii="Calibri" w:eastAsia="Times New Roman" w:hAnsi="Calibri" w:cs="Calibri"/>
                <w:b/>
                <w:i/>
                <w:color w:val="000000"/>
                <w:sz w:val="18"/>
                <w:szCs w:val="18"/>
                <w:lang w:eastAsia="en-IE"/>
              </w:rPr>
              <w:t>-2.384</w:t>
            </w:r>
          </w:p>
        </w:tc>
        <w:tc>
          <w:tcPr>
            <w:tcW w:w="954" w:type="dxa"/>
            <w:tcBorders>
              <w:top w:val="nil"/>
              <w:left w:val="nil"/>
              <w:bottom w:val="nil"/>
              <w:right w:val="nil"/>
            </w:tcBorders>
            <w:shd w:val="clear" w:color="auto" w:fill="auto"/>
            <w:noWrap/>
            <w:hideMark/>
          </w:tcPr>
          <w:p w14:paraId="581B13FB"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21DA7840"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5543F096"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2A719352"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4E070634" w14:textId="77777777" w:rsidTr="00367A87">
        <w:trPr>
          <w:trHeight w:val="288"/>
        </w:trPr>
        <w:tc>
          <w:tcPr>
            <w:tcW w:w="999" w:type="dxa"/>
            <w:tcBorders>
              <w:top w:val="nil"/>
              <w:left w:val="single" w:sz="4" w:space="0" w:color="auto"/>
              <w:bottom w:val="nil"/>
              <w:right w:val="nil"/>
            </w:tcBorders>
            <w:shd w:val="clear" w:color="auto" w:fill="auto"/>
            <w:noWrap/>
            <w:vAlign w:val="bottom"/>
            <w:hideMark/>
          </w:tcPr>
          <w:p w14:paraId="730F3385" w14:textId="77777777" w:rsidR="00ED02A4" w:rsidRDefault="00ED02A4" w:rsidP="00367A87">
            <w:pPr>
              <w:spacing w:after="0" w:line="240" w:lineRule="auto"/>
              <w:jc w:val="center"/>
              <w:rPr>
                <w:rFonts w:ascii="Calibri" w:eastAsia="Times New Roman" w:hAnsi="Calibri" w:cs="Calibri"/>
                <w:color w:val="000000"/>
                <w:lang w:eastAsia="en-IE"/>
              </w:rPr>
            </w:pPr>
          </w:p>
          <w:p w14:paraId="0315EEC0" w14:textId="02D651DD" w:rsidR="00D77206" w:rsidRPr="00AC0EE7" w:rsidRDefault="00D77206" w:rsidP="00367A87">
            <w:pPr>
              <w:spacing w:after="0" w:line="240" w:lineRule="auto"/>
              <w:jc w:val="center"/>
              <w:rPr>
                <w:rFonts w:ascii="Calibri" w:eastAsia="Times New Roman" w:hAnsi="Calibri" w:cs="Calibri"/>
                <w:color w:val="000000"/>
                <w:lang w:eastAsia="en-IE"/>
              </w:rPr>
            </w:pPr>
          </w:p>
        </w:tc>
        <w:tc>
          <w:tcPr>
            <w:tcW w:w="934" w:type="dxa"/>
            <w:tcBorders>
              <w:top w:val="nil"/>
              <w:left w:val="nil"/>
              <w:bottom w:val="nil"/>
              <w:right w:val="nil"/>
            </w:tcBorders>
            <w:shd w:val="clear" w:color="auto" w:fill="auto"/>
            <w:noWrap/>
            <w:vAlign w:val="bottom"/>
            <w:hideMark/>
          </w:tcPr>
          <w:p w14:paraId="7B74E1CF"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60" w:type="dxa"/>
            <w:tcBorders>
              <w:top w:val="nil"/>
              <w:left w:val="nil"/>
              <w:bottom w:val="nil"/>
              <w:right w:val="nil"/>
            </w:tcBorders>
            <w:shd w:val="clear" w:color="auto" w:fill="auto"/>
            <w:noWrap/>
            <w:vAlign w:val="bottom"/>
            <w:hideMark/>
          </w:tcPr>
          <w:p w14:paraId="4E07CCE5"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6" w:type="dxa"/>
            <w:tcBorders>
              <w:top w:val="nil"/>
              <w:left w:val="nil"/>
              <w:bottom w:val="nil"/>
              <w:right w:val="nil"/>
            </w:tcBorders>
            <w:shd w:val="clear" w:color="auto" w:fill="auto"/>
            <w:noWrap/>
            <w:vAlign w:val="bottom"/>
            <w:hideMark/>
          </w:tcPr>
          <w:p w14:paraId="1C4C3FFD"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4" w:type="dxa"/>
            <w:tcBorders>
              <w:top w:val="nil"/>
              <w:left w:val="nil"/>
              <w:bottom w:val="nil"/>
              <w:right w:val="nil"/>
            </w:tcBorders>
            <w:shd w:val="clear" w:color="auto" w:fill="auto"/>
            <w:noWrap/>
            <w:vAlign w:val="bottom"/>
            <w:hideMark/>
          </w:tcPr>
          <w:p w14:paraId="343F9BBC"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vAlign w:val="bottom"/>
            <w:hideMark/>
          </w:tcPr>
          <w:p w14:paraId="07465870"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vAlign w:val="bottom"/>
            <w:hideMark/>
          </w:tcPr>
          <w:p w14:paraId="30BB6BB3"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vAlign w:val="bottom"/>
            <w:hideMark/>
          </w:tcPr>
          <w:p w14:paraId="211F6F8C"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725BFA4A" w14:textId="77777777" w:rsidTr="00367A87">
        <w:trPr>
          <w:trHeight w:val="288"/>
        </w:trPr>
        <w:tc>
          <w:tcPr>
            <w:tcW w:w="768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85E981" w14:textId="77777777" w:rsidR="00ED02A4" w:rsidRPr="00AC0EE7" w:rsidRDefault="00ED02A4" w:rsidP="00367A87">
            <w:pPr>
              <w:spacing w:after="0" w:line="240" w:lineRule="auto"/>
              <w:jc w:val="center"/>
              <w:rPr>
                <w:rFonts w:ascii="Calibri" w:eastAsia="Times New Roman" w:hAnsi="Calibri" w:cs="Calibri"/>
                <w:b/>
                <w:bCs/>
                <w:color w:val="000000"/>
                <w:lang w:eastAsia="en-IE"/>
              </w:rPr>
            </w:pPr>
            <w:r w:rsidRPr="00AC0EE7">
              <w:rPr>
                <w:rFonts w:ascii="Calibri" w:eastAsia="Times New Roman" w:hAnsi="Calibri" w:cs="Calibri"/>
                <w:b/>
                <w:bCs/>
                <w:color w:val="000000"/>
                <w:lang w:eastAsia="en-IE"/>
              </w:rPr>
              <w:t>Post 2000</w:t>
            </w:r>
          </w:p>
        </w:tc>
      </w:tr>
      <w:tr w:rsidR="00ED02A4" w:rsidRPr="00AC0EE7" w14:paraId="3A2CAEF8" w14:textId="77777777" w:rsidTr="00367A87">
        <w:trPr>
          <w:trHeight w:val="288"/>
        </w:trPr>
        <w:tc>
          <w:tcPr>
            <w:tcW w:w="768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9DCF76" w14:textId="77777777" w:rsidR="00ED02A4" w:rsidRPr="00AC0EE7" w:rsidRDefault="00ED02A4" w:rsidP="00367A87">
            <w:pPr>
              <w:spacing w:after="0" w:line="240" w:lineRule="auto"/>
              <w:jc w:val="center"/>
              <w:rPr>
                <w:rFonts w:ascii="Calibri" w:eastAsia="Times New Roman" w:hAnsi="Calibri" w:cs="Calibri"/>
                <w:b/>
                <w:bCs/>
                <w:color w:val="000000"/>
                <w:lang w:eastAsia="en-IE"/>
              </w:rPr>
            </w:pPr>
            <w:r w:rsidRPr="00AC0EE7">
              <w:rPr>
                <w:rFonts w:ascii="Calibri" w:eastAsia="Times New Roman" w:hAnsi="Calibri" w:cs="Calibri"/>
                <w:b/>
                <w:bCs/>
                <w:color w:val="000000"/>
                <w:lang w:eastAsia="en-IE"/>
              </w:rPr>
              <w:lastRenderedPageBreak/>
              <w:t>Equity</w:t>
            </w:r>
          </w:p>
        </w:tc>
      </w:tr>
      <w:tr w:rsidR="00ED02A4" w:rsidRPr="00AC0EE7" w14:paraId="20D570C2"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F41366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World Index</w:t>
            </w:r>
          </w:p>
        </w:tc>
        <w:tc>
          <w:tcPr>
            <w:tcW w:w="934" w:type="dxa"/>
            <w:tcBorders>
              <w:top w:val="nil"/>
              <w:left w:val="nil"/>
              <w:bottom w:val="nil"/>
              <w:right w:val="nil"/>
            </w:tcBorders>
            <w:shd w:val="clear" w:color="auto" w:fill="auto"/>
            <w:noWrap/>
            <w:vAlign w:val="center"/>
            <w:hideMark/>
          </w:tcPr>
          <w:p w14:paraId="63D13D9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Argentina</w:t>
            </w:r>
          </w:p>
        </w:tc>
        <w:tc>
          <w:tcPr>
            <w:tcW w:w="960" w:type="dxa"/>
            <w:tcBorders>
              <w:top w:val="nil"/>
              <w:left w:val="nil"/>
              <w:bottom w:val="nil"/>
              <w:right w:val="nil"/>
            </w:tcBorders>
            <w:shd w:val="clear" w:color="auto" w:fill="auto"/>
            <w:noWrap/>
            <w:vAlign w:val="center"/>
            <w:hideMark/>
          </w:tcPr>
          <w:p w14:paraId="6D340BA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Australia</w:t>
            </w:r>
          </w:p>
        </w:tc>
        <w:tc>
          <w:tcPr>
            <w:tcW w:w="956" w:type="dxa"/>
            <w:tcBorders>
              <w:top w:val="nil"/>
              <w:left w:val="nil"/>
              <w:bottom w:val="nil"/>
              <w:right w:val="nil"/>
            </w:tcBorders>
            <w:shd w:val="clear" w:color="auto" w:fill="auto"/>
            <w:noWrap/>
            <w:vAlign w:val="center"/>
            <w:hideMark/>
          </w:tcPr>
          <w:p w14:paraId="00B05BB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Austria</w:t>
            </w:r>
          </w:p>
        </w:tc>
        <w:tc>
          <w:tcPr>
            <w:tcW w:w="954" w:type="dxa"/>
            <w:tcBorders>
              <w:top w:val="nil"/>
              <w:left w:val="nil"/>
              <w:bottom w:val="nil"/>
              <w:right w:val="nil"/>
            </w:tcBorders>
            <w:shd w:val="clear" w:color="auto" w:fill="auto"/>
            <w:noWrap/>
            <w:vAlign w:val="center"/>
            <w:hideMark/>
          </w:tcPr>
          <w:p w14:paraId="08BC398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Bahrain</w:t>
            </w:r>
          </w:p>
        </w:tc>
        <w:tc>
          <w:tcPr>
            <w:tcW w:w="939" w:type="dxa"/>
            <w:tcBorders>
              <w:top w:val="nil"/>
              <w:left w:val="nil"/>
              <w:bottom w:val="nil"/>
              <w:right w:val="nil"/>
            </w:tcBorders>
            <w:shd w:val="clear" w:color="auto" w:fill="auto"/>
            <w:noWrap/>
            <w:vAlign w:val="center"/>
            <w:hideMark/>
          </w:tcPr>
          <w:p w14:paraId="37F8B28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Bangladesh</w:t>
            </w:r>
          </w:p>
        </w:tc>
        <w:tc>
          <w:tcPr>
            <w:tcW w:w="994" w:type="dxa"/>
            <w:tcBorders>
              <w:top w:val="nil"/>
              <w:left w:val="nil"/>
              <w:bottom w:val="nil"/>
              <w:right w:val="nil"/>
            </w:tcBorders>
            <w:shd w:val="clear" w:color="auto" w:fill="auto"/>
            <w:noWrap/>
            <w:vAlign w:val="center"/>
            <w:hideMark/>
          </w:tcPr>
          <w:p w14:paraId="5AE60EB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Belgium</w:t>
            </w:r>
          </w:p>
        </w:tc>
        <w:tc>
          <w:tcPr>
            <w:tcW w:w="944" w:type="dxa"/>
            <w:tcBorders>
              <w:top w:val="nil"/>
              <w:left w:val="nil"/>
              <w:bottom w:val="nil"/>
              <w:right w:val="single" w:sz="4" w:space="0" w:color="auto"/>
            </w:tcBorders>
            <w:shd w:val="clear" w:color="auto" w:fill="auto"/>
            <w:noWrap/>
            <w:vAlign w:val="center"/>
            <w:hideMark/>
          </w:tcPr>
          <w:p w14:paraId="46CF7C0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Botswana</w:t>
            </w:r>
          </w:p>
        </w:tc>
      </w:tr>
      <w:tr w:rsidR="00ED02A4" w:rsidRPr="00AC0EE7" w14:paraId="70DA1011"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7538B0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-2.228</w:t>
            </w:r>
          </w:p>
        </w:tc>
        <w:tc>
          <w:tcPr>
            <w:tcW w:w="934" w:type="dxa"/>
            <w:tcBorders>
              <w:top w:val="nil"/>
              <w:left w:val="nil"/>
              <w:bottom w:val="nil"/>
              <w:right w:val="nil"/>
            </w:tcBorders>
            <w:shd w:val="clear" w:color="auto" w:fill="auto"/>
            <w:noWrap/>
            <w:vAlign w:val="center"/>
            <w:hideMark/>
          </w:tcPr>
          <w:p w14:paraId="1B089EF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-2.956</w:t>
            </w:r>
          </w:p>
        </w:tc>
        <w:tc>
          <w:tcPr>
            <w:tcW w:w="960" w:type="dxa"/>
            <w:tcBorders>
              <w:top w:val="nil"/>
              <w:left w:val="nil"/>
              <w:bottom w:val="nil"/>
              <w:right w:val="nil"/>
            </w:tcBorders>
            <w:shd w:val="clear" w:color="auto" w:fill="auto"/>
            <w:noWrap/>
            <w:vAlign w:val="center"/>
            <w:hideMark/>
          </w:tcPr>
          <w:p w14:paraId="34C788B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-3.333</w:t>
            </w:r>
          </w:p>
        </w:tc>
        <w:tc>
          <w:tcPr>
            <w:tcW w:w="956" w:type="dxa"/>
            <w:tcBorders>
              <w:top w:val="nil"/>
              <w:left w:val="nil"/>
              <w:bottom w:val="nil"/>
              <w:right w:val="nil"/>
            </w:tcBorders>
            <w:shd w:val="clear" w:color="auto" w:fill="auto"/>
            <w:noWrap/>
            <w:vAlign w:val="center"/>
            <w:hideMark/>
          </w:tcPr>
          <w:p w14:paraId="65D5325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-7.679</w:t>
            </w:r>
          </w:p>
        </w:tc>
        <w:tc>
          <w:tcPr>
            <w:tcW w:w="954" w:type="dxa"/>
            <w:tcBorders>
              <w:top w:val="nil"/>
              <w:left w:val="nil"/>
              <w:bottom w:val="nil"/>
              <w:right w:val="nil"/>
            </w:tcBorders>
            <w:shd w:val="clear" w:color="auto" w:fill="auto"/>
            <w:noWrap/>
            <w:vAlign w:val="center"/>
            <w:hideMark/>
          </w:tcPr>
          <w:p w14:paraId="3EF92D9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-0.105</w:t>
            </w:r>
          </w:p>
        </w:tc>
        <w:tc>
          <w:tcPr>
            <w:tcW w:w="939" w:type="dxa"/>
            <w:tcBorders>
              <w:top w:val="nil"/>
              <w:left w:val="nil"/>
              <w:bottom w:val="nil"/>
              <w:right w:val="nil"/>
            </w:tcBorders>
            <w:shd w:val="clear" w:color="auto" w:fill="auto"/>
            <w:noWrap/>
            <w:vAlign w:val="center"/>
            <w:hideMark/>
          </w:tcPr>
          <w:p w14:paraId="7856C89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94" w:type="dxa"/>
            <w:tcBorders>
              <w:top w:val="nil"/>
              <w:left w:val="nil"/>
              <w:bottom w:val="nil"/>
              <w:right w:val="nil"/>
            </w:tcBorders>
            <w:shd w:val="clear" w:color="auto" w:fill="auto"/>
            <w:noWrap/>
            <w:vAlign w:val="center"/>
            <w:hideMark/>
          </w:tcPr>
          <w:p w14:paraId="345AB87A" w14:textId="2B22B829"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-4.46</w:t>
            </w:r>
            <w:r w:rsidR="00BA4657">
              <w:rPr>
                <w:rFonts w:ascii="Calibri" w:eastAsia="Times New Roman" w:hAnsi="Calibri" w:cs="Calibri"/>
                <w:color w:val="000000"/>
                <w:sz w:val="18"/>
                <w:szCs w:val="18"/>
                <w:lang w:eastAsia="en-IE"/>
              </w:rPr>
              <w:t>0</w:t>
            </w:r>
          </w:p>
        </w:tc>
        <w:tc>
          <w:tcPr>
            <w:tcW w:w="944" w:type="dxa"/>
            <w:tcBorders>
              <w:top w:val="nil"/>
              <w:left w:val="nil"/>
              <w:bottom w:val="nil"/>
              <w:right w:val="single" w:sz="4" w:space="0" w:color="auto"/>
            </w:tcBorders>
            <w:shd w:val="clear" w:color="auto" w:fill="auto"/>
            <w:noWrap/>
            <w:vAlign w:val="center"/>
            <w:hideMark/>
          </w:tcPr>
          <w:p w14:paraId="1763F5D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-0.668</w:t>
            </w:r>
          </w:p>
        </w:tc>
      </w:tr>
      <w:tr w:rsidR="00ED02A4" w:rsidRPr="00AC0EE7" w14:paraId="16F41361"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8A73E6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-9.009</w:t>
            </w:r>
          </w:p>
        </w:tc>
        <w:tc>
          <w:tcPr>
            <w:tcW w:w="934" w:type="dxa"/>
            <w:tcBorders>
              <w:top w:val="nil"/>
              <w:left w:val="nil"/>
              <w:bottom w:val="nil"/>
              <w:right w:val="nil"/>
            </w:tcBorders>
            <w:shd w:val="clear" w:color="auto" w:fill="auto"/>
            <w:noWrap/>
            <w:vAlign w:val="center"/>
            <w:hideMark/>
          </w:tcPr>
          <w:p w14:paraId="4311FAB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-3.346</w:t>
            </w:r>
          </w:p>
        </w:tc>
        <w:tc>
          <w:tcPr>
            <w:tcW w:w="960" w:type="dxa"/>
            <w:tcBorders>
              <w:top w:val="nil"/>
              <w:left w:val="nil"/>
              <w:bottom w:val="nil"/>
              <w:right w:val="nil"/>
            </w:tcBorders>
            <w:shd w:val="clear" w:color="auto" w:fill="auto"/>
            <w:noWrap/>
            <w:vAlign w:val="center"/>
            <w:hideMark/>
          </w:tcPr>
          <w:p w14:paraId="23CC1DB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-4.387</w:t>
            </w:r>
          </w:p>
        </w:tc>
        <w:tc>
          <w:tcPr>
            <w:tcW w:w="956" w:type="dxa"/>
            <w:tcBorders>
              <w:top w:val="nil"/>
              <w:left w:val="nil"/>
              <w:bottom w:val="nil"/>
              <w:right w:val="nil"/>
            </w:tcBorders>
            <w:shd w:val="clear" w:color="auto" w:fill="auto"/>
            <w:noWrap/>
            <w:vAlign w:val="center"/>
            <w:hideMark/>
          </w:tcPr>
          <w:p w14:paraId="689CCA2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-8.098</w:t>
            </w:r>
          </w:p>
        </w:tc>
        <w:tc>
          <w:tcPr>
            <w:tcW w:w="954" w:type="dxa"/>
            <w:tcBorders>
              <w:top w:val="nil"/>
              <w:left w:val="nil"/>
              <w:bottom w:val="nil"/>
              <w:right w:val="nil"/>
            </w:tcBorders>
            <w:shd w:val="clear" w:color="auto" w:fill="auto"/>
            <w:noWrap/>
            <w:vAlign w:val="center"/>
            <w:hideMark/>
          </w:tcPr>
          <w:p w14:paraId="6203F76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-1.662</w:t>
            </w:r>
          </w:p>
        </w:tc>
        <w:tc>
          <w:tcPr>
            <w:tcW w:w="939" w:type="dxa"/>
            <w:tcBorders>
              <w:top w:val="nil"/>
              <w:left w:val="nil"/>
              <w:bottom w:val="nil"/>
              <w:right w:val="nil"/>
            </w:tcBorders>
            <w:shd w:val="clear" w:color="auto" w:fill="auto"/>
            <w:noWrap/>
            <w:vAlign w:val="center"/>
            <w:hideMark/>
          </w:tcPr>
          <w:p w14:paraId="4D3653C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94" w:type="dxa"/>
            <w:tcBorders>
              <w:top w:val="nil"/>
              <w:left w:val="nil"/>
              <w:bottom w:val="nil"/>
              <w:right w:val="nil"/>
            </w:tcBorders>
            <w:shd w:val="clear" w:color="auto" w:fill="auto"/>
            <w:noWrap/>
            <w:vAlign w:val="center"/>
            <w:hideMark/>
          </w:tcPr>
          <w:p w14:paraId="3839BA3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-4.071</w:t>
            </w:r>
          </w:p>
        </w:tc>
        <w:tc>
          <w:tcPr>
            <w:tcW w:w="944" w:type="dxa"/>
            <w:tcBorders>
              <w:top w:val="nil"/>
              <w:left w:val="nil"/>
              <w:bottom w:val="nil"/>
              <w:right w:val="single" w:sz="4" w:space="0" w:color="auto"/>
            </w:tcBorders>
            <w:shd w:val="clear" w:color="auto" w:fill="auto"/>
            <w:noWrap/>
            <w:vAlign w:val="center"/>
            <w:hideMark/>
          </w:tcPr>
          <w:p w14:paraId="19A9822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-0.303</w:t>
            </w:r>
          </w:p>
        </w:tc>
      </w:tr>
      <w:tr w:rsidR="00ED02A4" w:rsidRPr="00AC0EE7" w14:paraId="67A23316"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C981C9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Brazil</w:t>
            </w:r>
          </w:p>
        </w:tc>
        <w:tc>
          <w:tcPr>
            <w:tcW w:w="934" w:type="dxa"/>
            <w:tcBorders>
              <w:top w:val="nil"/>
              <w:left w:val="nil"/>
              <w:bottom w:val="nil"/>
              <w:right w:val="nil"/>
            </w:tcBorders>
            <w:shd w:val="clear" w:color="auto" w:fill="auto"/>
            <w:noWrap/>
            <w:vAlign w:val="center"/>
            <w:hideMark/>
          </w:tcPr>
          <w:p w14:paraId="628DE17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Bulgaria</w:t>
            </w:r>
          </w:p>
        </w:tc>
        <w:tc>
          <w:tcPr>
            <w:tcW w:w="960" w:type="dxa"/>
            <w:tcBorders>
              <w:top w:val="nil"/>
              <w:left w:val="nil"/>
              <w:bottom w:val="nil"/>
              <w:right w:val="nil"/>
            </w:tcBorders>
            <w:shd w:val="clear" w:color="auto" w:fill="auto"/>
            <w:noWrap/>
            <w:vAlign w:val="center"/>
            <w:hideMark/>
          </w:tcPr>
          <w:p w14:paraId="780E66F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Canada</w:t>
            </w:r>
          </w:p>
        </w:tc>
        <w:tc>
          <w:tcPr>
            <w:tcW w:w="956" w:type="dxa"/>
            <w:tcBorders>
              <w:top w:val="nil"/>
              <w:left w:val="nil"/>
              <w:bottom w:val="nil"/>
              <w:right w:val="nil"/>
            </w:tcBorders>
            <w:shd w:val="clear" w:color="auto" w:fill="auto"/>
            <w:noWrap/>
            <w:vAlign w:val="center"/>
            <w:hideMark/>
          </w:tcPr>
          <w:p w14:paraId="5B9022E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Chile</w:t>
            </w:r>
          </w:p>
        </w:tc>
        <w:tc>
          <w:tcPr>
            <w:tcW w:w="954" w:type="dxa"/>
            <w:tcBorders>
              <w:top w:val="nil"/>
              <w:left w:val="nil"/>
              <w:bottom w:val="nil"/>
              <w:right w:val="nil"/>
            </w:tcBorders>
            <w:shd w:val="clear" w:color="auto" w:fill="auto"/>
            <w:noWrap/>
            <w:vAlign w:val="center"/>
            <w:hideMark/>
          </w:tcPr>
          <w:p w14:paraId="43982C1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China</w:t>
            </w:r>
          </w:p>
        </w:tc>
        <w:tc>
          <w:tcPr>
            <w:tcW w:w="939" w:type="dxa"/>
            <w:tcBorders>
              <w:top w:val="nil"/>
              <w:left w:val="nil"/>
              <w:bottom w:val="nil"/>
              <w:right w:val="nil"/>
            </w:tcBorders>
            <w:shd w:val="clear" w:color="auto" w:fill="auto"/>
            <w:noWrap/>
            <w:vAlign w:val="center"/>
            <w:hideMark/>
          </w:tcPr>
          <w:p w14:paraId="3FE1752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Colombia</w:t>
            </w:r>
          </w:p>
        </w:tc>
        <w:tc>
          <w:tcPr>
            <w:tcW w:w="994" w:type="dxa"/>
            <w:tcBorders>
              <w:top w:val="nil"/>
              <w:left w:val="nil"/>
              <w:bottom w:val="nil"/>
              <w:right w:val="nil"/>
            </w:tcBorders>
            <w:shd w:val="clear" w:color="auto" w:fill="auto"/>
            <w:noWrap/>
            <w:vAlign w:val="center"/>
            <w:hideMark/>
          </w:tcPr>
          <w:p w14:paraId="4759505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Cote d'Ivoire</w:t>
            </w:r>
          </w:p>
        </w:tc>
        <w:tc>
          <w:tcPr>
            <w:tcW w:w="944" w:type="dxa"/>
            <w:tcBorders>
              <w:top w:val="nil"/>
              <w:left w:val="nil"/>
              <w:bottom w:val="nil"/>
              <w:right w:val="single" w:sz="4" w:space="0" w:color="auto"/>
            </w:tcBorders>
            <w:shd w:val="clear" w:color="auto" w:fill="auto"/>
            <w:noWrap/>
            <w:vAlign w:val="center"/>
            <w:hideMark/>
          </w:tcPr>
          <w:p w14:paraId="486BB8E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Croatia</w:t>
            </w:r>
          </w:p>
        </w:tc>
      </w:tr>
      <w:tr w:rsidR="00ED02A4" w:rsidRPr="00AC0EE7" w14:paraId="7B08D0CB"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48ECEC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-4.417</w:t>
            </w:r>
          </w:p>
        </w:tc>
        <w:tc>
          <w:tcPr>
            <w:tcW w:w="934" w:type="dxa"/>
            <w:tcBorders>
              <w:top w:val="nil"/>
              <w:left w:val="nil"/>
              <w:bottom w:val="nil"/>
              <w:right w:val="nil"/>
            </w:tcBorders>
            <w:shd w:val="clear" w:color="auto" w:fill="auto"/>
            <w:noWrap/>
            <w:vAlign w:val="center"/>
            <w:hideMark/>
          </w:tcPr>
          <w:p w14:paraId="059F5E7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-3.96</w:t>
            </w:r>
          </w:p>
        </w:tc>
        <w:tc>
          <w:tcPr>
            <w:tcW w:w="960" w:type="dxa"/>
            <w:tcBorders>
              <w:top w:val="nil"/>
              <w:left w:val="nil"/>
              <w:bottom w:val="nil"/>
              <w:right w:val="nil"/>
            </w:tcBorders>
            <w:shd w:val="clear" w:color="auto" w:fill="auto"/>
            <w:noWrap/>
            <w:vAlign w:val="center"/>
            <w:hideMark/>
          </w:tcPr>
          <w:p w14:paraId="4DF7E195" w14:textId="6DFFC2E0"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-4.02</w:t>
            </w:r>
            <w:r w:rsidR="00BA4657">
              <w:rPr>
                <w:rFonts w:ascii="Calibri" w:eastAsia="Times New Roman" w:hAnsi="Calibri" w:cs="Calibri"/>
                <w:color w:val="000000"/>
                <w:sz w:val="18"/>
                <w:szCs w:val="18"/>
                <w:lang w:eastAsia="en-IE"/>
              </w:rPr>
              <w:t>0</w:t>
            </w:r>
          </w:p>
        </w:tc>
        <w:tc>
          <w:tcPr>
            <w:tcW w:w="956" w:type="dxa"/>
            <w:tcBorders>
              <w:top w:val="nil"/>
              <w:left w:val="nil"/>
              <w:bottom w:val="nil"/>
              <w:right w:val="nil"/>
            </w:tcBorders>
            <w:shd w:val="clear" w:color="auto" w:fill="auto"/>
            <w:noWrap/>
            <w:vAlign w:val="center"/>
            <w:hideMark/>
          </w:tcPr>
          <w:p w14:paraId="3995EF9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-3.498</w:t>
            </w:r>
          </w:p>
        </w:tc>
        <w:tc>
          <w:tcPr>
            <w:tcW w:w="954" w:type="dxa"/>
            <w:tcBorders>
              <w:top w:val="nil"/>
              <w:left w:val="nil"/>
              <w:bottom w:val="nil"/>
              <w:right w:val="nil"/>
            </w:tcBorders>
            <w:shd w:val="clear" w:color="auto" w:fill="auto"/>
            <w:noWrap/>
            <w:vAlign w:val="center"/>
            <w:hideMark/>
          </w:tcPr>
          <w:p w14:paraId="481635BF" w14:textId="07E3FE3E"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-0.46</w:t>
            </w:r>
            <w:r w:rsidR="00BA4657">
              <w:rPr>
                <w:rFonts w:ascii="Calibri" w:eastAsia="Times New Roman" w:hAnsi="Calibri" w:cs="Calibri"/>
                <w:color w:val="000000"/>
                <w:sz w:val="18"/>
                <w:szCs w:val="18"/>
                <w:lang w:eastAsia="en-IE"/>
              </w:rPr>
              <w:t>0</w:t>
            </w:r>
          </w:p>
        </w:tc>
        <w:tc>
          <w:tcPr>
            <w:tcW w:w="939" w:type="dxa"/>
            <w:tcBorders>
              <w:top w:val="nil"/>
              <w:left w:val="nil"/>
              <w:bottom w:val="nil"/>
              <w:right w:val="nil"/>
            </w:tcBorders>
            <w:shd w:val="clear" w:color="auto" w:fill="auto"/>
            <w:noWrap/>
            <w:vAlign w:val="center"/>
            <w:hideMark/>
          </w:tcPr>
          <w:p w14:paraId="1718C6D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-3.919</w:t>
            </w:r>
          </w:p>
        </w:tc>
        <w:tc>
          <w:tcPr>
            <w:tcW w:w="994" w:type="dxa"/>
            <w:tcBorders>
              <w:top w:val="nil"/>
              <w:left w:val="nil"/>
              <w:bottom w:val="nil"/>
              <w:right w:val="nil"/>
            </w:tcBorders>
            <w:shd w:val="clear" w:color="auto" w:fill="auto"/>
            <w:noWrap/>
            <w:vAlign w:val="center"/>
            <w:hideMark/>
          </w:tcPr>
          <w:p w14:paraId="2C8FFF0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-2.407</w:t>
            </w:r>
          </w:p>
        </w:tc>
        <w:tc>
          <w:tcPr>
            <w:tcW w:w="944" w:type="dxa"/>
            <w:tcBorders>
              <w:top w:val="nil"/>
              <w:left w:val="nil"/>
              <w:bottom w:val="nil"/>
              <w:right w:val="single" w:sz="4" w:space="0" w:color="auto"/>
            </w:tcBorders>
            <w:shd w:val="clear" w:color="auto" w:fill="auto"/>
            <w:noWrap/>
            <w:vAlign w:val="center"/>
            <w:hideMark/>
          </w:tcPr>
          <w:p w14:paraId="2B37140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-5.014</w:t>
            </w:r>
          </w:p>
        </w:tc>
      </w:tr>
      <w:tr w:rsidR="00ED02A4" w:rsidRPr="00AC0EE7" w14:paraId="6CF7DF56"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C3F040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-6.478</w:t>
            </w:r>
          </w:p>
        </w:tc>
        <w:tc>
          <w:tcPr>
            <w:tcW w:w="934" w:type="dxa"/>
            <w:tcBorders>
              <w:top w:val="nil"/>
              <w:left w:val="nil"/>
              <w:bottom w:val="nil"/>
              <w:right w:val="nil"/>
            </w:tcBorders>
            <w:shd w:val="clear" w:color="auto" w:fill="auto"/>
            <w:noWrap/>
            <w:vAlign w:val="center"/>
            <w:hideMark/>
          </w:tcPr>
          <w:p w14:paraId="388ADD0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-7.725</w:t>
            </w:r>
          </w:p>
        </w:tc>
        <w:tc>
          <w:tcPr>
            <w:tcW w:w="960" w:type="dxa"/>
            <w:tcBorders>
              <w:top w:val="nil"/>
              <w:left w:val="nil"/>
              <w:bottom w:val="nil"/>
              <w:right w:val="nil"/>
            </w:tcBorders>
            <w:shd w:val="clear" w:color="auto" w:fill="auto"/>
            <w:noWrap/>
            <w:vAlign w:val="center"/>
            <w:hideMark/>
          </w:tcPr>
          <w:p w14:paraId="424F51B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-7.495</w:t>
            </w:r>
          </w:p>
        </w:tc>
        <w:tc>
          <w:tcPr>
            <w:tcW w:w="956" w:type="dxa"/>
            <w:tcBorders>
              <w:top w:val="nil"/>
              <w:left w:val="nil"/>
              <w:bottom w:val="nil"/>
              <w:right w:val="nil"/>
            </w:tcBorders>
            <w:shd w:val="clear" w:color="auto" w:fill="auto"/>
            <w:noWrap/>
            <w:vAlign w:val="center"/>
            <w:hideMark/>
          </w:tcPr>
          <w:p w14:paraId="77FF3F2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-6.889</w:t>
            </w:r>
          </w:p>
        </w:tc>
        <w:tc>
          <w:tcPr>
            <w:tcW w:w="954" w:type="dxa"/>
            <w:tcBorders>
              <w:top w:val="nil"/>
              <w:left w:val="nil"/>
              <w:bottom w:val="nil"/>
              <w:right w:val="nil"/>
            </w:tcBorders>
            <w:shd w:val="clear" w:color="auto" w:fill="auto"/>
            <w:noWrap/>
            <w:vAlign w:val="center"/>
            <w:hideMark/>
          </w:tcPr>
          <w:p w14:paraId="1625F12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-3.585</w:t>
            </w:r>
          </w:p>
        </w:tc>
        <w:tc>
          <w:tcPr>
            <w:tcW w:w="939" w:type="dxa"/>
            <w:tcBorders>
              <w:top w:val="nil"/>
              <w:left w:val="nil"/>
              <w:bottom w:val="nil"/>
              <w:right w:val="nil"/>
            </w:tcBorders>
            <w:shd w:val="clear" w:color="auto" w:fill="auto"/>
            <w:noWrap/>
            <w:vAlign w:val="center"/>
            <w:hideMark/>
          </w:tcPr>
          <w:p w14:paraId="48A0BA3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-4.404</w:t>
            </w:r>
          </w:p>
        </w:tc>
        <w:tc>
          <w:tcPr>
            <w:tcW w:w="994" w:type="dxa"/>
            <w:tcBorders>
              <w:top w:val="nil"/>
              <w:left w:val="nil"/>
              <w:bottom w:val="nil"/>
              <w:right w:val="nil"/>
            </w:tcBorders>
            <w:shd w:val="clear" w:color="auto" w:fill="auto"/>
            <w:noWrap/>
            <w:vAlign w:val="center"/>
            <w:hideMark/>
          </w:tcPr>
          <w:p w14:paraId="59156690"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-5.025</w:t>
            </w:r>
          </w:p>
        </w:tc>
        <w:tc>
          <w:tcPr>
            <w:tcW w:w="944" w:type="dxa"/>
            <w:tcBorders>
              <w:top w:val="nil"/>
              <w:left w:val="nil"/>
              <w:bottom w:val="nil"/>
              <w:right w:val="single" w:sz="4" w:space="0" w:color="auto"/>
            </w:tcBorders>
            <w:shd w:val="clear" w:color="auto" w:fill="auto"/>
            <w:noWrap/>
            <w:vAlign w:val="center"/>
            <w:hideMark/>
          </w:tcPr>
          <w:p w14:paraId="250C893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-6.179</w:t>
            </w:r>
          </w:p>
        </w:tc>
      </w:tr>
      <w:tr w:rsidR="00ED02A4" w:rsidRPr="00AC0EE7" w14:paraId="6BCE27FA"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C3FCB7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Cyprus</w:t>
            </w:r>
          </w:p>
        </w:tc>
        <w:tc>
          <w:tcPr>
            <w:tcW w:w="934" w:type="dxa"/>
            <w:tcBorders>
              <w:top w:val="nil"/>
              <w:left w:val="nil"/>
              <w:bottom w:val="nil"/>
              <w:right w:val="nil"/>
            </w:tcBorders>
            <w:shd w:val="clear" w:color="auto" w:fill="auto"/>
            <w:noWrap/>
            <w:vAlign w:val="center"/>
            <w:hideMark/>
          </w:tcPr>
          <w:p w14:paraId="366DA3B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Czech Rep.</w:t>
            </w:r>
          </w:p>
        </w:tc>
        <w:tc>
          <w:tcPr>
            <w:tcW w:w="960" w:type="dxa"/>
            <w:tcBorders>
              <w:top w:val="nil"/>
              <w:left w:val="nil"/>
              <w:bottom w:val="nil"/>
              <w:right w:val="nil"/>
            </w:tcBorders>
            <w:shd w:val="clear" w:color="auto" w:fill="auto"/>
            <w:noWrap/>
            <w:vAlign w:val="center"/>
            <w:hideMark/>
          </w:tcPr>
          <w:p w14:paraId="272E9DB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Denmark</w:t>
            </w:r>
          </w:p>
        </w:tc>
        <w:tc>
          <w:tcPr>
            <w:tcW w:w="956" w:type="dxa"/>
            <w:tcBorders>
              <w:top w:val="nil"/>
              <w:left w:val="nil"/>
              <w:bottom w:val="nil"/>
              <w:right w:val="nil"/>
            </w:tcBorders>
            <w:shd w:val="clear" w:color="auto" w:fill="auto"/>
            <w:noWrap/>
            <w:vAlign w:val="center"/>
            <w:hideMark/>
          </w:tcPr>
          <w:p w14:paraId="42644C9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Ecuador</w:t>
            </w:r>
          </w:p>
        </w:tc>
        <w:tc>
          <w:tcPr>
            <w:tcW w:w="954" w:type="dxa"/>
            <w:tcBorders>
              <w:top w:val="nil"/>
              <w:left w:val="nil"/>
              <w:bottom w:val="nil"/>
              <w:right w:val="nil"/>
            </w:tcBorders>
            <w:shd w:val="clear" w:color="auto" w:fill="auto"/>
            <w:noWrap/>
            <w:vAlign w:val="center"/>
            <w:hideMark/>
          </w:tcPr>
          <w:p w14:paraId="1CDB2D0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Egypt</w:t>
            </w:r>
          </w:p>
        </w:tc>
        <w:tc>
          <w:tcPr>
            <w:tcW w:w="939" w:type="dxa"/>
            <w:tcBorders>
              <w:top w:val="nil"/>
              <w:left w:val="nil"/>
              <w:bottom w:val="nil"/>
              <w:right w:val="nil"/>
            </w:tcBorders>
            <w:shd w:val="clear" w:color="auto" w:fill="auto"/>
            <w:noWrap/>
            <w:vAlign w:val="center"/>
            <w:hideMark/>
          </w:tcPr>
          <w:p w14:paraId="1F5B15C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Estonia</w:t>
            </w:r>
          </w:p>
        </w:tc>
        <w:tc>
          <w:tcPr>
            <w:tcW w:w="994" w:type="dxa"/>
            <w:tcBorders>
              <w:top w:val="nil"/>
              <w:left w:val="nil"/>
              <w:bottom w:val="nil"/>
              <w:right w:val="nil"/>
            </w:tcBorders>
            <w:shd w:val="clear" w:color="auto" w:fill="auto"/>
            <w:noWrap/>
            <w:vAlign w:val="center"/>
            <w:hideMark/>
          </w:tcPr>
          <w:p w14:paraId="04600C0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Finland</w:t>
            </w:r>
          </w:p>
        </w:tc>
        <w:tc>
          <w:tcPr>
            <w:tcW w:w="944" w:type="dxa"/>
            <w:tcBorders>
              <w:top w:val="nil"/>
              <w:left w:val="nil"/>
              <w:bottom w:val="nil"/>
              <w:right w:val="single" w:sz="4" w:space="0" w:color="auto"/>
            </w:tcBorders>
            <w:shd w:val="clear" w:color="auto" w:fill="auto"/>
            <w:noWrap/>
            <w:vAlign w:val="center"/>
            <w:hideMark/>
          </w:tcPr>
          <w:p w14:paraId="73BB198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France</w:t>
            </w:r>
          </w:p>
        </w:tc>
      </w:tr>
      <w:tr w:rsidR="00ED02A4" w:rsidRPr="00AC0EE7" w14:paraId="242425C2"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EE091F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-1.998</w:t>
            </w:r>
          </w:p>
        </w:tc>
        <w:tc>
          <w:tcPr>
            <w:tcW w:w="934" w:type="dxa"/>
            <w:tcBorders>
              <w:top w:val="nil"/>
              <w:left w:val="nil"/>
              <w:bottom w:val="nil"/>
              <w:right w:val="nil"/>
            </w:tcBorders>
            <w:shd w:val="clear" w:color="auto" w:fill="auto"/>
            <w:noWrap/>
            <w:vAlign w:val="center"/>
            <w:hideMark/>
          </w:tcPr>
          <w:p w14:paraId="684D6D9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-3.801</w:t>
            </w:r>
          </w:p>
        </w:tc>
        <w:tc>
          <w:tcPr>
            <w:tcW w:w="960" w:type="dxa"/>
            <w:tcBorders>
              <w:top w:val="nil"/>
              <w:left w:val="nil"/>
              <w:bottom w:val="nil"/>
              <w:right w:val="nil"/>
            </w:tcBorders>
            <w:shd w:val="clear" w:color="auto" w:fill="auto"/>
            <w:noWrap/>
            <w:vAlign w:val="center"/>
            <w:hideMark/>
          </w:tcPr>
          <w:p w14:paraId="7D728CD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-4.721</w:t>
            </w:r>
          </w:p>
        </w:tc>
        <w:tc>
          <w:tcPr>
            <w:tcW w:w="956" w:type="dxa"/>
            <w:tcBorders>
              <w:top w:val="nil"/>
              <w:left w:val="nil"/>
              <w:bottom w:val="nil"/>
              <w:right w:val="nil"/>
            </w:tcBorders>
            <w:shd w:val="clear" w:color="auto" w:fill="auto"/>
            <w:noWrap/>
            <w:vAlign w:val="center"/>
            <w:hideMark/>
          </w:tcPr>
          <w:p w14:paraId="2E92743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438146E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-1.125</w:t>
            </w:r>
          </w:p>
        </w:tc>
        <w:tc>
          <w:tcPr>
            <w:tcW w:w="939" w:type="dxa"/>
            <w:tcBorders>
              <w:top w:val="nil"/>
              <w:left w:val="nil"/>
              <w:bottom w:val="nil"/>
              <w:right w:val="nil"/>
            </w:tcBorders>
            <w:shd w:val="clear" w:color="auto" w:fill="auto"/>
            <w:noWrap/>
            <w:vAlign w:val="center"/>
            <w:hideMark/>
          </w:tcPr>
          <w:p w14:paraId="518A25D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-3.232</w:t>
            </w:r>
          </w:p>
        </w:tc>
        <w:tc>
          <w:tcPr>
            <w:tcW w:w="994" w:type="dxa"/>
            <w:tcBorders>
              <w:top w:val="nil"/>
              <w:left w:val="nil"/>
              <w:bottom w:val="nil"/>
              <w:right w:val="nil"/>
            </w:tcBorders>
            <w:shd w:val="clear" w:color="auto" w:fill="auto"/>
            <w:noWrap/>
            <w:vAlign w:val="center"/>
            <w:hideMark/>
          </w:tcPr>
          <w:p w14:paraId="3BD9C69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-4.641</w:t>
            </w:r>
          </w:p>
        </w:tc>
        <w:tc>
          <w:tcPr>
            <w:tcW w:w="944" w:type="dxa"/>
            <w:tcBorders>
              <w:top w:val="nil"/>
              <w:left w:val="nil"/>
              <w:bottom w:val="nil"/>
              <w:right w:val="single" w:sz="4" w:space="0" w:color="auto"/>
            </w:tcBorders>
            <w:shd w:val="clear" w:color="auto" w:fill="auto"/>
            <w:noWrap/>
            <w:vAlign w:val="center"/>
            <w:hideMark/>
          </w:tcPr>
          <w:p w14:paraId="2CA3D4B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-2.633</w:t>
            </w:r>
          </w:p>
        </w:tc>
      </w:tr>
      <w:tr w:rsidR="00ED02A4" w:rsidRPr="00AC0EE7" w14:paraId="35FF86B7"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9C93C93" w14:textId="509D5588"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-0.89</w:t>
            </w:r>
            <w:r w:rsidR="00BA4657">
              <w:rPr>
                <w:rFonts w:ascii="Calibri" w:eastAsia="Times New Roman" w:hAnsi="Calibri" w:cs="Calibri"/>
                <w:b/>
                <w:bCs/>
                <w:i/>
                <w:iCs/>
                <w:color w:val="000000"/>
                <w:sz w:val="18"/>
                <w:szCs w:val="18"/>
                <w:lang w:eastAsia="en-IE"/>
              </w:rPr>
              <w:t>0</w:t>
            </w:r>
          </w:p>
        </w:tc>
        <w:tc>
          <w:tcPr>
            <w:tcW w:w="934" w:type="dxa"/>
            <w:tcBorders>
              <w:top w:val="nil"/>
              <w:left w:val="nil"/>
              <w:bottom w:val="nil"/>
              <w:right w:val="nil"/>
            </w:tcBorders>
            <w:shd w:val="clear" w:color="auto" w:fill="auto"/>
            <w:noWrap/>
            <w:vAlign w:val="center"/>
            <w:hideMark/>
          </w:tcPr>
          <w:p w14:paraId="5825969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-3.899</w:t>
            </w:r>
          </w:p>
        </w:tc>
        <w:tc>
          <w:tcPr>
            <w:tcW w:w="960" w:type="dxa"/>
            <w:tcBorders>
              <w:top w:val="nil"/>
              <w:left w:val="nil"/>
              <w:bottom w:val="nil"/>
              <w:right w:val="nil"/>
            </w:tcBorders>
            <w:shd w:val="clear" w:color="auto" w:fill="auto"/>
            <w:noWrap/>
            <w:vAlign w:val="center"/>
            <w:hideMark/>
          </w:tcPr>
          <w:p w14:paraId="350FDC4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-4.308</w:t>
            </w:r>
          </w:p>
        </w:tc>
        <w:tc>
          <w:tcPr>
            <w:tcW w:w="956" w:type="dxa"/>
            <w:tcBorders>
              <w:top w:val="nil"/>
              <w:left w:val="nil"/>
              <w:bottom w:val="nil"/>
              <w:right w:val="nil"/>
            </w:tcBorders>
            <w:shd w:val="clear" w:color="auto" w:fill="auto"/>
            <w:noWrap/>
            <w:vAlign w:val="center"/>
            <w:hideMark/>
          </w:tcPr>
          <w:p w14:paraId="3C816D9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54" w:type="dxa"/>
            <w:tcBorders>
              <w:top w:val="nil"/>
              <w:left w:val="nil"/>
              <w:bottom w:val="nil"/>
              <w:right w:val="nil"/>
            </w:tcBorders>
            <w:shd w:val="clear" w:color="auto" w:fill="auto"/>
            <w:noWrap/>
            <w:vAlign w:val="center"/>
            <w:hideMark/>
          </w:tcPr>
          <w:p w14:paraId="4C55709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-1.799</w:t>
            </w:r>
          </w:p>
        </w:tc>
        <w:tc>
          <w:tcPr>
            <w:tcW w:w="939" w:type="dxa"/>
            <w:tcBorders>
              <w:top w:val="nil"/>
              <w:left w:val="nil"/>
              <w:bottom w:val="nil"/>
              <w:right w:val="nil"/>
            </w:tcBorders>
            <w:shd w:val="clear" w:color="auto" w:fill="auto"/>
            <w:noWrap/>
            <w:vAlign w:val="center"/>
            <w:hideMark/>
          </w:tcPr>
          <w:p w14:paraId="04CC9EE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-4.875</w:t>
            </w:r>
          </w:p>
        </w:tc>
        <w:tc>
          <w:tcPr>
            <w:tcW w:w="994" w:type="dxa"/>
            <w:tcBorders>
              <w:top w:val="nil"/>
              <w:left w:val="nil"/>
              <w:bottom w:val="nil"/>
              <w:right w:val="nil"/>
            </w:tcBorders>
            <w:shd w:val="clear" w:color="auto" w:fill="auto"/>
            <w:noWrap/>
            <w:vAlign w:val="center"/>
            <w:hideMark/>
          </w:tcPr>
          <w:p w14:paraId="38F7F1A9"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-9.565</w:t>
            </w:r>
          </w:p>
        </w:tc>
        <w:tc>
          <w:tcPr>
            <w:tcW w:w="944" w:type="dxa"/>
            <w:tcBorders>
              <w:top w:val="nil"/>
              <w:left w:val="nil"/>
              <w:bottom w:val="nil"/>
              <w:right w:val="single" w:sz="4" w:space="0" w:color="auto"/>
            </w:tcBorders>
            <w:shd w:val="clear" w:color="auto" w:fill="auto"/>
            <w:noWrap/>
            <w:vAlign w:val="center"/>
            <w:hideMark/>
          </w:tcPr>
          <w:p w14:paraId="1AFEA4A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-4.856</w:t>
            </w:r>
          </w:p>
        </w:tc>
      </w:tr>
      <w:tr w:rsidR="00ED02A4" w:rsidRPr="00AC0EE7" w14:paraId="6026C2A8"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6DFF17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Germany</w:t>
            </w:r>
          </w:p>
        </w:tc>
        <w:tc>
          <w:tcPr>
            <w:tcW w:w="934" w:type="dxa"/>
            <w:tcBorders>
              <w:top w:val="nil"/>
              <w:left w:val="nil"/>
              <w:bottom w:val="nil"/>
              <w:right w:val="nil"/>
            </w:tcBorders>
            <w:shd w:val="clear" w:color="auto" w:fill="auto"/>
            <w:noWrap/>
            <w:vAlign w:val="center"/>
            <w:hideMark/>
          </w:tcPr>
          <w:p w14:paraId="783F845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Ghana</w:t>
            </w:r>
          </w:p>
        </w:tc>
        <w:tc>
          <w:tcPr>
            <w:tcW w:w="960" w:type="dxa"/>
            <w:tcBorders>
              <w:top w:val="nil"/>
              <w:left w:val="nil"/>
              <w:bottom w:val="nil"/>
              <w:right w:val="nil"/>
            </w:tcBorders>
            <w:shd w:val="clear" w:color="auto" w:fill="auto"/>
            <w:noWrap/>
            <w:vAlign w:val="center"/>
            <w:hideMark/>
          </w:tcPr>
          <w:p w14:paraId="37C6336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Greece</w:t>
            </w:r>
          </w:p>
        </w:tc>
        <w:tc>
          <w:tcPr>
            <w:tcW w:w="956" w:type="dxa"/>
            <w:tcBorders>
              <w:top w:val="nil"/>
              <w:left w:val="nil"/>
              <w:bottom w:val="nil"/>
              <w:right w:val="nil"/>
            </w:tcBorders>
            <w:shd w:val="clear" w:color="auto" w:fill="auto"/>
            <w:noWrap/>
            <w:vAlign w:val="center"/>
            <w:hideMark/>
          </w:tcPr>
          <w:p w14:paraId="49AF299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Hong Kong</w:t>
            </w:r>
          </w:p>
        </w:tc>
        <w:tc>
          <w:tcPr>
            <w:tcW w:w="954" w:type="dxa"/>
            <w:tcBorders>
              <w:top w:val="nil"/>
              <w:left w:val="nil"/>
              <w:bottom w:val="nil"/>
              <w:right w:val="nil"/>
            </w:tcBorders>
            <w:shd w:val="clear" w:color="auto" w:fill="auto"/>
            <w:noWrap/>
            <w:vAlign w:val="center"/>
            <w:hideMark/>
          </w:tcPr>
          <w:p w14:paraId="5FDAAB7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Hungary</w:t>
            </w:r>
          </w:p>
        </w:tc>
        <w:tc>
          <w:tcPr>
            <w:tcW w:w="939" w:type="dxa"/>
            <w:tcBorders>
              <w:top w:val="nil"/>
              <w:left w:val="nil"/>
              <w:bottom w:val="nil"/>
              <w:right w:val="nil"/>
            </w:tcBorders>
            <w:shd w:val="clear" w:color="auto" w:fill="auto"/>
            <w:noWrap/>
            <w:vAlign w:val="center"/>
            <w:hideMark/>
          </w:tcPr>
          <w:p w14:paraId="62F1D85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Iceland</w:t>
            </w:r>
          </w:p>
        </w:tc>
        <w:tc>
          <w:tcPr>
            <w:tcW w:w="994" w:type="dxa"/>
            <w:tcBorders>
              <w:top w:val="nil"/>
              <w:left w:val="nil"/>
              <w:bottom w:val="nil"/>
              <w:right w:val="nil"/>
            </w:tcBorders>
            <w:shd w:val="clear" w:color="auto" w:fill="auto"/>
            <w:noWrap/>
            <w:vAlign w:val="center"/>
            <w:hideMark/>
          </w:tcPr>
          <w:p w14:paraId="73064E9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India</w:t>
            </w:r>
          </w:p>
        </w:tc>
        <w:tc>
          <w:tcPr>
            <w:tcW w:w="944" w:type="dxa"/>
            <w:tcBorders>
              <w:top w:val="nil"/>
              <w:left w:val="nil"/>
              <w:bottom w:val="nil"/>
              <w:right w:val="single" w:sz="4" w:space="0" w:color="auto"/>
            </w:tcBorders>
            <w:shd w:val="clear" w:color="auto" w:fill="auto"/>
            <w:noWrap/>
            <w:vAlign w:val="center"/>
            <w:hideMark/>
          </w:tcPr>
          <w:p w14:paraId="5401B26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Indonesia</w:t>
            </w:r>
          </w:p>
        </w:tc>
      </w:tr>
      <w:tr w:rsidR="00ED02A4" w:rsidRPr="00AC0EE7" w14:paraId="78FE2FD6"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A0696A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-3.955</w:t>
            </w:r>
          </w:p>
        </w:tc>
        <w:tc>
          <w:tcPr>
            <w:tcW w:w="934" w:type="dxa"/>
            <w:tcBorders>
              <w:top w:val="nil"/>
              <w:left w:val="nil"/>
              <w:bottom w:val="nil"/>
              <w:right w:val="nil"/>
            </w:tcBorders>
            <w:shd w:val="clear" w:color="auto" w:fill="auto"/>
            <w:noWrap/>
            <w:vAlign w:val="center"/>
            <w:hideMark/>
          </w:tcPr>
          <w:p w14:paraId="79CF370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-0.004</w:t>
            </w:r>
          </w:p>
        </w:tc>
        <w:tc>
          <w:tcPr>
            <w:tcW w:w="960" w:type="dxa"/>
            <w:tcBorders>
              <w:top w:val="nil"/>
              <w:left w:val="nil"/>
              <w:bottom w:val="nil"/>
              <w:right w:val="nil"/>
            </w:tcBorders>
            <w:shd w:val="clear" w:color="auto" w:fill="auto"/>
            <w:noWrap/>
            <w:vAlign w:val="center"/>
            <w:hideMark/>
          </w:tcPr>
          <w:p w14:paraId="1D7FBD2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-2.582</w:t>
            </w:r>
          </w:p>
        </w:tc>
        <w:tc>
          <w:tcPr>
            <w:tcW w:w="956" w:type="dxa"/>
            <w:tcBorders>
              <w:top w:val="nil"/>
              <w:left w:val="nil"/>
              <w:bottom w:val="nil"/>
              <w:right w:val="nil"/>
            </w:tcBorders>
            <w:shd w:val="clear" w:color="auto" w:fill="auto"/>
            <w:noWrap/>
            <w:vAlign w:val="center"/>
            <w:hideMark/>
          </w:tcPr>
          <w:p w14:paraId="488822F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-0.362</w:t>
            </w:r>
          </w:p>
        </w:tc>
        <w:tc>
          <w:tcPr>
            <w:tcW w:w="954" w:type="dxa"/>
            <w:tcBorders>
              <w:top w:val="nil"/>
              <w:left w:val="nil"/>
              <w:bottom w:val="nil"/>
              <w:right w:val="nil"/>
            </w:tcBorders>
            <w:shd w:val="clear" w:color="auto" w:fill="auto"/>
            <w:noWrap/>
            <w:vAlign w:val="center"/>
            <w:hideMark/>
          </w:tcPr>
          <w:p w14:paraId="29B20E2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-4.383</w:t>
            </w:r>
          </w:p>
        </w:tc>
        <w:tc>
          <w:tcPr>
            <w:tcW w:w="939" w:type="dxa"/>
            <w:tcBorders>
              <w:top w:val="nil"/>
              <w:left w:val="nil"/>
              <w:bottom w:val="nil"/>
              <w:right w:val="nil"/>
            </w:tcBorders>
            <w:shd w:val="clear" w:color="auto" w:fill="auto"/>
            <w:noWrap/>
            <w:vAlign w:val="center"/>
            <w:hideMark/>
          </w:tcPr>
          <w:p w14:paraId="2ED5153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-2.845</w:t>
            </w:r>
          </w:p>
        </w:tc>
        <w:tc>
          <w:tcPr>
            <w:tcW w:w="994" w:type="dxa"/>
            <w:tcBorders>
              <w:top w:val="nil"/>
              <w:left w:val="nil"/>
              <w:bottom w:val="nil"/>
              <w:right w:val="nil"/>
            </w:tcBorders>
            <w:shd w:val="clear" w:color="auto" w:fill="auto"/>
            <w:noWrap/>
            <w:vAlign w:val="center"/>
            <w:hideMark/>
          </w:tcPr>
          <w:p w14:paraId="3F9C3AF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-2.722</w:t>
            </w:r>
          </w:p>
        </w:tc>
        <w:tc>
          <w:tcPr>
            <w:tcW w:w="944" w:type="dxa"/>
            <w:tcBorders>
              <w:top w:val="nil"/>
              <w:left w:val="nil"/>
              <w:bottom w:val="nil"/>
              <w:right w:val="single" w:sz="4" w:space="0" w:color="auto"/>
            </w:tcBorders>
            <w:shd w:val="clear" w:color="auto" w:fill="auto"/>
            <w:noWrap/>
            <w:vAlign w:val="center"/>
            <w:hideMark/>
          </w:tcPr>
          <w:p w14:paraId="678F215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-2.282</w:t>
            </w:r>
          </w:p>
        </w:tc>
      </w:tr>
      <w:tr w:rsidR="00ED02A4" w:rsidRPr="00AC0EE7" w14:paraId="06E0169D"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A7E17E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-9.571</w:t>
            </w:r>
          </w:p>
        </w:tc>
        <w:tc>
          <w:tcPr>
            <w:tcW w:w="934" w:type="dxa"/>
            <w:tcBorders>
              <w:top w:val="nil"/>
              <w:left w:val="nil"/>
              <w:bottom w:val="nil"/>
              <w:right w:val="nil"/>
            </w:tcBorders>
            <w:shd w:val="clear" w:color="auto" w:fill="auto"/>
            <w:noWrap/>
            <w:vAlign w:val="center"/>
            <w:hideMark/>
          </w:tcPr>
          <w:p w14:paraId="62680029"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-0.254</w:t>
            </w:r>
          </w:p>
        </w:tc>
        <w:tc>
          <w:tcPr>
            <w:tcW w:w="960" w:type="dxa"/>
            <w:tcBorders>
              <w:top w:val="nil"/>
              <w:left w:val="nil"/>
              <w:bottom w:val="nil"/>
              <w:right w:val="nil"/>
            </w:tcBorders>
            <w:shd w:val="clear" w:color="auto" w:fill="auto"/>
            <w:noWrap/>
            <w:vAlign w:val="center"/>
            <w:hideMark/>
          </w:tcPr>
          <w:p w14:paraId="4ADB1FC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-2.091</w:t>
            </w:r>
          </w:p>
        </w:tc>
        <w:tc>
          <w:tcPr>
            <w:tcW w:w="956" w:type="dxa"/>
            <w:tcBorders>
              <w:top w:val="nil"/>
              <w:left w:val="nil"/>
              <w:bottom w:val="nil"/>
              <w:right w:val="nil"/>
            </w:tcBorders>
            <w:shd w:val="clear" w:color="auto" w:fill="auto"/>
            <w:noWrap/>
            <w:vAlign w:val="center"/>
            <w:hideMark/>
          </w:tcPr>
          <w:p w14:paraId="535EEAE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-0.518</w:t>
            </w:r>
          </w:p>
        </w:tc>
        <w:tc>
          <w:tcPr>
            <w:tcW w:w="954" w:type="dxa"/>
            <w:tcBorders>
              <w:top w:val="nil"/>
              <w:left w:val="nil"/>
              <w:bottom w:val="nil"/>
              <w:right w:val="nil"/>
            </w:tcBorders>
            <w:shd w:val="clear" w:color="auto" w:fill="auto"/>
            <w:noWrap/>
            <w:vAlign w:val="center"/>
            <w:hideMark/>
          </w:tcPr>
          <w:p w14:paraId="7B67C44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-4.287</w:t>
            </w:r>
          </w:p>
        </w:tc>
        <w:tc>
          <w:tcPr>
            <w:tcW w:w="939" w:type="dxa"/>
            <w:tcBorders>
              <w:top w:val="nil"/>
              <w:left w:val="nil"/>
              <w:bottom w:val="nil"/>
              <w:right w:val="nil"/>
            </w:tcBorders>
            <w:shd w:val="clear" w:color="auto" w:fill="auto"/>
            <w:noWrap/>
            <w:vAlign w:val="center"/>
            <w:hideMark/>
          </w:tcPr>
          <w:p w14:paraId="56E13EB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-3.071</w:t>
            </w:r>
          </w:p>
        </w:tc>
        <w:tc>
          <w:tcPr>
            <w:tcW w:w="994" w:type="dxa"/>
            <w:tcBorders>
              <w:top w:val="nil"/>
              <w:left w:val="nil"/>
              <w:bottom w:val="nil"/>
              <w:right w:val="nil"/>
            </w:tcBorders>
            <w:shd w:val="clear" w:color="auto" w:fill="auto"/>
            <w:noWrap/>
            <w:vAlign w:val="center"/>
            <w:hideMark/>
          </w:tcPr>
          <w:p w14:paraId="1A2EEBF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-4.537</w:t>
            </w:r>
          </w:p>
        </w:tc>
        <w:tc>
          <w:tcPr>
            <w:tcW w:w="944" w:type="dxa"/>
            <w:tcBorders>
              <w:top w:val="nil"/>
              <w:left w:val="nil"/>
              <w:bottom w:val="nil"/>
              <w:right w:val="single" w:sz="4" w:space="0" w:color="auto"/>
            </w:tcBorders>
            <w:shd w:val="clear" w:color="auto" w:fill="auto"/>
            <w:noWrap/>
            <w:vAlign w:val="center"/>
            <w:hideMark/>
          </w:tcPr>
          <w:p w14:paraId="151FFAA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-2.348</w:t>
            </w:r>
          </w:p>
        </w:tc>
      </w:tr>
      <w:tr w:rsidR="00ED02A4" w:rsidRPr="00AC0EE7" w14:paraId="7D7EC94C"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DD04A1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Ireland</w:t>
            </w:r>
          </w:p>
        </w:tc>
        <w:tc>
          <w:tcPr>
            <w:tcW w:w="934" w:type="dxa"/>
            <w:tcBorders>
              <w:top w:val="nil"/>
              <w:left w:val="nil"/>
              <w:bottom w:val="nil"/>
              <w:right w:val="nil"/>
            </w:tcBorders>
            <w:shd w:val="clear" w:color="auto" w:fill="auto"/>
            <w:noWrap/>
            <w:vAlign w:val="center"/>
            <w:hideMark/>
          </w:tcPr>
          <w:p w14:paraId="1AB84CD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Israel</w:t>
            </w:r>
          </w:p>
        </w:tc>
        <w:tc>
          <w:tcPr>
            <w:tcW w:w="960" w:type="dxa"/>
            <w:tcBorders>
              <w:top w:val="nil"/>
              <w:left w:val="nil"/>
              <w:bottom w:val="nil"/>
              <w:right w:val="nil"/>
            </w:tcBorders>
            <w:shd w:val="clear" w:color="auto" w:fill="auto"/>
            <w:noWrap/>
            <w:vAlign w:val="center"/>
            <w:hideMark/>
          </w:tcPr>
          <w:p w14:paraId="2B69D70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Italy</w:t>
            </w:r>
          </w:p>
        </w:tc>
        <w:tc>
          <w:tcPr>
            <w:tcW w:w="956" w:type="dxa"/>
            <w:tcBorders>
              <w:top w:val="nil"/>
              <w:left w:val="nil"/>
              <w:bottom w:val="nil"/>
              <w:right w:val="nil"/>
            </w:tcBorders>
            <w:shd w:val="clear" w:color="auto" w:fill="auto"/>
            <w:noWrap/>
            <w:vAlign w:val="center"/>
            <w:hideMark/>
          </w:tcPr>
          <w:p w14:paraId="166B4DD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Jamaica</w:t>
            </w:r>
          </w:p>
        </w:tc>
        <w:tc>
          <w:tcPr>
            <w:tcW w:w="954" w:type="dxa"/>
            <w:tcBorders>
              <w:top w:val="nil"/>
              <w:left w:val="nil"/>
              <w:bottom w:val="nil"/>
              <w:right w:val="nil"/>
            </w:tcBorders>
            <w:shd w:val="clear" w:color="auto" w:fill="auto"/>
            <w:noWrap/>
            <w:vAlign w:val="center"/>
            <w:hideMark/>
          </w:tcPr>
          <w:p w14:paraId="2D94DA5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Japan</w:t>
            </w:r>
          </w:p>
        </w:tc>
        <w:tc>
          <w:tcPr>
            <w:tcW w:w="939" w:type="dxa"/>
            <w:tcBorders>
              <w:top w:val="nil"/>
              <w:left w:val="nil"/>
              <w:bottom w:val="nil"/>
              <w:right w:val="nil"/>
            </w:tcBorders>
            <w:shd w:val="clear" w:color="auto" w:fill="auto"/>
            <w:noWrap/>
            <w:vAlign w:val="center"/>
            <w:hideMark/>
          </w:tcPr>
          <w:p w14:paraId="4289E54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Jordan</w:t>
            </w:r>
          </w:p>
        </w:tc>
        <w:tc>
          <w:tcPr>
            <w:tcW w:w="994" w:type="dxa"/>
            <w:tcBorders>
              <w:top w:val="nil"/>
              <w:left w:val="nil"/>
              <w:bottom w:val="nil"/>
              <w:right w:val="nil"/>
            </w:tcBorders>
            <w:shd w:val="clear" w:color="auto" w:fill="auto"/>
            <w:noWrap/>
            <w:vAlign w:val="center"/>
            <w:hideMark/>
          </w:tcPr>
          <w:p w14:paraId="3F2E615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Kazakhstan</w:t>
            </w:r>
          </w:p>
        </w:tc>
        <w:tc>
          <w:tcPr>
            <w:tcW w:w="944" w:type="dxa"/>
            <w:tcBorders>
              <w:top w:val="nil"/>
              <w:left w:val="nil"/>
              <w:bottom w:val="nil"/>
              <w:right w:val="single" w:sz="4" w:space="0" w:color="auto"/>
            </w:tcBorders>
            <w:shd w:val="clear" w:color="auto" w:fill="auto"/>
            <w:noWrap/>
            <w:vAlign w:val="center"/>
            <w:hideMark/>
          </w:tcPr>
          <w:p w14:paraId="7158FA1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Kenya</w:t>
            </w:r>
          </w:p>
        </w:tc>
      </w:tr>
      <w:tr w:rsidR="00ED02A4" w:rsidRPr="00AC0EE7" w14:paraId="1A0B7960"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03FD685E" w14:textId="44DFBB4A"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-4.9</w:t>
            </w:r>
            <w:r w:rsidR="00BA4657">
              <w:rPr>
                <w:rFonts w:ascii="Calibri" w:eastAsia="Times New Roman" w:hAnsi="Calibri" w:cs="Calibri"/>
                <w:color w:val="000000"/>
                <w:sz w:val="18"/>
                <w:szCs w:val="18"/>
                <w:lang w:eastAsia="en-IE"/>
              </w:rPr>
              <w:t>00</w:t>
            </w:r>
          </w:p>
        </w:tc>
        <w:tc>
          <w:tcPr>
            <w:tcW w:w="934" w:type="dxa"/>
            <w:tcBorders>
              <w:top w:val="nil"/>
              <w:left w:val="nil"/>
              <w:bottom w:val="nil"/>
              <w:right w:val="nil"/>
            </w:tcBorders>
            <w:shd w:val="clear" w:color="auto" w:fill="auto"/>
            <w:noWrap/>
            <w:vAlign w:val="center"/>
            <w:hideMark/>
          </w:tcPr>
          <w:p w14:paraId="2B99861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-3.349</w:t>
            </w:r>
          </w:p>
        </w:tc>
        <w:tc>
          <w:tcPr>
            <w:tcW w:w="960" w:type="dxa"/>
            <w:tcBorders>
              <w:top w:val="nil"/>
              <w:left w:val="nil"/>
              <w:bottom w:val="nil"/>
              <w:right w:val="nil"/>
            </w:tcBorders>
            <w:shd w:val="clear" w:color="auto" w:fill="auto"/>
            <w:noWrap/>
            <w:vAlign w:val="center"/>
            <w:hideMark/>
          </w:tcPr>
          <w:p w14:paraId="3BB9CCB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-3.319</w:t>
            </w:r>
          </w:p>
        </w:tc>
        <w:tc>
          <w:tcPr>
            <w:tcW w:w="956" w:type="dxa"/>
            <w:tcBorders>
              <w:top w:val="nil"/>
              <w:left w:val="nil"/>
              <w:bottom w:val="nil"/>
              <w:right w:val="nil"/>
            </w:tcBorders>
            <w:shd w:val="clear" w:color="auto" w:fill="auto"/>
            <w:noWrap/>
            <w:vAlign w:val="center"/>
            <w:hideMark/>
          </w:tcPr>
          <w:p w14:paraId="61EF505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-0.042</w:t>
            </w:r>
          </w:p>
        </w:tc>
        <w:tc>
          <w:tcPr>
            <w:tcW w:w="954" w:type="dxa"/>
            <w:tcBorders>
              <w:top w:val="nil"/>
              <w:left w:val="nil"/>
              <w:bottom w:val="nil"/>
              <w:right w:val="nil"/>
            </w:tcBorders>
            <w:shd w:val="clear" w:color="auto" w:fill="auto"/>
            <w:noWrap/>
            <w:vAlign w:val="center"/>
            <w:hideMark/>
          </w:tcPr>
          <w:p w14:paraId="34E9D48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0.427</w:t>
            </w:r>
          </w:p>
        </w:tc>
        <w:tc>
          <w:tcPr>
            <w:tcW w:w="939" w:type="dxa"/>
            <w:tcBorders>
              <w:top w:val="nil"/>
              <w:left w:val="nil"/>
              <w:bottom w:val="nil"/>
              <w:right w:val="nil"/>
            </w:tcBorders>
            <w:shd w:val="clear" w:color="auto" w:fill="auto"/>
            <w:noWrap/>
            <w:vAlign w:val="center"/>
            <w:hideMark/>
          </w:tcPr>
          <w:p w14:paraId="098A0380" w14:textId="27665064"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w:t>
            </w:r>
            <w:r w:rsidR="00BA4657">
              <w:rPr>
                <w:rFonts w:ascii="Calibri" w:eastAsia="Times New Roman" w:hAnsi="Calibri" w:cs="Calibri"/>
                <w:color w:val="000000"/>
                <w:sz w:val="18"/>
                <w:szCs w:val="18"/>
                <w:lang w:eastAsia="en-IE"/>
              </w:rPr>
              <w:t>.000</w:t>
            </w:r>
          </w:p>
        </w:tc>
        <w:tc>
          <w:tcPr>
            <w:tcW w:w="994" w:type="dxa"/>
            <w:tcBorders>
              <w:top w:val="nil"/>
              <w:left w:val="nil"/>
              <w:bottom w:val="nil"/>
              <w:right w:val="nil"/>
            </w:tcBorders>
            <w:shd w:val="clear" w:color="auto" w:fill="auto"/>
            <w:noWrap/>
            <w:vAlign w:val="center"/>
            <w:hideMark/>
          </w:tcPr>
          <w:p w14:paraId="0EB5068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0.941</w:t>
            </w:r>
          </w:p>
        </w:tc>
        <w:tc>
          <w:tcPr>
            <w:tcW w:w="944" w:type="dxa"/>
            <w:tcBorders>
              <w:top w:val="nil"/>
              <w:left w:val="nil"/>
              <w:bottom w:val="nil"/>
              <w:right w:val="single" w:sz="4" w:space="0" w:color="auto"/>
            </w:tcBorders>
            <w:shd w:val="clear" w:color="auto" w:fill="auto"/>
            <w:noWrap/>
            <w:vAlign w:val="center"/>
            <w:hideMark/>
          </w:tcPr>
          <w:p w14:paraId="51C8A91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-0.187</w:t>
            </w:r>
          </w:p>
        </w:tc>
      </w:tr>
      <w:tr w:rsidR="00ED02A4" w:rsidRPr="00AC0EE7" w14:paraId="22C14820"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53C1D2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-6.609</w:t>
            </w:r>
          </w:p>
        </w:tc>
        <w:tc>
          <w:tcPr>
            <w:tcW w:w="934" w:type="dxa"/>
            <w:tcBorders>
              <w:top w:val="nil"/>
              <w:left w:val="nil"/>
              <w:bottom w:val="nil"/>
              <w:right w:val="nil"/>
            </w:tcBorders>
            <w:shd w:val="clear" w:color="auto" w:fill="auto"/>
            <w:noWrap/>
            <w:vAlign w:val="center"/>
            <w:hideMark/>
          </w:tcPr>
          <w:p w14:paraId="2E386E9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-4.288</w:t>
            </w:r>
          </w:p>
        </w:tc>
        <w:tc>
          <w:tcPr>
            <w:tcW w:w="960" w:type="dxa"/>
            <w:tcBorders>
              <w:top w:val="nil"/>
              <w:left w:val="nil"/>
              <w:bottom w:val="nil"/>
              <w:right w:val="nil"/>
            </w:tcBorders>
            <w:shd w:val="clear" w:color="auto" w:fill="auto"/>
            <w:noWrap/>
            <w:vAlign w:val="center"/>
            <w:hideMark/>
          </w:tcPr>
          <w:p w14:paraId="45F75A8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-5.584</w:t>
            </w:r>
          </w:p>
        </w:tc>
        <w:tc>
          <w:tcPr>
            <w:tcW w:w="956" w:type="dxa"/>
            <w:tcBorders>
              <w:top w:val="nil"/>
              <w:left w:val="nil"/>
              <w:bottom w:val="nil"/>
              <w:right w:val="nil"/>
            </w:tcBorders>
            <w:shd w:val="clear" w:color="auto" w:fill="auto"/>
            <w:noWrap/>
            <w:vAlign w:val="center"/>
            <w:hideMark/>
          </w:tcPr>
          <w:p w14:paraId="3D58549E"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-0.181</w:t>
            </w:r>
          </w:p>
        </w:tc>
        <w:tc>
          <w:tcPr>
            <w:tcW w:w="954" w:type="dxa"/>
            <w:tcBorders>
              <w:top w:val="nil"/>
              <w:left w:val="nil"/>
              <w:bottom w:val="nil"/>
              <w:right w:val="nil"/>
            </w:tcBorders>
            <w:shd w:val="clear" w:color="auto" w:fill="auto"/>
            <w:noWrap/>
            <w:vAlign w:val="center"/>
            <w:hideMark/>
          </w:tcPr>
          <w:p w14:paraId="00B30300" w14:textId="27DF9050"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0.545</w:t>
            </w:r>
          </w:p>
        </w:tc>
        <w:tc>
          <w:tcPr>
            <w:tcW w:w="939" w:type="dxa"/>
            <w:tcBorders>
              <w:top w:val="nil"/>
              <w:left w:val="nil"/>
              <w:bottom w:val="nil"/>
              <w:right w:val="nil"/>
            </w:tcBorders>
            <w:shd w:val="clear" w:color="auto" w:fill="auto"/>
            <w:noWrap/>
            <w:vAlign w:val="center"/>
            <w:hideMark/>
          </w:tcPr>
          <w:p w14:paraId="6E86C30E" w14:textId="46B0222E"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0.003</w:t>
            </w:r>
          </w:p>
        </w:tc>
        <w:tc>
          <w:tcPr>
            <w:tcW w:w="994" w:type="dxa"/>
            <w:tcBorders>
              <w:top w:val="nil"/>
              <w:left w:val="nil"/>
              <w:bottom w:val="nil"/>
              <w:right w:val="nil"/>
            </w:tcBorders>
            <w:shd w:val="clear" w:color="auto" w:fill="auto"/>
            <w:noWrap/>
            <w:vAlign w:val="center"/>
            <w:hideMark/>
          </w:tcPr>
          <w:p w14:paraId="42F5E8CC" w14:textId="6E1C25BC"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0.3</w:t>
            </w:r>
            <w:r w:rsidR="00BA4657">
              <w:rPr>
                <w:rFonts w:ascii="Calibri" w:eastAsia="Times New Roman" w:hAnsi="Calibri" w:cs="Calibri"/>
                <w:b/>
                <w:bCs/>
                <w:i/>
                <w:iCs/>
                <w:color w:val="000000"/>
                <w:sz w:val="18"/>
                <w:szCs w:val="18"/>
                <w:lang w:eastAsia="en-IE"/>
              </w:rPr>
              <w:t>00</w:t>
            </w:r>
          </w:p>
        </w:tc>
        <w:tc>
          <w:tcPr>
            <w:tcW w:w="944" w:type="dxa"/>
            <w:tcBorders>
              <w:top w:val="nil"/>
              <w:left w:val="nil"/>
              <w:bottom w:val="nil"/>
              <w:right w:val="single" w:sz="4" w:space="0" w:color="auto"/>
            </w:tcBorders>
            <w:shd w:val="clear" w:color="auto" w:fill="auto"/>
            <w:noWrap/>
            <w:vAlign w:val="center"/>
            <w:hideMark/>
          </w:tcPr>
          <w:p w14:paraId="6EF0B0F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-0.632</w:t>
            </w:r>
          </w:p>
        </w:tc>
      </w:tr>
      <w:tr w:rsidR="00ED02A4" w:rsidRPr="00AC0EE7" w14:paraId="456EDA42"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BF8B20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Kuwait</w:t>
            </w:r>
          </w:p>
        </w:tc>
        <w:tc>
          <w:tcPr>
            <w:tcW w:w="934" w:type="dxa"/>
            <w:tcBorders>
              <w:top w:val="nil"/>
              <w:left w:val="nil"/>
              <w:bottom w:val="nil"/>
              <w:right w:val="nil"/>
            </w:tcBorders>
            <w:shd w:val="clear" w:color="auto" w:fill="auto"/>
            <w:noWrap/>
            <w:vAlign w:val="center"/>
            <w:hideMark/>
          </w:tcPr>
          <w:p w14:paraId="3ED30F3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Latvia</w:t>
            </w:r>
          </w:p>
        </w:tc>
        <w:tc>
          <w:tcPr>
            <w:tcW w:w="960" w:type="dxa"/>
            <w:tcBorders>
              <w:top w:val="nil"/>
              <w:left w:val="nil"/>
              <w:bottom w:val="nil"/>
              <w:right w:val="nil"/>
            </w:tcBorders>
            <w:shd w:val="clear" w:color="auto" w:fill="auto"/>
            <w:noWrap/>
            <w:vAlign w:val="center"/>
            <w:hideMark/>
          </w:tcPr>
          <w:p w14:paraId="41FC565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Lebanon</w:t>
            </w:r>
          </w:p>
        </w:tc>
        <w:tc>
          <w:tcPr>
            <w:tcW w:w="956" w:type="dxa"/>
            <w:tcBorders>
              <w:top w:val="nil"/>
              <w:left w:val="nil"/>
              <w:bottom w:val="nil"/>
              <w:right w:val="nil"/>
            </w:tcBorders>
            <w:shd w:val="clear" w:color="auto" w:fill="auto"/>
            <w:noWrap/>
            <w:vAlign w:val="center"/>
            <w:hideMark/>
          </w:tcPr>
          <w:p w14:paraId="08888CB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Lithuania</w:t>
            </w:r>
          </w:p>
        </w:tc>
        <w:tc>
          <w:tcPr>
            <w:tcW w:w="954" w:type="dxa"/>
            <w:tcBorders>
              <w:top w:val="nil"/>
              <w:left w:val="nil"/>
              <w:bottom w:val="nil"/>
              <w:right w:val="nil"/>
            </w:tcBorders>
            <w:shd w:val="clear" w:color="auto" w:fill="auto"/>
            <w:noWrap/>
            <w:vAlign w:val="center"/>
            <w:hideMark/>
          </w:tcPr>
          <w:p w14:paraId="798B04C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Luxembourg</w:t>
            </w:r>
          </w:p>
        </w:tc>
        <w:tc>
          <w:tcPr>
            <w:tcW w:w="939" w:type="dxa"/>
            <w:tcBorders>
              <w:top w:val="nil"/>
              <w:left w:val="nil"/>
              <w:bottom w:val="nil"/>
              <w:right w:val="nil"/>
            </w:tcBorders>
            <w:shd w:val="clear" w:color="auto" w:fill="auto"/>
            <w:noWrap/>
            <w:vAlign w:val="center"/>
            <w:hideMark/>
          </w:tcPr>
          <w:p w14:paraId="6543E86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Macedonia</w:t>
            </w:r>
          </w:p>
        </w:tc>
        <w:tc>
          <w:tcPr>
            <w:tcW w:w="994" w:type="dxa"/>
            <w:tcBorders>
              <w:top w:val="nil"/>
              <w:left w:val="nil"/>
              <w:bottom w:val="nil"/>
              <w:right w:val="nil"/>
            </w:tcBorders>
            <w:shd w:val="clear" w:color="auto" w:fill="auto"/>
            <w:noWrap/>
            <w:vAlign w:val="center"/>
            <w:hideMark/>
          </w:tcPr>
          <w:p w14:paraId="7938105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Malaysia</w:t>
            </w:r>
          </w:p>
        </w:tc>
        <w:tc>
          <w:tcPr>
            <w:tcW w:w="944" w:type="dxa"/>
            <w:tcBorders>
              <w:top w:val="nil"/>
              <w:left w:val="nil"/>
              <w:bottom w:val="nil"/>
              <w:right w:val="single" w:sz="4" w:space="0" w:color="auto"/>
            </w:tcBorders>
            <w:shd w:val="clear" w:color="auto" w:fill="auto"/>
            <w:noWrap/>
            <w:vAlign w:val="center"/>
            <w:hideMark/>
          </w:tcPr>
          <w:p w14:paraId="76D7874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Malta</w:t>
            </w:r>
          </w:p>
        </w:tc>
      </w:tr>
      <w:tr w:rsidR="00ED02A4" w:rsidRPr="00AC0EE7" w14:paraId="4B5A37C6"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8B7F9D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-0.265</w:t>
            </w:r>
          </w:p>
        </w:tc>
        <w:tc>
          <w:tcPr>
            <w:tcW w:w="934" w:type="dxa"/>
            <w:tcBorders>
              <w:top w:val="nil"/>
              <w:left w:val="nil"/>
              <w:bottom w:val="nil"/>
              <w:right w:val="nil"/>
            </w:tcBorders>
            <w:shd w:val="clear" w:color="auto" w:fill="auto"/>
            <w:noWrap/>
            <w:vAlign w:val="center"/>
            <w:hideMark/>
          </w:tcPr>
          <w:p w14:paraId="54F9254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-3.078</w:t>
            </w:r>
          </w:p>
        </w:tc>
        <w:tc>
          <w:tcPr>
            <w:tcW w:w="960" w:type="dxa"/>
            <w:tcBorders>
              <w:top w:val="nil"/>
              <w:left w:val="nil"/>
              <w:bottom w:val="nil"/>
              <w:right w:val="nil"/>
            </w:tcBorders>
            <w:shd w:val="clear" w:color="auto" w:fill="auto"/>
            <w:noWrap/>
            <w:vAlign w:val="center"/>
            <w:hideMark/>
          </w:tcPr>
          <w:p w14:paraId="7517925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2.071</w:t>
            </w:r>
          </w:p>
        </w:tc>
        <w:tc>
          <w:tcPr>
            <w:tcW w:w="956" w:type="dxa"/>
            <w:tcBorders>
              <w:top w:val="nil"/>
              <w:left w:val="nil"/>
              <w:bottom w:val="nil"/>
              <w:right w:val="nil"/>
            </w:tcBorders>
            <w:shd w:val="clear" w:color="auto" w:fill="auto"/>
            <w:noWrap/>
            <w:vAlign w:val="center"/>
            <w:hideMark/>
          </w:tcPr>
          <w:p w14:paraId="24552DD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-5.108</w:t>
            </w:r>
          </w:p>
        </w:tc>
        <w:tc>
          <w:tcPr>
            <w:tcW w:w="954" w:type="dxa"/>
            <w:tcBorders>
              <w:top w:val="nil"/>
              <w:left w:val="nil"/>
              <w:bottom w:val="nil"/>
              <w:right w:val="nil"/>
            </w:tcBorders>
            <w:shd w:val="clear" w:color="auto" w:fill="auto"/>
            <w:noWrap/>
            <w:vAlign w:val="center"/>
            <w:hideMark/>
          </w:tcPr>
          <w:p w14:paraId="72CCEAC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-3.779</w:t>
            </w:r>
          </w:p>
        </w:tc>
        <w:tc>
          <w:tcPr>
            <w:tcW w:w="939" w:type="dxa"/>
            <w:tcBorders>
              <w:top w:val="nil"/>
              <w:left w:val="nil"/>
              <w:bottom w:val="nil"/>
              <w:right w:val="nil"/>
            </w:tcBorders>
            <w:shd w:val="clear" w:color="auto" w:fill="auto"/>
            <w:noWrap/>
            <w:vAlign w:val="center"/>
            <w:hideMark/>
          </w:tcPr>
          <w:p w14:paraId="3A577AF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-2.439</w:t>
            </w:r>
          </w:p>
        </w:tc>
        <w:tc>
          <w:tcPr>
            <w:tcW w:w="994" w:type="dxa"/>
            <w:tcBorders>
              <w:top w:val="nil"/>
              <w:left w:val="nil"/>
              <w:bottom w:val="nil"/>
              <w:right w:val="nil"/>
            </w:tcBorders>
            <w:shd w:val="clear" w:color="auto" w:fill="auto"/>
            <w:noWrap/>
            <w:vAlign w:val="center"/>
            <w:hideMark/>
          </w:tcPr>
          <w:p w14:paraId="4914D85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-2.563</w:t>
            </w:r>
          </w:p>
        </w:tc>
        <w:tc>
          <w:tcPr>
            <w:tcW w:w="944" w:type="dxa"/>
            <w:tcBorders>
              <w:top w:val="nil"/>
              <w:left w:val="nil"/>
              <w:bottom w:val="nil"/>
              <w:right w:val="single" w:sz="4" w:space="0" w:color="auto"/>
            </w:tcBorders>
            <w:shd w:val="clear" w:color="auto" w:fill="auto"/>
            <w:noWrap/>
            <w:vAlign w:val="center"/>
            <w:hideMark/>
          </w:tcPr>
          <w:p w14:paraId="3FBCDC3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-2.875</w:t>
            </w:r>
          </w:p>
        </w:tc>
      </w:tr>
      <w:tr w:rsidR="00ED02A4" w:rsidRPr="00AC0EE7" w14:paraId="4F2CAC27"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F1A8D6E"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-3.809</w:t>
            </w:r>
          </w:p>
        </w:tc>
        <w:tc>
          <w:tcPr>
            <w:tcW w:w="934" w:type="dxa"/>
            <w:tcBorders>
              <w:top w:val="nil"/>
              <w:left w:val="nil"/>
              <w:bottom w:val="nil"/>
              <w:right w:val="nil"/>
            </w:tcBorders>
            <w:shd w:val="clear" w:color="auto" w:fill="auto"/>
            <w:noWrap/>
            <w:vAlign w:val="center"/>
            <w:hideMark/>
          </w:tcPr>
          <w:p w14:paraId="18B0A16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-7.511</w:t>
            </w:r>
          </w:p>
        </w:tc>
        <w:tc>
          <w:tcPr>
            <w:tcW w:w="960" w:type="dxa"/>
            <w:tcBorders>
              <w:top w:val="nil"/>
              <w:left w:val="nil"/>
              <w:bottom w:val="nil"/>
              <w:right w:val="nil"/>
            </w:tcBorders>
            <w:shd w:val="clear" w:color="auto" w:fill="auto"/>
            <w:noWrap/>
            <w:vAlign w:val="center"/>
            <w:hideMark/>
          </w:tcPr>
          <w:p w14:paraId="4B2C0012" w14:textId="48E09422"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1.49</w:t>
            </w:r>
            <w:r w:rsidR="00BA4657">
              <w:rPr>
                <w:rFonts w:ascii="Calibri" w:eastAsia="Times New Roman" w:hAnsi="Calibri" w:cs="Calibri"/>
                <w:b/>
                <w:bCs/>
                <w:i/>
                <w:iCs/>
                <w:color w:val="000000"/>
                <w:sz w:val="18"/>
                <w:szCs w:val="18"/>
                <w:lang w:eastAsia="en-IE"/>
              </w:rPr>
              <w:t>0</w:t>
            </w:r>
          </w:p>
        </w:tc>
        <w:tc>
          <w:tcPr>
            <w:tcW w:w="956" w:type="dxa"/>
            <w:tcBorders>
              <w:top w:val="nil"/>
              <w:left w:val="nil"/>
              <w:bottom w:val="nil"/>
              <w:right w:val="nil"/>
            </w:tcBorders>
            <w:shd w:val="clear" w:color="auto" w:fill="auto"/>
            <w:noWrap/>
            <w:vAlign w:val="center"/>
            <w:hideMark/>
          </w:tcPr>
          <w:p w14:paraId="720B99B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-7.753</w:t>
            </w:r>
          </w:p>
        </w:tc>
        <w:tc>
          <w:tcPr>
            <w:tcW w:w="954" w:type="dxa"/>
            <w:tcBorders>
              <w:top w:val="nil"/>
              <w:left w:val="nil"/>
              <w:bottom w:val="nil"/>
              <w:right w:val="nil"/>
            </w:tcBorders>
            <w:shd w:val="clear" w:color="auto" w:fill="auto"/>
            <w:noWrap/>
            <w:vAlign w:val="center"/>
            <w:hideMark/>
          </w:tcPr>
          <w:p w14:paraId="4214DFE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-3.089</w:t>
            </w:r>
          </w:p>
        </w:tc>
        <w:tc>
          <w:tcPr>
            <w:tcW w:w="939" w:type="dxa"/>
            <w:tcBorders>
              <w:top w:val="nil"/>
              <w:left w:val="nil"/>
              <w:bottom w:val="nil"/>
              <w:right w:val="nil"/>
            </w:tcBorders>
            <w:shd w:val="clear" w:color="auto" w:fill="auto"/>
            <w:noWrap/>
            <w:vAlign w:val="center"/>
            <w:hideMark/>
          </w:tcPr>
          <w:p w14:paraId="35DE0293" w14:textId="699F8A45"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-1.91</w:t>
            </w:r>
            <w:r w:rsidR="00BA4657">
              <w:rPr>
                <w:rFonts w:ascii="Calibri" w:eastAsia="Times New Roman" w:hAnsi="Calibri" w:cs="Calibri"/>
                <w:b/>
                <w:bCs/>
                <w:i/>
                <w:iCs/>
                <w:color w:val="000000"/>
                <w:sz w:val="18"/>
                <w:szCs w:val="18"/>
                <w:lang w:eastAsia="en-IE"/>
              </w:rPr>
              <w:t>0</w:t>
            </w:r>
          </w:p>
        </w:tc>
        <w:tc>
          <w:tcPr>
            <w:tcW w:w="994" w:type="dxa"/>
            <w:tcBorders>
              <w:top w:val="nil"/>
              <w:left w:val="nil"/>
              <w:bottom w:val="nil"/>
              <w:right w:val="nil"/>
            </w:tcBorders>
            <w:shd w:val="clear" w:color="auto" w:fill="auto"/>
            <w:noWrap/>
            <w:vAlign w:val="center"/>
            <w:hideMark/>
          </w:tcPr>
          <w:p w14:paraId="2115859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-3.051</w:t>
            </w:r>
          </w:p>
        </w:tc>
        <w:tc>
          <w:tcPr>
            <w:tcW w:w="944" w:type="dxa"/>
            <w:tcBorders>
              <w:top w:val="nil"/>
              <w:left w:val="nil"/>
              <w:bottom w:val="nil"/>
              <w:right w:val="single" w:sz="4" w:space="0" w:color="auto"/>
            </w:tcBorders>
            <w:shd w:val="clear" w:color="auto" w:fill="auto"/>
            <w:noWrap/>
            <w:vAlign w:val="center"/>
            <w:hideMark/>
          </w:tcPr>
          <w:p w14:paraId="51B2B09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-7.481</w:t>
            </w:r>
          </w:p>
        </w:tc>
      </w:tr>
      <w:tr w:rsidR="00ED02A4" w:rsidRPr="00AC0EE7" w14:paraId="5769D07E"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FD5293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Mauritius</w:t>
            </w:r>
          </w:p>
        </w:tc>
        <w:tc>
          <w:tcPr>
            <w:tcW w:w="934" w:type="dxa"/>
            <w:tcBorders>
              <w:top w:val="nil"/>
              <w:left w:val="nil"/>
              <w:bottom w:val="nil"/>
              <w:right w:val="nil"/>
            </w:tcBorders>
            <w:shd w:val="clear" w:color="auto" w:fill="auto"/>
            <w:noWrap/>
            <w:vAlign w:val="center"/>
            <w:hideMark/>
          </w:tcPr>
          <w:p w14:paraId="2F9ADCA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Mexico</w:t>
            </w:r>
          </w:p>
        </w:tc>
        <w:tc>
          <w:tcPr>
            <w:tcW w:w="960" w:type="dxa"/>
            <w:tcBorders>
              <w:top w:val="nil"/>
              <w:left w:val="nil"/>
              <w:bottom w:val="nil"/>
              <w:right w:val="nil"/>
            </w:tcBorders>
            <w:shd w:val="clear" w:color="auto" w:fill="auto"/>
            <w:noWrap/>
            <w:vAlign w:val="center"/>
            <w:hideMark/>
          </w:tcPr>
          <w:p w14:paraId="6310AD7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Montenegro</w:t>
            </w:r>
          </w:p>
        </w:tc>
        <w:tc>
          <w:tcPr>
            <w:tcW w:w="956" w:type="dxa"/>
            <w:tcBorders>
              <w:top w:val="nil"/>
              <w:left w:val="nil"/>
              <w:bottom w:val="nil"/>
              <w:right w:val="nil"/>
            </w:tcBorders>
            <w:shd w:val="clear" w:color="auto" w:fill="auto"/>
            <w:noWrap/>
            <w:vAlign w:val="center"/>
            <w:hideMark/>
          </w:tcPr>
          <w:p w14:paraId="11DAA4A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Morocco</w:t>
            </w:r>
          </w:p>
        </w:tc>
        <w:tc>
          <w:tcPr>
            <w:tcW w:w="954" w:type="dxa"/>
            <w:tcBorders>
              <w:top w:val="nil"/>
              <w:left w:val="nil"/>
              <w:bottom w:val="nil"/>
              <w:right w:val="nil"/>
            </w:tcBorders>
            <w:shd w:val="clear" w:color="auto" w:fill="auto"/>
            <w:noWrap/>
            <w:vAlign w:val="center"/>
            <w:hideMark/>
          </w:tcPr>
          <w:p w14:paraId="0BEBD4B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Namibia</w:t>
            </w:r>
          </w:p>
        </w:tc>
        <w:tc>
          <w:tcPr>
            <w:tcW w:w="939" w:type="dxa"/>
            <w:tcBorders>
              <w:top w:val="nil"/>
              <w:left w:val="nil"/>
              <w:bottom w:val="nil"/>
              <w:right w:val="nil"/>
            </w:tcBorders>
            <w:shd w:val="clear" w:color="auto" w:fill="auto"/>
            <w:noWrap/>
            <w:vAlign w:val="center"/>
            <w:hideMark/>
          </w:tcPr>
          <w:p w14:paraId="714C4AD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Netherlands</w:t>
            </w:r>
          </w:p>
        </w:tc>
        <w:tc>
          <w:tcPr>
            <w:tcW w:w="994" w:type="dxa"/>
            <w:tcBorders>
              <w:top w:val="nil"/>
              <w:left w:val="nil"/>
              <w:bottom w:val="nil"/>
              <w:right w:val="nil"/>
            </w:tcBorders>
            <w:shd w:val="clear" w:color="auto" w:fill="auto"/>
            <w:noWrap/>
            <w:vAlign w:val="center"/>
            <w:hideMark/>
          </w:tcPr>
          <w:p w14:paraId="16E01C8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New Zealand</w:t>
            </w:r>
          </w:p>
        </w:tc>
        <w:tc>
          <w:tcPr>
            <w:tcW w:w="944" w:type="dxa"/>
            <w:tcBorders>
              <w:top w:val="nil"/>
              <w:left w:val="nil"/>
              <w:bottom w:val="nil"/>
              <w:right w:val="single" w:sz="4" w:space="0" w:color="auto"/>
            </w:tcBorders>
            <w:shd w:val="clear" w:color="auto" w:fill="auto"/>
            <w:noWrap/>
            <w:vAlign w:val="center"/>
            <w:hideMark/>
          </w:tcPr>
          <w:p w14:paraId="2EB4569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Nigeria</w:t>
            </w:r>
          </w:p>
        </w:tc>
      </w:tr>
      <w:tr w:rsidR="00ED02A4" w:rsidRPr="00AC0EE7" w14:paraId="3C45EE4B"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170471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34" w:type="dxa"/>
            <w:tcBorders>
              <w:top w:val="nil"/>
              <w:left w:val="nil"/>
              <w:bottom w:val="nil"/>
              <w:right w:val="nil"/>
            </w:tcBorders>
            <w:shd w:val="clear" w:color="auto" w:fill="auto"/>
            <w:noWrap/>
            <w:vAlign w:val="center"/>
            <w:hideMark/>
          </w:tcPr>
          <w:p w14:paraId="1B651F7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-3.967</w:t>
            </w:r>
          </w:p>
        </w:tc>
        <w:tc>
          <w:tcPr>
            <w:tcW w:w="960" w:type="dxa"/>
            <w:tcBorders>
              <w:top w:val="nil"/>
              <w:left w:val="nil"/>
              <w:bottom w:val="nil"/>
              <w:right w:val="nil"/>
            </w:tcBorders>
            <w:shd w:val="clear" w:color="auto" w:fill="auto"/>
            <w:noWrap/>
            <w:vAlign w:val="center"/>
            <w:hideMark/>
          </w:tcPr>
          <w:p w14:paraId="117502B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-0.012</w:t>
            </w:r>
          </w:p>
        </w:tc>
        <w:tc>
          <w:tcPr>
            <w:tcW w:w="956" w:type="dxa"/>
            <w:tcBorders>
              <w:top w:val="nil"/>
              <w:left w:val="nil"/>
              <w:bottom w:val="nil"/>
              <w:right w:val="nil"/>
            </w:tcBorders>
            <w:shd w:val="clear" w:color="auto" w:fill="auto"/>
            <w:noWrap/>
            <w:vAlign w:val="center"/>
            <w:hideMark/>
          </w:tcPr>
          <w:p w14:paraId="50F5918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-2.498</w:t>
            </w:r>
          </w:p>
        </w:tc>
        <w:tc>
          <w:tcPr>
            <w:tcW w:w="954" w:type="dxa"/>
            <w:tcBorders>
              <w:top w:val="nil"/>
              <w:left w:val="nil"/>
              <w:bottom w:val="nil"/>
              <w:right w:val="nil"/>
            </w:tcBorders>
            <w:shd w:val="clear" w:color="auto" w:fill="auto"/>
            <w:noWrap/>
            <w:vAlign w:val="center"/>
            <w:hideMark/>
          </w:tcPr>
          <w:p w14:paraId="77DBBAB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-0.759</w:t>
            </w:r>
          </w:p>
        </w:tc>
        <w:tc>
          <w:tcPr>
            <w:tcW w:w="939" w:type="dxa"/>
            <w:tcBorders>
              <w:top w:val="nil"/>
              <w:left w:val="nil"/>
              <w:bottom w:val="nil"/>
              <w:right w:val="nil"/>
            </w:tcBorders>
            <w:shd w:val="clear" w:color="auto" w:fill="auto"/>
            <w:noWrap/>
            <w:vAlign w:val="center"/>
            <w:hideMark/>
          </w:tcPr>
          <w:p w14:paraId="439792F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-3.033</w:t>
            </w:r>
          </w:p>
        </w:tc>
        <w:tc>
          <w:tcPr>
            <w:tcW w:w="994" w:type="dxa"/>
            <w:tcBorders>
              <w:top w:val="nil"/>
              <w:left w:val="nil"/>
              <w:bottom w:val="nil"/>
              <w:right w:val="nil"/>
            </w:tcBorders>
            <w:shd w:val="clear" w:color="auto" w:fill="auto"/>
            <w:noWrap/>
            <w:vAlign w:val="center"/>
            <w:hideMark/>
          </w:tcPr>
          <w:p w14:paraId="28EDF15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-4.317</w:t>
            </w:r>
          </w:p>
        </w:tc>
        <w:tc>
          <w:tcPr>
            <w:tcW w:w="944" w:type="dxa"/>
            <w:tcBorders>
              <w:top w:val="nil"/>
              <w:left w:val="nil"/>
              <w:bottom w:val="nil"/>
              <w:right w:val="single" w:sz="4" w:space="0" w:color="auto"/>
            </w:tcBorders>
            <w:shd w:val="clear" w:color="auto" w:fill="auto"/>
            <w:noWrap/>
            <w:vAlign w:val="center"/>
            <w:hideMark/>
          </w:tcPr>
          <w:p w14:paraId="4B4F4CE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-0.082</w:t>
            </w:r>
          </w:p>
        </w:tc>
      </w:tr>
      <w:tr w:rsidR="00ED02A4" w:rsidRPr="00AC0EE7" w14:paraId="0B9BCCB3"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1D38BC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34" w:type="dxa"/>
            <w:tcBorders>
              <w:top w:val="nil"/>
              <w:left w:val="nil"/>
              <w:bottom w:val="nil"/>
              <w:right w:val="nil"/>
            </w:tcBorders>
            <w:shd w:val="clear" w:color="auto" w:fill="auto"/>
            <w:noWrap/>
            <w:vAlign w:val="center"/>
            <w:hideMark/>
          </w:tcPr>
          <w:p w14:paraId="0BA778DE"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-6.657</w:t>
            </w:r>
          </w:p>
        </w:tc>
        <w:tc>
          <w:tcPr>
            <w:tcW w:w="960" w:type="dxa"/>
            <w:tcBorders>
              <w:top w:val="nil"/>
              <w:left w:val="nil"/>
              <w:bottom w:val="nil"/>
              <w:right w:val="nil"/>
            </w:tcBorders>
            <w:shd w:val="clear" w:color="auto" w:fill="auto"/>
            <w:noWrap/>
            <w:vAlign w:val="center"/>
            <w:hideMark/>
          </w:tcPr>
          <w:p w14:paraId="32D4890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-0.073</w:t>
            </w:r>
          </w:p>
        </w:tc>
        <w:tc>
          <w:tcPr>
            <w:tcW w:w="956" w:type="dxa"/>
            <w:tcBorders>
              <w:top w:val="nil"/>
              <w:left w:val="nil"/>
              <w:bottom w:val="nil"/>
              <w:right w:val="nil"/>
            </w:tcBorders>
            <w:shd w:val="clear" w:color="auto" w:fill="auto"/>
            <w:noWrap/>
            <w:vAlign w:val="center"/>
            <w:hideMark/>
          </w:tcPr>
          <w:p w14:paraId="1E98D99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-4.003</w:t>
            </w:r>
          </w:p>
        </w:tc>
        <w:tc>
          <w:tcPr>
            <w:tcW w:w="954" w:type="dxa"/>
            <w:tcBorders>
              <w:top w:val="nil"/>
              <w:left w:val="nil"/>
              <w:bottom w:val="nil"/>
              <w:right w:val="nil"/>
            </w:tcBorders>
            <w:shd w:val="clear" w:color="auto" w:fill="auto"/>
            <w:noWrap/>
            <w:vAlign w:val="center"/>
            <w:hideMark/>
          </w:tcPr>
          <w:p w14:paraId="68E00A6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-0.507</w:t>
            </w:r>
          </w:p>
        </w:tc>
        <w:tc>
          <w:tcPr>
            <w:tcW w:w="939" w:type="dxa"/>
            <w:tcBorders>
              <w:top w:val="nil"/>
              <w:left w:val="nil"/>
              <w:bottom w:val="nil"/>
              <w:right w:val="nil"/>
            </w:tcBorders>
            <w:shd w:val="clear" w:color="auto" w:fill="auto"/>
            <w:noWrap/>
            <w:vAlign w:val="center"/>
            <w:hideMark/>
          </w:tcPr>
          <w:p w14:paraId="75FB48F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-5.889</w:t>
            </w:r>
          </w:p>
        </w:tc>
        <w:tc>
          <w:tcPr>
            <w:tcW w:w="994" w:type="dxa"/>
            <w:tcBorders>
              <w:top w:val="nil"/>
              <w:left w:val="nil"/>
              <w:bottom w:val="nil"/>
              <w:right w:val="nil"/>
            </w:tcBorders>
            <w:shd w:val="clear" w:color="auto" w:fill="auto"/>
            <w:noWrap/>
            <w:vAlign w:val="center"/>
            <w:hideMark/>
          </w:tcPr>
          <w:p w14:paraId="442AECC5"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-4.564</w:t>
            </w:r>
          </w:p>
        </w:tc>
        <w:tc>
          <w:tcPr>
            <w:tcW w:w="944" w:type="dxa"/>
            <w:tcBorders>
              <w:top w:val="nil"/>
              <w:left w:val="nil"/>
              <w:bottom w:val="nil"/>
              <w:right w:val="single" w:sz="4" w:space="0" w:color="auto"/>
            </w:tcBorders>
            <w:shd w:val="clear" w:color="auto" w:fill="auto"/>
            <w:noWrap/>
            <w:vAlign w:val="center"/>
            <w:hideMark/>
          </w:tcPr>
          <w:p w14:paraId="3DCA0E85"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-1.352</w:t>
            </w:r>
          </w:p>
        </w:tc>
      </w:tr>
      <w:tr w:rsidR="00ED02A4" w:rsidRPr="00AC0EE7" w14:paraId="53CC736F"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308B45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Norway</w:t>
            </w:r>
          </w:p>
        </w:tc>
        <w:tc>
          <w:tcPr>
            <w:tcW w:w="934" w:type="dxa"/>
            <w:tcBorders>
              <w:top w:val="nil"/>
              <w:left w:val="nil"/>
              <w:bottom w:val="nil"/>
              <w:right w:val="nil"/>
            </w:tcBorders>
            <w:shd w:val="clear" w:color="auto" w:fill="auto"/>
            <w:noWrap/>
            <w:vAlign w:val="center"/>
            <w:hideMark/>
          </w:tcPr>
          <w:p w14:paraId="2FFB21C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Oman</w:t>
            </w:r>
          </w:p>
        </w:tc>
        <w:tc>
          <w:tcPr>
            <w:tcW w:w="960" w:type="dxa"/>
            <w:tcBorders>
              <w:top w:val="nil"/>
              <w:left w:val="nil"/>
              <w:bottom w:val="nil"/>
              <w:right w:val="nil"/>
            </w:tcBorders>
            <w:shd w:val="clear" w:color="auto" w:fill="auto"/>
            <w:noWrap/>
            <w:vAlign w:val="center"/>
            <w:hideMark/>
          </w:tcPr>
          <w:p w14:paraId="504AD32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Pakistan</w:t>
            </w:r>
          </w:p>
        </w:tc>
        <w:tc>
          <w:tcPr>
            <w:tcW w:w="956" w:type="dxa"/>
            <w:tcBorders>
              <w:top w:val="nil"/>
              <w:left w:val="nil"/>
              <w:bottom w:val="nil"/>
              <w:right w:val="nil"/>
            </w:tcBorders>
            <w:shd w:val="clear" w:color="auto" w:fill="auto"/>
            <w:noWrap/>
            <w:vAlign w:val="center"/>
            <w:hideMark/>
          </w:tcPr>
          <w:p w14:paraId="6192C06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Panama</w:t>
            </w:r>
          </w:p>
        </w:tc>
        <w:tc>
          <w:tcPr>
            <w:tcW w:w="954" w:type="dxa"/>
            <w:tcBorders>
              <w:top w:val="nil"/>
              <w:left w:val="nil"/>
              <w:bottom w:val="nil"/>
              <w:right w:val="nil"/>
            </w:tcBorders>
            <w:shd w:val="clear" w:color="auto" w:fill="auto"/>
            <w:noWrap/>
            <w:vAlign w:val="center"/>
            <w:hideMark/>
          </w:tcPr>
          <w:p w14:paraId="55EB1AD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Peru</w:t>
            </w:r>
          </w:p>
        </w:tc>
        <w:tc>
          <w:tcPr>
            <w:tcW w:w="939" w:type="dxa"/>
            <w:tcBorders>
              <w:top w:val="nil"/>
              <w:left w:val="nil"/>
              <w:bottom w:val="nil"/>
              <w:right w:val="nil"/>
            </w:tcBorders>
            <w:shd w:val="clear" w:color="auto" w:fill="auto"/>
            <w:noWrap/>
            <w:vAlign w:val="center"/>
            <w:hideMark/>
          </w:tcPr>
          <w:p w14:paraId="3771562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Philippines</w:t>
            </w:r>
          </w:p>
        </w:tc>
        <w:tc>
          <w:tcPr>
            <w:tcW w:w="994" w:type="dxa"/>
            <w:tcBorders>
              <w:top w:val="nil"/>
              <w:left w:val="nil"/>
              <w:bottom w:val="nil"/>
              <w:right w:val="nil"/>
            </w:tcBorders>
            <w:shd w:val="clear" w:color="auto" w:fill="auto"/>
            <w:noWrap/>
            <w:vAlign w:val="center"/>
            <w:hideMark/>
          </w:tcPr>
          <w:p w14:paraId="12035B9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Poland</w:t>
            </w:r>
          </w:p>
        </w:tc>
        <w:tc>
          <w:tcPr>
            <w:tcW w:w="944" w:type="dxa"/>
            <w:tcBorders>
              <w:top w:val="nil"/>
              <w:left w:val="nil"/>
              <w:bottom w:val="nil"/>
              <w:right w:val="single" w:sz="4" w:space="0" w:color="auto"/>
            </w:tcBorders>
            <w:shd w:val="clear" w:color="auto" w:fill="auto"/>
            <w:noWrap/>
            <w:vAlign w:val="center"/>
            <w:hideMark/>
          </w:tcPr>
          <w:p w14:paraId="25DE14B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Portugal</w:t>
            </w:r>
          </w:p>
        </w:tc>
      </w:tr>
      <w:tr w:rsidR="00ED02A4" w:rsidRPr="00AC0EE7" w14:paraId="0008810B"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5755EC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-4.766</w:t>
            </w:r>
          </w:p>
        </w:tc>
        <w:tc>
          <w:tcPr>
            <w:tcW w:w="934" w:type="dxa"/>
            <w:tcBorders>
              <w:top w:val="nil"/>
              <w:left w:val="nil"/>
              <w:bottom w:val="nil"/>
              <w:right w:val="nil"/>
            </w:tcBorders>
            <w:shd w:val="clear" w:color="auto" w:fill="auto"/>
            <w:noWrap/>
            <w:vAlign w:val="center"/>
            <w:hideMark/>
          </w:tcPr>
          <w:p w14:paraId="62C3243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-0.419</w:t>
            </w:r>
          </w:p>
        </w:tc>
        <w:tc>
          <w:tcPr>
            <w:tcW w:w="960" w:type="dxa"/>
            <w:tcBorders>
              <w:top w:val="nil"/>
              <w:left w:val="nil"/>
              <w:bottom w:val="nil"/>
              <w:right w:val="nil"/>
            </w:tcBorders>
            <w:shd w:val="clear" w:color="auto" w:fill="auto"/>
            <w:noWrap/>
            <w:vAlign w:val="center"/>
            <w:hideMark/>
          </w:tcPr>
          <w:p w14:paraId="7350EC8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-0.004</w:t>
            </w:r>
          </w:p>
        </w:tc>
        <w:tc>
          <w:tcPr>
            <w:tcW w:w="956" w:type="dxa"/>
            <w:tcBorders>
              <w:top w:val="nil"/>
              <w:left w:val="nil"/>
              <w:bottom w:val="nil"/>
              <w:right w:val="nil"/>
            </w:tcBorders>
            <w:shd w:val="clear" w:color="auto" w:fill="auto"/>
            <w:noWrap/>
            <w:vAlign w:val="center"/>
            <w:hideMark/>
          </w:tcPr>
          <w:p w14:paraId="028DF63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0.078</w:t>
            </w:r>
          </w:p>
        </w:tc>
        <w:tc>
          <w:tcPr>
            <w:tcW w:w="954" w:type="dxa"/>
            <w:tcBorders>
              <w:top w:val="nil"/>
              <w:left w:val="nil"/>
              <w:bottom w:val="nil"/>
              <w:right w:val="nil"/>
            </w:tcBorders>
            <w:shd w:val="clear" w:color="auto" w:fill="auto"/>
            <w:noWrap/>
            <w:vAlign w:val="center"/>
            <w:hideMark/>
          </w:tcPr>
          <w:p w14:paraId="1B2C793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-2.677</w:t>
            </w:r>
          </w:p>
        </w:tc>
        <w:tc>
          <w:tcPr>
            <w:tcW w:w="939" w:type="dxa"/>
            <w:tcBorders>
              <w:top w:val="nil"/>
              <w:left w:val="nil"/>
              <w:bottom w:val="nil"/>
              <w:right w:val="nil"/>
            </w:tcBorders>
            <w:shd w:val="clear" w:color="auto" w:fill="auto"/>
            <w:noWrap/>
            <w:vAlign w:val="center"/>
            <w:hideMark/>
          </w:tcPr>
          <w:p w14:paraId="14334B3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-0.792</w:t>
            </w:r>
          </w:p>
        </w:tc>
        <w:tc>
          <w:tcPr>
            <w:tcW w:w="994" w:type="dxa"/>
            <w:tcBorders>
              <w:top w:val="nil"/>
              <w:left w:val="nil"/>
              <w:bottom w:val="nil"/>
              <w:right w:val="nil"/>
            </w:tcBorders>
            <w:shd w:val="clear" w:color="auto" w:fill="auto"/>
            <w:noWrap/>
            <w:vAlign w:val="center"/>
            <w:hideMark/>
          </w:tcPr>
          <w:p w14:paraId="0EDA313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-6.102</w:t>
            </w:r>
          </w:p>
        </w:tc>
        <w:tc>
          <w:tcPr>
            <w:tcW w:w="944" w:type="dxa"/>
            <w:tcBorders>
              <w:top w:val="nil"/>
              <w:left w:val="nil"/>
              <w:bottom w:val="nil"/>
              <w:right w:val="single" w:sz="4" w:space="0" w:color="auto"/>
            </w:tcBorders>
            <w:shd w:val="clear" w:color="auto" w:fill="auto"/>
            <w:noWrap/>
            <w:vAlign w:val="center"/>
            <w:hideMark/>
          </w:tcPr>
          <w:p w14:paraId="639FAEF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-3.158</w:t>
            </w:r>
          </w:p>
        </w:tc>
      </w:tr>
      <w:tr w:rsidR="00ED02A4" w:rsidRPr="00AC0EE7" w14:paraId="2A9B21A7"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14B3CC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-6.469</w:t>
            </w:r>
          </w:p>
        </w:tc>
        <w:tc>
          <w:tcPr>
            <w:tcW w:w="934" w:type="dxa"/>
            <w:tcBorders>
              <w:top w:val="nil"/>
              <w:left w:val="nil"/>
              <w:bottom w:val="nil"/>
              <w:right w:val="nil"/>
            </w:tcBorders>
            <w:shd w:val="clear" w:color="auto" w:fill="auto"/>
            <w:noWrap/>
            <w:vAlign w:val="center"/>
            <w:hideMark/>
          </w:tcPr>
          <w:p w14:paraId="1E6706C5"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-1.564</w:t>
            </w:r>
          </w:p>
        </w:tc>
        <w:tc>
          <w:tcPr>
            <w:tcW w:w="960" w:type="dxa"/>
            <w:tcBorders>
              <w:top w:val="nil"/>
              <w:left w:val="nil"/>
              <w:bottom w:val="nil"/>
              <w:right w:val="nil"/>
            </w:tcBorders>
            <w:shd w:val="clear" w:color="auto" w:fill="auto"/>
            <w:noWrap/>
            <w:vAlign w:val="center"/>
            <w:hideMark/>
          </w:tcPr>
          <w:p w14:paraId="717B735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-0.049</w:t>
            </w:r>
          </w:p>
        </w:tc>
        <w:tc>
          <w:tcPr>
            <w:tcW w:w="956" w:type="dxa"/>
            <w:tcBorders>
              <w:top w:val="nil"/>
              <w:left w:val="nil"/>
              <w:bottom w:val="nil"/>
              <w:right w:val="nil"/>
            </w:tcBorders>
            <w:shd w:val="clear" w:color="auto" w:fill="auto"/>
            <w:noWrap/>
            <w:vAlign w:val="center"/>
            <w:hideMark/>
          </w:tcPr>
          <w:p w14:paraId="28044D76" w14:textId="6A9FB97C"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2.69</w:t>
            </w:r>
            <w:r w:rsidR="00BA4657">
              <w:rPr>
                <w:rFonts w:ascii="Calibri" w:eastAsia="Times New Roman" w:hAnsi="Calibri" w:cs="Calibri"/>
                <w:b/>
                <w:bCs/>
                <w:i/>
                <w:iCs/>
                <w:color w:val="000000"/>
                <w:sz w:val="18"/>
                <w:szCs w:val="18"/>
                <w:lang w:eastAsia="en-IE"/>
              </w:rPr>
              <w:t>0</w:t>
            </w:r>
          </w:p>
        </w:tc>
        <w:tc>
          <w:tcPr>
            <w:tcW w:w="954" w:type="dxa"/>
            <w:tcBorders>
              <w:top w:val="nil"/>
              <w:left w:val="nil"/>
              <w:bottom w:val="nil"/>
              <w:right w:val="nil"/>
            </w:tcBorders>
            <w:shd w:val="clear" w:color="auto" w:fill="auto"/>
            <w:noWrap/>
            <w:vAlign w:val="center"/>
            <w:hideMark/>
          </w:tcPr>
          <w:p w14:paraId="481C699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-2.823</w:t>
            </w:r>
          </w:p>
        </w:tc>
        <w:tc>
          <w:tcPr>
            <w:tcW w:w="939" w:type="dxa"/>
            <w:tcBorders>
              <w:top w:val="nil"/>
              <w:left w:val="nil"/>
              <w:bottom w:val="nil"/>
              <w:right w:val="nil"/>
            </w:tcBorders>
            <w:shd w:val="clear" w:color="auto" w:fill="auto"/>
            <w:noWrap/>
            <w:vAlign w:val="center"/>
            <w:hideMark/>
          </w:tcPr>
          <w:p w14:paraId="050B3813" w14:textId="16FA39BB"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-0.92</w:t>
            </w:r>
            <w:r w:rsidR="00BA4657">
              <w:rPr>
                <w:rFonts w:ascii="Calibri" w:eastAsia="Times New Roman" w:hAnsi="Calibri" w:cs="Calibri"/>
                <w:b/>
                <w:bCs/>
                <w:i/>
                <w:iCs/>
                <w:color w:val="000000"/>
                <w:sz w:val="18"/>
                <w:szCs w:val="18"/>
                <w:lang w:eastAsia="en-IE"/>
              </w:rPr>
              <w:t>0</w:t>
            </w:r>
          </w:p>
        </w:tc>
        <w:tc>
          <w:tcPr>
            <w:tcW w:w="994" w:type="dxa"/>
            <w:tcBorders>
              <w:top w:val="nil"/>
              <w:left w:val="nil"/>
              <w:bottom w:val="nil"/>
              <w:right w:val="nil"/>
            </w:tcBorders>
            <w:shd w:val="clear" w:color="auto" w:fill="auto"/>
            <w:noWrap/>
            <w:vAlign w:val="center"/>
            <w:hideMark/>
          </w:tcPr>
          <w:p w14:paraId="1A72D43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-8.113</w:t>
            </w:r>
          </w:p>
        </w:tc>
        <w:tc>
          <w:tcPr>
            <w:tcW w:w="944" w:type="dxa"/>
            <w:tcBorders>
              <w:top w:val="nil"/>
              <w:left w:val="nil"/>
              <w:bottom w:val="nil"/>
              <w:right w:val="single" w:sz="4" w:space="0" w:color="auto"/>
            </w:tcBorders>
            <w:shd w:val="clear" w:color="auto" w:fill="auto"/>
            <w:noWrap/>
            <w:vAlign w:val="center"/>
            <w:hideMark/>
          </w:tcPr>
          <w:p w14:paraId="42434AD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-2.662</w:t>
            </w:r>
          </w:p>
        </w:tc>
      </w:tr>
      <w:tr w:rsidR="00ED02A4" w:rsidRPr="00AC0EE7" w14:paraId="47E33336"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C66CDB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Qatar</w:t>
            </w:r>
          </w:p>
        </w:tc>
        <w:tc>
          <w:tcPr>
            <w:tcW w:w="934" w:type="dxa"/>
            <w:tcBorders>
              <w:top w:val="nil"/>
              <w:left w:val="nil"/>
              <w:bottom w:val="nil"/>
              <w:right w:val="nil"/>
            </w:tcBorders>
            <w:shd w:val="clear" w:color="auto" w:fill="auto"/>
            <w:noWrap/>
            <w:vAlign w:val="center"/>
            <w:hideMark/>
          </w:tcPr>
          <w:p w14:paraId="2EEE113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Romania</w:t>
            </w:r>
          </w:p>
        </w:tc>
        <w:tc>
          <w:tcPr>
            <w:tcW w:w="960" w:type="dxa"/>
            <w:tcBorders>
              <w:top w:val="nil"/>
              <w:left w:val="nil"/>
              <w:bottom w:val="nil"/>
              <w:right w:val="nil"/>
            </w:tcBorders>
            <w:shd w:val="clear" w:color="auto" w:fill="auto"/>
            <w:noWrap/>
            <w:vAlign w:val="center"/>
            <w:hideMark/>
          </w:tcPr>
          <w:p w14:paraId="7E162B0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Russia</w:t>
            </w:r>
          </w:p>
        </w:tc>
        <w:tc>
          <w:tcPr>
            <w:tcW w:w="956" w:type="dxa"/>
            <w:tcBorders>
              <w:top w:val="nil"/>
              <w:left w:val="nil"/>
              <w:bottom w:val="nil"/>
              <w:right w:val="nil"/>
            </w:tcBorders>
            <w:shd w:val="clear" w:color="auto" w:fill="auto"/>
            <w:noWrap/>
            <w:vAlign w:val="center"/>
            <w:hideMark/>
          </w:tcPr>
          <w:p w14:paraId="337D045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Saudi Arabia</w:t>
            </w:r>
          </w:p>
        </w:tc>
        <w:tc>
          <w:tcPr>
            <w:tcW w:w="954" w:type="dxa"/>
            <w:tcBorders>
              <w:top w:val="nil"/>
              <w:left w:val="nil"/>
              <w:bottom w:val="nil"/>
              <w:right w:val="nil"/>
            </w:tcBorders>
            <w:shd w:val="clear" w:color="auto" w:fill="auto"/>
            <w:noWrap/>
            <w:vAlign w:val="center"/>
            <w:hideMark/>
          </w:tcPr>
          <w:p w14:paraId="5E1CF10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Serbia</w:t>
            </w:r>
          </w:p>
        </w:tc>
        <w:tc>
          <w:tcPr>
            <w:tcW w:w="939" w:type="dxa"/>
            <w:tcBorders>
              <w:top w:val="nil"/>
              <w:left w:val="nil"/>
              <w:bottom w:val="nil"/>
              <w:right w:val="nil"/>
            </w:tcBorders>
            <w:shd w:val="clear" w:color="auto" w:fill="auto"/>
            <w:noWrap/>
            <w:vAlign w:val="center"/>
            <w:hideMark/>
          </w:tcPr>
          <w:p w14:paraId="175838F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Singapore</w:t>
            </w:r>
          </w:p>
        </w:tc>
        <w:tc>
          <w:tcPr>
            <w:tcW w:w="994" w:type="dxa"/>
            <w:tcBorders>
              <w:top w:val="nil"/>
              <w:left w:val="nil"/>
              <w:bottom w:val="nil"/>
              <w:right w:val="nil"/>
            </w:tcBorders>
            <w:shd w:val="clear" w:color="auto" w:fill="auto"/>
            <w:noWrap/>
            <w:vAlign w:val="center"/>
            <w:hideMark/>
          </w:tcPr>
          <w:p w14:paraId="2E8E533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Slovakia</w:t>
            </w:r>
          </w:p>
        </w:tc>
        <w:tc>
          <w:tcPr>
            <w:tcW w:w="944" w:type="dxa"/>
            <w:tcBorders>
              <w:top w:val="nil"/>
              <w:left w:val="nil"/>
              <w:bottom w:val="nil"/>
              <w:right w:val="single" w:sz="4" w:space="0" w:color="auto"/>
            </w:tcBorders>
            <w:shd w:val="clear" w:color="auto" w:fill="auto"/>
            <w:noWrap/>
            <w:vAlign w:val="center"/>
            <w:hideMark/>
          </w:tcPr>
          <w:p w14:paraId="251C408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Slovenia</w:t>
            </w:r>
          </w:p>
        </w:tc>
      </w:tr>
      <w:tr w:rsidR="00ED02A4" w:rsidRPr="00AC0EE7" w14:paraId="71FED13E"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23067B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-0.483</w:t>
            </w:r>
          </w:p>
        </w:tc>
        <w:tc>
          <w:tcPr>
            <w:tcW w:w="934" w:type="dxa"/>
            <w:tcBorders>
              <w:top w:val="nil"/>
              <w:left w:val="nil"/>
              <w:bottom w:val="nil"/>
              <w:right w:val="nil"/>
            </w:tcBorders>
            <w:shd w:val="clear" w:color="auto" w:fill="auto"/>
            <w:noWrap/>
            <w:vAlign w:val="center"/>
            <w:hideMark/>
          </w:tcPr>
          <w:p w14:paraId="4608EF0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-5.966</w:t>
            </w:r>
          </w:p>
        </w:tc>
        <w:tc>
          <w:tcPr>
            <w:tcW w:w="960" w:type="dxa"/>
            <w:tcBorders>
              <w:top w:val="nil"/>
              <w:left w:val="nil"/>
              <w:bottom w:val="nil"/>
              <w:right w:val="nil"/>
            </w:tcBorders>
            <w:shd w:val="clear" w:color="auto" w:fill="auto"/>
            <w:noWrap/>
            <w:vAlign w:val="center"/>
            <w:hideMark/>
          </w:tcPr>
          <w:p w14:paraId="5FC6443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-5.296</w:t>
            </w:r>
          </w:p>
        </w:tc>
        <w:tc>
          <w:tcPr>
            <w:tcW w:w="956" w:type="dxa"/>
            <w:tcBorders>
              <w:top w:val="nil"/>
              <w:left w:val="nil"/>
              <w:bottom w:val="nil"/>
              <w:right w:val="nil"/>
            </w:tcBorders>
            <w:shd w:val="clear" w:color="auto" w:fill="auto"/>
            <w:noWrap/>
            <w:vAlign w:val="center"/>
            <w:hideMark/>
          </w:tcPr>
          <w:p w14:paraId="5433008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-0.918</w:t>
            </w:r>
          </w:p>
        </w:tc>
        <w:tc>
          <w:tcPr>
            <w:tcW w:w="954" w:type="dxa"/>
            <w:tcBorders>
              <w:top w:val="nil"/>
              <w:left w:val="nil"/>
              <w:bottom w:val="nil"/>
              <w:right w:val="nil"/>
            </w:tcBorders>
            <w:shd w:val="clear" w:color="auto" w:fill="auto"/>
            <w:noWrap/>
            <w:vAlign w:val="center"/>
            <w:hideMark/>
          </w:tcPr>
          <w:p w14:paraId="43A887D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-3.906</w:t>
            </w:r>
          </w:p>
        </w:tc>
        <w:tc>
          <w:tcPr>
            <w:tcW w:w="939" w:type="dxa"/>
            <w:tcBorders>
              <w:top w:val="nil"/>
              <w:left w:val="nil"/>
              <w:bottom w:val="nil"/>
              <w:right w:val="nil"/>
            </w:tcBorders>
            <w:shd w:val="clear" w:color="auto" w:fill="auto"/>
            <w:noWrap/>
            <w:vAlign w:val="center"/>
            <w:hideMark/>
          </w:tcPr>
          <w:p w14:paraId="336F6D6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-2.685</w:t>
            </w:r>
          </w:p>
        </w:tc>
        <w:tc>
          <w:tcPr>
            <w:tcW w:w="994" w:type="dxa"/>
            <w:tcBorders>
              <w:top w:val="nil"/>
              <w:left w:val="nil"/>
              <w:bottom w:val="nil"/>
              <w:right w:val="nil"/>
            </w:tcBorders>
            <w:shd w:val="clear" w:color="auto" w:fill="auto"/>
            <w:noWrap/>
            <w:vAlign w:val="center"/>
            <w:hideMark/>
          </w:tcPr>
          <w:p w14:paraId="54C4509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-1.343</w:t>
            </w:r>
          </w:p>
        </w:tc>
        <w:tc>
          <w:tcPr>
            <w:tcW w:w="944" w:type="dxa"/>
            <w:tcBorders>
              <w:top w:val="nil"/>
              <w:left w:val="nil"/>
              <w:bottom w:val="nil"/>
              <w:right w:val="single" w:sz="4" w:space="0" w:color="auto"/>
            </w:tcBorders>
            <w:shd w:val="clear" w:color="auto" w:fill="auto"/>
            <w:noWrap/>
            <w:vAlign w:val="center"/>
            <w:hideMark/>
          </w:tcPr>
          <w:p w14:paraId="0A54CB1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8.476</w:t>
            </w:r>
          </w:p>
        </w:tc>
      </w:tr>
      <w:tr w:rsidR="00ED02A4" w:rsidRPr="00AC0EE7" w14:paraId="79F2E31F"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7AE2CB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-1.052</w:t>
            </w:r>
          </w:p>
        </w:tc>
        <w:tc>
          <w:tcPr>
            <w:tcW w:w="934" w:type="dxa"/>
            <w:tcBorders>
              <w:top w:val="nil"/>
              <w:left w:val="nil"/>
              <w:bottom w:val="nil"/>
              <w:right w:val="nil"/>
            </w:tcBorders>
            <w:shd w:val="clear" w:color="auto" w:fill="auto"/>
            <w:noWrap/>
            <w:vAlign w:val="center"/>
            <w:hideMark/>
          </w:tcPr>
          <w:p w14:paraId="4FF61F4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-8.481</w:t>
            </w:r>
          </w:p>
        </w:tc>
        <w:tc>
          <w:tcPr>
            <w:tcW w:w="960" w:type="dxa"/>
            <w:tcBorders>
              <w:top w:val="nil"/>
              <w:left w:val="nil"/>
              <w:bottom w:val="nil"/>
              <w:right w:val="nil"/>
            </w:tcBorders>
            <w:shd w:val="clear" w:color="auto" w:fill="auto"/>
            <w:noWrap/>
            <w:vAlign w:val="center"/>
            <w:hideMark/>
          </w:tcPr>
          <w:p w14:paraId="3019D1F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-4.552</w:t>
            </w:r>
          </w:p>
        </w:tc>
        <w:tc>
          <w:tcPr>
            <w:tcW w:w="956" w:type="dxa"/>
            <w:tcBorders>
              <w:top w:val="nil"/>
              <w:left w:val="nil"/>
              <w:bottom w:val="nil"/>
              <w:right w:val="nil"/>
            </w:tcBorders>
            <w:shd w:val="clear" w:color="auto" w:fill="auto"/>
            <w:noWrap/>
            <w:vAlign w:val="center"/>
            <w:hideMark/>
          </w:tcPr>
          <w:p w14:paraId="6999946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-1.779</w:t>
            </w:r>
          </w:p>
        </w:tc>
        <w:tc>
          <w:tcPr>
            <w:tcW w:w="954" w:type="dxa"/>
            <w:tcBorders>
              <w:top w:val="nil"/>
              <w:left w:val="nil"/>
              <w:bottom w:val="nil"/>
              <w:right w:val="nil"/>
            </w:tcBorders>
            <w:shd w:val="clear" w:color="auto" w:fill="auto"/>
            <w:noWrap/>
            <w:vAlign w:val="center"/>
            <w:hideMark/>
          </w:tcPr>
          <w:p w14:paraId="43DFF84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-2.089</w:t>
            </w:r>
          </w:p>
        </w:tc>
        <w:tc>
          <w:tcPr>
            <w:tcW w:w="939" w:type="dxa"/>
            <w:tcBorders>
              <w:top w:val="nil"/>
              <w:left w:val="nil"/>
              <w:bottom w:val="nil"/>
              <w:right w:val="nil"/>
            </w:tcBorders>
            <w:shd w:val="clear" w:color="auto" w:fill="auto"/>
            <w:noWrap/>
            <w:vAlign w:val="center"/>
            <w:hideMark/>
          </w:tcPr>
          <w:p w14:paraId="0245B8F5"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-3.662</w:t>
            </w:r>
          </w:p>
        </w:tc>
        <w:tc>
          <w:tcPr>
            <w:tcW w:w="994" w:type="dxa"/>
            <w:tcBorders>
              <w:top w:val="nil"/>
              <w:left w:val="nil"/>
              <w:bottom w:val="nil"/>
              <w:right w:val="nil"/>
            </w:tcBorders>
            <w:shd w:val="clear" w:color="auto" w:fill="auto"/>
            <w:noWrap/>
            <w:vAlign w:val="center"/>
            <w:hideMark/>
          </w:tcPr>
          <w:p w14:paraId="47D542B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-2.823</w:t>
            </w:r>
          </w:p>
        </w:tc>
        <w:tc>
          <w:tcPr>
            <w:tcW w:w="944" w:type="dxa"/>
            <w:tcBorders>
              <w:top w:val="nil"/>
              <w:left w:val="nil"/>
              <w:bottom w:val="nil"/>
              <w:right w:val="single" w:sz="4" w:space="0" w:color="auto"/>
            </w:tcBorders>
            <w:shd w:val="clear" w:color="auto" w:fill="auto"/>
            <w:noWrap/>
            <w:vAlign w:val="center"/>
            <w:hideMark/>
          </w:tcPr>
          <w:p w14:paraId="5B6CD9F8" w14:textId="0C9BC1C9"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2.843</w:t>
            </w:r>
          </w:p>
        </w:tc>
      </w:tr>
      <w:tr w:rsidR="00ED02A4" w:rsidRPr="00AC0EE7" w14:paraId="7744CD2A"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60008E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South Africa</w:t>
            </w:r>
          </w:p>
        </w:tc>
        <w:tc>
          <w:tcPr>
            <w:tcW w:w="934" w:type="dxa"/>
            <w:tcBorders>
              <w:top w:val="nil"/>
              <w:left w:val="nil"/>
              <w:bottom w:val="nil"/>
              <w:right w:val="nil"/>
            </w:tcBorders>
            <w:shd w:val="clear" w:color="auto" w:fill="auto"/>
            <w:noWrap/>
            <w:vAlign w:val="center"/>
            <w:hideMark/>
          </w:tcPr>
          <w:p w14:paraId="7A6294A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South Korea</w:t>
            </w:r>
          </w:p>
        </w:tc>
        <w:tc>
          <w:tcPr>
            <w:tcW w:w="960" w:type="dxa"/>
            <w:tcBorders>
              <w:top w:val="nil"/>
              <w:left w:val="nil"/>
              <w:bottom w:val="nil"/>
              <w:right w:val="nil"/>
            </w:tcBorders>
            <w:shd w:val="clear" w:color="auto" w:fill="auto"/>
            <w:noWrap/>
            <w:vAlign w:val="center"/>
            <w:hideMark/>
          </w:tcPr>
          <w:p w14:paraId="32EDCBE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Spain</w:t>
            </w:r>
          </w:p>
        </w:tc>
        <w:tc>
          <w:tcPr>
            <w:tcW w:w="956" w:type="dxa"/>
            <w:tcBorders>
              <w:top w:val="nil"/>
              <w:left w:val="nil"/>
              <w:bottom w:val="nil"/>
              <w:right w:val="nil"/>
            </w:tcBorders>
            <w:shd w:val="clear" w:color="auto" w:fill="auto"/>
            <w:noWrap/>
            <w:vAlign w:val="center"/>
            <w:hideMark/>
          </w:tcPr>
          <w:p w14:paraId="67B4DCF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Sri Lanka</w:t>
            </w:r>
          </w:p>
        </w:tc>
        <w:tc>
          <w:tcPr>
            <w:tcW w:w="954" w:type="dxa"/>
            <w:tcBorders>
              <w:top w:val="nil"/>
              <w:left w:val="nil"/>
              <w:bottom w:val="nil"/>
              <w:right w:val="nil"/>
            </w:tcBorders>
            <w:shd w:val="clear" w:color="auto" w:fill="auto"/>
            <w:noWrap/>
            <w:vAlign w:val="center"/>
            <w:hideMark/>
          </w:tcPr>
          <w:p w14:paraId="208D234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Sweden</w:t>
            </w:r>
          </w:p>
        </w:tc>
        <w:tc>
          <w:tcPr>
            <w:tcW w:w="939" w:type="dxa"/>
            <w:tcBorders>
              <w:top w:val="nil"/>
              <w:left w:val="nil"/>
              <w:bottom w:val="nil"/>
              <w:right w:val="nil"/>
            </w:tcBorders>
            <w:shd w:val="clear" w:color="auto" w:fill="auto"/>
            <w:noWrap/>
            <w:vAlign w:val="center"/>
            <w:hideMark/>
          </w:tcPr>
          <w:p w14:paraId="619036A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Switzerland</w:t>
            </w:r>
          </w:p>
        </w:tc>
        <w:tc>
          <w:tcPr>
            <w:tcW w:w="994" w:type="dxa"/>
            <w:tcBorders>
              <w:top w:val="nil"/>
              <w:left w:val="nil"/>
              <w:bottom w:val="nil"/>
              <w:right w:val="nil"/>
            </w:tcBorders>
            <w:shd w:val="clear" w:color="auto" w:fill="auto"/>
            <w:noWrap/>
            <w:vAlign w:val="center"/>
            <w:hideMark/>
          </w:tcPr>
          <w:p w14:paraId="748EBF1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Taiwan</w:t>
            </w:r>
          </w:p>
        </w:tc>
        <w:tc>
          <w:tcPr>
            <w:tcW w:w="944" w:type="dxa"/>
            <w:tcBorders>
              <w:top w:val="nil"/>
              <w:left w:val="nil"/>
              <w:bottom w:val="nil"/>
              <w:right w:val="single" w:sz="4" w:space="0" w:color="auto"/>
            </w:tcBorders>
            <w:shd w:val="clear" w:color="auto" w:fill="auto"/>
            <w:noWrap/>
            <w:vAlign w:val="center"/>
            <w:hideMark/>
          </w:tcPr>
          <w:p w14:paraId="2347098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Thailand</w:t>
            </w:r>
          </w:p>
        </w:tc>
      </w:tr>
      <w:tr w:rsidR="00ED02A4" w:rsidRPr="00AC0EE7" w14:paraId="22216335"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57FB7A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-4.774</w:t>
            </w:r>
          </w:p>
        </w:tc>
        <w:tc>
          <w:tcPr>
            <w:tcW w:w="934" w:type="dxa"/>
            <w:tcBorders>
              <w:top w:val="nil"/>
              <w:left w:val="nil"/>
              <w:bottom w:val="nil"/>
              <w:right w:val="nil"/>
            </w:tcBorders>
            <w:shd w:val="clear" w:color="auto" w:fill="auto"/>
            <w:noWrap/>
            <w:vAlign w:val="center"/>
            <w:hideMark/>
          </w:tcPr>
          <w:p w14:paraId="2FB52AA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-1.119</w:t>
            </w:r>
          </w:p>
        </w:tc>
        <w:tc>
          <w:tcPr>
            <w:tcW w:w="960" w:type="dxa"/>
            <w:tcBorders>
              <w:top w:val="nil"/>
              <w:left w:val="nil"/>
              <w:bottom w:val="nil"/>
              <w:right w:val="nil"/>
            </w:tcBorders>
            <w:shd w:val="clear" w:color="auto" w:fill="auto"/>
            <w:noWrap/>
            <w:vAlign w:val="center"/>
            <w:hideMark/>
          </w:tcPr>
          <w:p w14:paraId="5432303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-1.999</w:t>
            </w:r>
          </w:p>
        </w:tc>
        <w:tc>
          <w:tcPr>
            <w:tcW w:w="956" w:type="dxa"/>
            <w:tcBorders>
              <w:top w:val="nil"/>
              <w:left w:val="nil"/>
              <w:bottom w:val="nil"/>
              <w:right w:val="nil"/>
            </w:tcBorders>
            <w:shd w:val="clear" w:color="auto" w:fill="auto"/>
            <w:noWrap/>
            <w:vAlign w:val="center"/>
            <w:hideMark/>
          </w:tcPr>
          <w:p w14:paraId="2470AF3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-0.108</w:t>
            </w:r>
          </w:p>
        </w:tc>
        <w:tc>
          <w:tcPr>
            <w:tcW w:w="954" w:type="dxa"/>
            <w:tcBorders>
              <w:top w:val="nil"/>
              <w:left w:val="nil"/>
              <w:bottom w:val="nil"/>
              <w:right w:val="nil"/>
            </w:tcBorders>
            <w:shd w:val="clear" w:color="auto" w:fill="auto"/>
            <w:noWrap/>
            <w:vAlign w:val="center"/>
            <w:hideMark/>
          </w:tcPr>
          <w:p w14:paraId="11FF50F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-2.932</w:t>
            </w:r>
          </w:p>
        </w:tc>
        <w:tc>
          <w:tcPr>
            <w:tcW w:w="939" w:type="dxa"/>
            <w:tcBorders>
              <w:top w:val="nil"/>
              <w:left w:val="nil"/>
              <w:bottom w:val="nil"/>
              <w:right w:val="nil"/>
            </w:tcBorders>
            <w:shd w:val="clear" w:color="auto" w:fill="auto"/>
            <w:noWrap/>
            <w:vAlign w:val="center"/>
            <w:hideMark/>
          </w:tcPr>
          <w:p w14:paraId="0AD0CD4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-3.367</w:t>
            </w:r>
          </w:p>
        </w:tc>
        <w:tc>
          <w:tcPr>
            <w:tcW w:w="994" w:type="dxa"/>
            <w:tcBorders>
              <w:top w:val="nil"/>
              <w:left w:val="nil"/>
              <w:bottom w:val="nil"/>
              <w:right w:val="nil"/>
            </w:tcBorders>
            <w:shd w:val="clear" w:color="auto" w:fill="auto"/>
            <w:noWrap/>
            <w:vAlign w:val="center"/>
            <w:hideMark/>
          </w:tcPr>
          <w:p w14:paraId="075EBD5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-1.389</w:t>
            </w:r>
          </w:p>
        </w:tc>
        <w:tc>
          <w:tcPr>
            <w:tcW w:w="944" w:type="dxa"/>
            <w:tcBorders>
              <w:top w:val="nil"/>
              <w:left w:val="nil"/>
              <w:bottom w:val="nil"/>
              <w:right w:val="single" w:sz="4" w:space="0" w:color="auto"/>
            </w:tcBorders>
            <w:shd w:val="clear" w:color="auto" w:fill="auto"/>
            <w:noWrap/>
            <w:vAlign w:val="center"/>
            <w:hideMark/>
          </w:tcPr>
          <w:p w14:paraId="5893333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-1.46</w:t>
            </w:r>
          </w:p>
        </w:tc>
      </w:tr>
      <w:tr w:rsidR="00ED02A4" w:rsidRPr="00AC0EE7" w14:paraId="6E715759"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5E7BCF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-4.238</w:t>
            </w:r>
          </w:p>
        </w:tc>
        <w:tc>
          <w:tcPr>
            <w:tcW w:w="934" w:type="dxa"/>
            <w:tcBorders>
              <w:top w:val="nil"/>
              <w:left w:val="nil"/>
              <w:bottom w:val="nil"/>
              <w:right w:val="nil"/>
            </w:tcBorders>
            <w:shd w:val="clear" w:color="auto" w:fill="auto"/>
            <w:noWrap/>
            <w:vAlign w:val="center"/>
            <w:hideMark/>
          </w:tcPr>
          <w:p w14:paraId="564A6D2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-1.984</w:t>
            </w:r>
          </w:p>
        </w:tc>
        <w:tc>
          <w:tcPr>
            <w:tcW w:w="960" w:type="dxa"/>
            <w:tcBorders>
              <w:top w:val="nil"/>
              <w:left w:val="nil"/>
              <w:bottom w:val="nil"/>
              <w:right w:val="nil"/>
            </w:tcBorders>
            <w:shd w:val="clear" w:color="auto" w:fill="auto"/>
            <w:noWrap/>
            <w:vAlign w:val="center"/>
            <w:hideMark/>
          </w:tcPr>
          <w:p w14:paraId="004B892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-3.187</w:t>
            </w:r>
          </w:p>
        </w:tc>
        <w:tc>
          <w:tcPr>
            <w:tcW w:w="956" w:type="dxa"/>
            <w:tcBorders>
              <w:top w:val="nil"/>
              <w:left w:val="nil"/>
              <w:bottom w:val="nil"/>
              <w:right w:val="nil"/>
            </w:tcBorders>
            <w:shd w:val="clear" w:color="auto" w:fill="auto"/>
            <w:noWrap/>
            <w:vAlign w:val="center"/>
            <w:hideMark/>
          </w:tcPr>
          <w:p w14:paraId="6CD9784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-0.575</w:t>
            </w:r>
          </w:p>
        </w:tc>
        <w:tc>
          <w:tcPr>
            <w:tcW w:w="954" w:type="dxa"/>
            <w:tcBorders>
              <w:top w:val="nil"/>
              <w:left w:val="nil"/>
              <w:bottom w:val="nil"/>
              <w:right w:val="nil"/>
            </w:tcBorders>
            <w:shd w:val="clear" w:color="auto" w:fill="auto"/>
            <w:noWrap/>
            <w:vAlign w:val="center"/>
            <w:hideMark/>
          </w:tcPr>
          <w:p w14:paraId="6DE8373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-6.548</w:t>
            </w:r>
          </w:p>
        </w:tc>
        <w:tc>
          <w:tcPr>
            <w:tcW w:w="939" w:type="dxa"/>
            <w:tcBorders>
              <w:top w:val="nil"/>
              <w:left w:val="nil"/>
              <w:bottom w:val="nil"/>
              <w:right w:val="nil"/>
            </w:tcBorders>
            <w:shd w:val="clear" w:color="auto" w:fill="auto"/>
            <w:noWrap/>
            <w:vAlign w:val="center"/>
            <w:hideMark/>
          </w:tcPr>
          <w:p w14:paraId="009A8DE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-4.578</w:t>
            </w:r>
          </w:p>
        </w:tc>
        <w:tc>
          <w:tcPr>
            <w:tcW w:w="994" w:type="dxa"/>
            <w:tcBorders>
              <w:top w:val="nil"/>
              <w:left w:val="nil"/>
              <w:bottom w:val="nil"/>
              <w:right w:val="nil"/>
            </w:tcBorders>
            <w:shd w:val="clear" w:color="auto" w:fill="auto"/>
            <w:noWrap/>
            <w:vAlign w:val="center"/>
            <w:hideMark/>
          </w:tcPr>
          <w:p w14:paraId="4442797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-2.285</w:t>
            </w:r>
          </w:p>
        </w:tc>
        <w:tc>
          <w:tcPr>
            <w:tcW w:w="944" w:type="dxa"/>
            <w:tcBorders>
              <w:top w:val="nil"/>
              <w:left w:val="nil"/>
              <w:bottom w:val="nil"/>
              <w:right w:val="single" w:sz="4" w:space="0" w:color="auto"/>
            </w:tcBorders>
            <w:shd w:val="clear" w:color="auto" w:fill="auto"/>
            <w:noWrap/>
            <w:vAlign w:val="center"/>
            <w:hideMark/>
          </w:tcPr>
          <w:p w14:paraId="453A739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-3.399</w:t>
            </w:r>
          </w:p>
        </w:tc>
      </w:tr>
      <w:tr w:rsidR="00ED02A4" w:rsidRPr="00AC0EE7" w14:paraId="5AC49AE8"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0D30D5F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Trinidad</w:t>
            </w:r>
          </w:p>
        </w:tc>
        <w:tc>
          <w:tcPr>
            <w:tcW w:w="934" w:type="dxa"/>
            <w:tcBorders>
              <w:top w:val="nil"/>
              <w:left w:val="nil"/>
              <w:bottom w:val="nil"/>
              <w:right w:val="nil"/>
            </w:tcBorders>
            <w:shd w:val="clear" w:color="auto" w:fill="auto"/>
            <w:noWrap/>
            <w:vAlign w:val="center"/>
            <w:hideMark/>
          </w:tcPr>
          <w:p w14:paraId="258D161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Tunisia</w:t>
            </w:r>
          </w:p>
        </w:tc>
        <w:tc>
          <w:tcPr>
            <w:tcW w:w="960" w:type="dxa"/>
            <w:tcBorders>
              <w:top w:val="nil"/>
              <w:left w:val="nil"/>
              <w:bottom w:val="nil"/>
              <w:right w:val="nil"/>
            </w:tcBorders>
            <w:shd w:val="clear" w:color="auto" w:fill="auto"/>
            <w:noWrap/>
            <w:vAlign w:val="center"/>
            <w:hideMark/>
          </w:tcPr>
          <w:p w14:paraId="3095FE8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Turkey</w:t>
            </w:r>
          </w:p>
        </w:tc>
        <w:tc>
          <w:tcPr>
            <w:tcW w:w="956" w:type="dxa"/>
            <w:tcBorders>
              <w:top w:val="nil"/>
              <w:left w:val="nil"/>
              <w:bottom w:val="nil"/>
              <w:right w:val="nil"/>
            </w:tcBorders>
            <w:shd w:val="clear" w:color="auto" w:fill="auto"/>
            <w:noWrap/>
            <w:vAlign w:val="center"/>
            <w:hideMark/>
          </w:tcPr>
          <w:p w14:paraId="05531A8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Ukraine</w:t>
            </w:r>
          </w:p>
        </w:tc>
        <w:tc>
          <w:tcPr>
            <w:tcW w:w="954" w:type="dxa"/>
            <w:tcBorders>
              <w:top w:val="nil"/>
              <w:left w:val="nil"/>
              <w:bottom w:val="nil"/>
              <w:right w:val="nil"/>
            </w:tcBorders>
            <w:shd w:val="clear" w:color="auto" w:fill="auto"/>
            <w:noWrap/>
            <w:vAlign w:val="center"/>
            <w:hideMark/>
          </w:tcPr>
          <w:p w14:paraId="602E56F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UAE</w:t>
            </w:r>
          </w:p>
        </w:tc>
        <w:tc>
          <w:tcPr>
            <w:tcW w:w="939" w:type="dxa"/>
            <w:tcBorders>
              <w:top w:val="nil"/>
              <w:left w:val="nil"/>
              <w:bottom w:val="nil"/>
              <w:right w:val="nil"/>
            </w:tcBorders>
            <w:shd w:val="clear" w:color="auto" w:fill="auto"/>
            <w:noWrap/>
            <w:vAlign w:val="center"/>
            <w:hideMark/>
          </w:tcPr>
          <w:p w14:paraId="6CCAD6A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UK</w:t>
            </w:r>
          </w:p>
        </w:tc>
        <w:tc>
          <w:tcPr>
            <w:tcW w:w="994" w:type="dxa"/>
            <w:tcBorders>
              <w:top w:val="nil"/>
              <w:left w:val="nil"/>
              <w:bottom w:val="nil"/>
              <w:right w:val="nil"/>
            </w:tcBorders>
            <w:shd w:val="clear" w:color="auto" w:fill="auto"/>
            <w:noWrap/>
            <w:vAlign w:val="center"/>
            <w:hideMark/>
          </w:tcPr>
          <w:p w14:paraId="3C98F8B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US</w:t>
            </w:r>
          </w:p>
        </w:tc>
        <w:tc>
          <w:tcPr>
            <w:tcW w:w="944" w:type="dxa"/>
            <w:tcBorders>
              <w:top w:val="nil"/>
              <w:left w:val="nil"/>
              <w:bottom w:val="nil"/>
              <w:right w:val="single" w:sz="4" w:space="0" w:color="auto"/>
            </w:tcBorders>
            <w:shd w:val="clear" w:color="auto" w:fill="auto"/>
            <w:noWrap/>
            <w:vAlign w:val="center"/>
            <w:hideMark/>
          </w:tcPr>
          <w:p w14:paraId="5389711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Venezuela</w:t>
            </w:r>
          </w:p>
        </w:tc>
      </w:tr>
      <w:tr w:rsidR="00ED02A4" w:rsidRPr="00AC0EE7" w14:paraId="49950F06"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377936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0.007</w:t>
            </w:r>
          </w:p>
        </w:tc>
        <w:tc>
          <w:tcPr>
            <w:tcW w:w="934" w:type="dxa"/>
            <w:tcBorders>
              <w:top w:val="nil"/>
              <w:left w:val="nil"/>
              <w:bottom w:val="nil"/>
              <w:right w:val="nil"/>
            </w:tcBorders>
            <w:shd w:val="clear" w:color="auto" w:fill="auto"/>
            <w:noWrap/>
            <w:vAlign w:val="center"/>
            <w:hideMark/>
          </w:tcPr>
          <w:p w14:paraId="5D5F413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-1.637</w:t>
            </w:r>
          </w:p>
        </w:tc>
        <w:tc>
          <w:tcPr>
            <w:tcW w:w="960" w:type="dxa"/>
            <w:tcBorders>
              <w:top w:val="nil"/>
              <w:left w:val="nil"/>
              <w:bottom w:val="nil"/>
              <w:right w:val="nil"/>
            </w:tcBorders>
            <w:shd w:val="clear" w:color="auto" w:fill="auto"/>
            <w:noWrap/>
            <w:vAlign w:val="center"/>
            <w:hideMark/>
          </w:tcPr>
          <w:p w14:paraId="2A56CB6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-4.982</w:t>
            </w:r>
          </w:p>
        </w:tc>
        <w:tc>
          <w:tcPr>
            <w:tcW w:w="956" w:type="dxa"/>
            <w:tcBorders>
              <w:top w:val="nil"/>
              <w:left w:val="nil"/>
              <w:bottom w:val="nil"/>
              <w:right w:val="nil"/>
            </w:tcBorders>
            <w:shd w:val="clear" w:color="auto" w:fill="auto"/>
            <w:noWrap/>
            <w:vAlign w:val="center"/>
            <w:hideMark/>
          </w:tcPr>
          <w:p w14:paraId="5EC60D2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-4.423</w:t>
            </w:r>
          </w:p>
        </w:tc>
        <w:tc>
          <w:tcPr>
            <w:tcW w:w="954" w:type="dxa"/>
            <w:tcBorders>
              <w:top w:val="nil"/>
              <w:left w:val="nil"/>
              <w:bottom w:val="nil"/>
              <w:right w:val="nil"/>
            </w:tcBorders>
            <w:shd w:val="clear" w:color="auto" w:fill="auto"/>
            <w:noWrap/>
            <w:vAlign w:val="center"/>
            <w:hideMark/>
          </w:tcPr>
          <w:p w14:paraId="6EF2753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-1.061</w:t>
            </w:r>
          </w:p>
        </w:tc>
        <w:tc>
          <w:tcPr>
            <w:tcW w:w="939" w:type="dxa"/>
            <w:tcBorders>
              <w:top w:val="nil"/>
              <w:left w:val="nil"/>
              <w:bottom w:val="nil"/>
              <w:right w:val="nil"/>
            </w:tcBorders>
            <w:shd w:val="clear" w:color="auto" w:fill="auto"/>
            <w:noWrap/>
            <w:vAlign w:val="center"/>
            <w:hideMark/>
          </w:tcPr>
          <w:p w14:paraId="6688A59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-3.123</w:t>
            </w:r>
          </w:p>
        </w:tc>
        <w:tc>
          <w:tcPr>
            <w:tcW w:w="994" w:type="dxa"/>
            <w:tcBorders>
              <w:top w:val="nil"/>
              <w:left w:val="nil"/>
              <w:bottom w:val="nil"/>
              <w:right w:val="nil"/>
            </w:tcBorders>
            <w:shd w:val="clear" w:color="auto" w:fill="auto"/>
            <w:noWrap/>
            <w:vAlign w:val="center"/>
            <w:hideMark/>
          </w:tcPr>
          <w:p w14:paraId="2345521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-2.344</w:t>
            </w:r>
          </w:p>
        </w:tc>
        <w:tc>
          <w:tcPr>
            <w:tcW w:w="944" w:type="dxa"/>
            <w:tcBorders>
              <w:top w:val="nil"/>
              <w:left w:val="nil"/>
              <w:bottom w:val="nil"/>
              <w:right w:val="single" w:sz="4" w:space="0" w:color="auto"/>
            </w:tcBorders>
            <w:shd w:val="clear" w:color="auto" w:fill="auto"/>
            <w:noWrap/>
            <w:vAlign w:val="center"/>
            <w:hideMark/>
          </w:tcPr>
          <w:p w14:paraId="356A499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0.298</w:t>
            </w:r>
          </w:p>
        </w:tc>
      </w:tr>
      <w:tr w:rsidR="00ED02A4" w:rsidRPr="00AC0EE7" w14:paraId="6A055AA1"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66E40BA" w14:textId="4E65F989"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0.367</w:t>
            </w:r>
          </w:p>
        </w:tc>
        <w:tc>
          <w:tcPr>
            <w:tcW w:w="934" w:type="dxa"/>
            <w:tcBorders>
              <w:top w:val="nil"/>
              <w:left w:val="nil"/>
              <w:bottom w:val="nil"/>
              <w:right w:val="nil"/>
            </w:tcBorders>
            <w:shd w:val="clear" w:color="auto" w:fill="auto"/>
            <w:noWrap/>
            <w:vAlign w:val="center"/>
            <w:hideMark/>
          </w:tcPr>
          <w:p w14:paraId="7EB620D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-2.728</w:t>
            </w:r>
          </w:p>
        </w:tc>
        <w:tc>
          <w:tcPr>
            <w:tcW w:w="960" w:type="dxa"/>
            <w:tcBorders>
              <w:top w:val="nil"/>
              <w:left w:val="nil"/>
              <w:bottom w:val="nil"/>
              <w:right w:val="nil"/>
            </w:tcBorders>
            <w:shd w:val="clear" w:color="auto" w:fill="auto"/>
            <w:noWrap/>
            <w:vAlign w:val="center"/>
            <w:hideMark/>
          </w:tcPr>
          <w:p w14:paraId="2C15FEDE"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-5.073</w:t>
            </w:r>
          </w:p>
        </w:tc>
        <w:tc>
          <w:tcPr>
            <w:tcW w:w="956" w:type="dxa"/>
            <w:tcBorders>
              <w:top w:val="nil"/>
              <w:left w:val="nil"/>
              <w:bottom w:val="nil"/>
              <w:right w:val="nil"/>
            </w:tcBorders>
            <w:shd w:val="clear" w:color="auto" w:fill="auto"/>
            <w:noWrap/>
            <w:vAlign w:val="center"/>
            <w:hideMark/>
          </w:tcPr>
          <w:p w14:paraId="62DF57B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-3.807</w:t>
            </w:r>
          </w:p>
        </w:tc>
        <w:tc>
          <w:tcPr>
            <w:tcW w:w="954" w:type="dxa"/>
            <w:tcBorders>
              <w:top w:val="nil"/>
              <w:left w:val="nil"/>
              <w:bottom w:val="nil"/>
              <w:right w:val="nil"/>
            </w:tcBorders>
            <w:shd w:val="clear" w:color="auto" w:fill="auto"/>
            <w:noWrap/>
            <w:vAlign w:val="center"/>
            <w:hideMark/>
          </w:tcPr>
          <w:p w14:paraId="2D36371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-1.323</w:t>
            </w:r>
          </w:p>
        </w:tc>
        <w:tc>
          <w:tcPr>
            <w:tcW w:w="939" w:type="dxa"/>
            <w:tcBorders>
              <w:top w:val="nil"/>
              <w:left w:val="nil"/>
              <w:bottom w:val="nil"/>
              <w:right w:val="nil"/>
            </w:tcBorders>
            <w:shd w:val="clear" w:color="auto" w:fill="auto"/>
            <w:noWrap/>
            <w:vAlign w:val="center"/>
            <w:hideMark/>
          </w:tcPr>
          <w:p w14:paraId="13EB6A9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-8.331</w:t>
            </w:r>
          </w:p>
        </w:tc>
        <w:tc>
          <w:tcPr>
            <w:tcW w:w="994" w:type="dxa"/>
            <w:tcBorders>
              <w:top w:val="nil"/>
              <w:left w:val="nil"/>
              <w:bottom w:val="nil"/>
              <w:right w:val="nil"/>
            </w:tcBorders>
            <w:shd w:val="clear" w:color="auto" w:fill="auto"/>
            <w:noWrap/>
            <w:vAlign w:val="center"/>
            <w:hideMark/>
          </w:tcPr>
          <w:p w14:paraId="49659792" w14:textId="188587AA"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-2.79</w:t>
            </w:r>
            <w:r w:rsidR="00BA4657">
              <w:rPr>
                <w:rFonts w:ascii="Calibri" w:eastAsia="Times New Roman" w:hAnsi="Calibri" w:cs="Calibri"/>
                <w:b/>
                <w:bCs/>
                <w:i/>
                <w:iCs/>
                <w:color w:val="000000"/>
                <w:sz w:val="18"/>
                <w:szCs w:val="18"/>
                <w:lang w:eastAsia="en-IE"/>
              </w:rPr>
              <w:t>0</w:t>
            </w:r>
          </w:p>
        </w:tc>
        <w:tc>
          <w:tcPr>
            <w:tcW w:w="944" w:type="dxa"/>
            <w:tcBorders>
              <w:top w:val="nil"/>
              <w:left w:val="nil"/>
              <w:bottom w:val="nil"/>
              <w:right w:val="single" w:sz="4" w:space="0" w:color="auto"/>
            </w:tcBorders>
            <w:shd w:val="clear" w:color="auto" w:fill="auto"/>
            <w:noWrap/>
            <w:vAlign w:val="center"/>
            <w:hideMark/>
          </w:tcPr>
          <w:p w14:paraId="59749F05"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-1.41</w:t>
            </w:r>
          </w:p>
        </w:tc>
      </w:tr>
      <w:tr w:rsidR="00ED02A4" w:rsidRPr="00AC0EE7" w14:paraId="3AC9C1DF"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A72CE3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Vietnam</w:t>
            </w:r>
          </w:p>
        </w:tc>
        <w:tc>
          <w:tcPr>
            <w:tcW w:w="934" w:type="dxa"/>
            <w:tcBorders>
              <w:top w:val="nil"/>
              <w:left w:val="nil"/>
              <w:bottom w:val="nil"/>
              <w:right w:val="nil"/>
            </w:tcBorders>
            <w:shd w:val="clear" w:color="auto" w:fill="auto"/>
            <w:noWrap/>
            <w:vAlign w:val="center"/>
            <w:hideMark/>
          </w:tcPr>
          <w:p w14:paraId="515D29B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Zambia</w:t>
            </w:r>
          </w:p>
        </w:tc>
        <w:tc>
          <w:tcPr>
            <w:tcW w:w="960" w:type="dxa"/>
            <w:tcBorders>
              <w:top w:val="nil"/>
              <w:left w:val="nil"/>
              <w:bottom w:val="nil"/>
              <w:right w:val="nil"/>
            </w:tcBorders>
            <w:shd w:val="clear" w:color="auto" w:fill="auto"/>
            <w:noWrap/>
            <w:hideMark/>
          </w:tcPr>
          <w:p w14:paraId="7E16D567"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6" w:type="dxa"/>
            <w:tcBorders>
              <w:top w:val="nil"/>
              <w:left w:val="nil"/>
              <w:bottom w:val="nil"/>
              <w:right w:val="nil"/>
            </w:tcBorders>
            <w:shd w:val="clear" w:color="auto" w:fill="auto"/>
            <w:noWrap/>
            <w:hideMark/>
          </w:tcPr>
          <w:p w14:paraId="4D05D4E4"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4" w:type="dxa"/>
            <w:tcBorders>
              <w:top w:val="nil"/>
              <w:left w:val="nil"/>
              <w:bottom w:val="nil"/>
              <w:right w:val="nil"/>
            </w:tcBorders>
            <w:shd w:val="clear" w:color="auto" w:fill="auto"/>
            <w:noWrap/>
            <w:hideMark/>
          </w:tcPr>
          <w:p w14:paraId="73C50E0F"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69B9507B"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05516244"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1E338D8B"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5896D355"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91F609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-0.259</w:t>
            </w:r>
          </w:p>
        </w:tc>
        <w:tc>
          <w:tcPr>
            <w:tcW w:w="934" w:type="dxa"/>
            <w:tcBorders>
              <w:top w:val="nil"/>
              <w:left w:val="nil"/>
              <w:bottom w:val="nil"/>
              <w:right w:val="nil"/>
            </w:tcBorders>
            <w:shd w:val="clear" w:color="auto" w:fill="auto"/>
            <w:noWrap/>
            <w:vAlign w:val="center"/>
            <w:hideMark/>
          </w:tcPr>
          <w:p w14:paraId="73C8DC1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-0.382</w:t>
            </w:r>
          </w:p>
        </w:tc>
        <w:tc>
          <w:tcPr>
            <w:tcW w:w="960" w:type="dxa"/>
            <w:tcBorders>
              <w:top w:val="nil"/>
              <w:left w:val="nil"/>
              <w:bottom w:val="nil"/>
              <w:right w:val="nil"/>
            </w:tcBorders>
            <w:shd w:val="clear" w:color="auto" w:fill="auto"/>
            <w:noWrap/>
            <w:hideMark/>
          </w:tcPr>
          <w:p w14:paraId="7BAF4AE5"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6" w:type="dxa"/>
            <w:tcBorders>
              <w:top w:val="nil"/>
              <w:left w:val="nil"/>
              <w:bottom w:val="nil"/>
              <w:right w:val="nil"/>
            </w:tcBorders>
            <w:shd w:val="clear" w:color="auto" w:fill="auto"/>
            <w:noWrap/>
            <w:hideMark/>
          </w:tcPr>
          <w:p w14:paraId="0ED9216A"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4" w:type="dxa"/>
            <w:tcBorders>
              <w:top w:val="nil"/>
              <w:left w:val="nil"/>
              <w:bottom w:val="nil"/>
              <w:right w:val="nil"/>
            </w:tcBorders>
            <w:shd w:val="clear" w:color="auto" w:fill="auto"/>
            <w:noWrap/>
            <w:hideMark/>
          </w:tcPr>
          <w:p w14:paraId="3AE39A7A"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48AA1249"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3F8C5DCD"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06F74ECD"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58C59E9F"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D363AF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-2.231</w:t>
            </w:r>
          </w:p>
        </w:tc>
        <w:tc>
          <w:tcPr>
            <w:tcW w:w="934" w:type="dxa"/>
            <w:tcBorders>
              <w:top w:val="nil"/>
              <w:left w:val="nil"/>
              <w:bottom w:val="nil"/>
              <w:right w:val="nil"/>
            </w:tcBorders>
            <w:shd w:val="clear" w:color="auto" w:fill="auto"/>
            <w:noWrap/>
            <w:vAlign w:val="center"/>
            <w:hideMark/>
          </w:tcPr>
          <w:p w14:paraId="1480324E"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-1.487</w:t>
            </w:r>
          </w:p>
        </w:tc>
        <w:tc>
          <w:tcPr>
            <w:tcW w:w="960" w:type="dxa"/>
            <w:tcBorders>
              <w:top w:val="nil"/>
              <w:left w:val="nil"/>
              <w:bottom w:val="nil"/>
              <w:right w:val="nil"/>
            </w:tcBorders>
            <w:shd w:val="clear" w:color="auto" w:fill="auto"/>
            <w:noWrap/>
            <w:hideMark/>
          </w:tcPr>
          <w:p w14:paraId="15168C64"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6" w:type="dxa"/>
            <w:tcBorders>
              <w:top w:val="nil"/>
              <w:left w:val="nil"/>
              <w:bottom w:val="nil"/>
              <w:right w:val="nil"/>
            </w:tcBorders>
            <w:shd w:val="clear" w:color="auto" w:fill="auto"/>
            <w:noWrap/>
            <w:hideMark/>
          </w:tcPr>
          <w:p w14:paraId="1D1498B2"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4" w:type="dxa"/>
            <w:tcBorders>
              <w:top w:val="nil"/>
              <w:left w:val="nil"/>
              <w:bottom w:val="nil"/>
              <w:right w:val="nil"/>
            </w:tcBorders>
            <w:shd w:val="clear" w:color="auto" w:fill="auto"/>
            <w:noWrap/>
            <w:hideMark/>
          </w:tcPr>
          <w:p w14:paraId="3A329944"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39" w:type="dxa"/>
            <w:tcBorders>
              <w:top w:val="nil"/>
              <w:left w:val="nil"/>
              <w:bottom w:val="nil"/>
              <w:right w:val="nil"/>
            </w:tcBorders>
            <w:shd w:val="clear" w:color="auto" w:fill="auto"/>
            <w:noWrap/>
            <w:hideMark/>
          </w:tcPr>
          <w:p w14:paraId="422E8CCF"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94" w:type="dxa"/>
            <w:tcBorders>
              <w:top w:val="nil"/>
              <w:left w:val="nil"/>
              <w:bottom w:val="nil"/>
              <w:right w:val="nil"/>
            </w:tcBorders>
            <w:shd w:val="clear" w:color="auto" w:fill="auto"/>
            <w:noWrap/>
            <w:hideMark/>
          </w:tcPr>
          <w:p w14:paraId="0EDCC981"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44" w:type="dxa"/>
            <w:tcBorders>
              <w:top w:val="nil"/>
              <w:left w:val="nil"/>
              <w:bottom w:val="nil"/>
              <w:right w:val="single" w:sz="4" w:space="0" w:color="auto"/>
            </w:tcBorders>
            <w:shd w:val="clear" w:color="auto" w:fill="auto"/>
            <w:noWrap/>
            <w:hideMark/>
          </w:tcPr>
          <w:p w14:paraId="472B0758"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r>
      <w:tr w:rsidR="00ED02A4" w:rsidRPr="00AC0EE7" w14:paraId="47918807" w14:textId="77777777" w:rsidTr="00367A87">
        <w:trPr>
          <w:trHeight w:val="288"/>
        </w:trPr>
        <w:tc>
          <w:tcPr>
            <w:tcW w:w="999" w:type="dxa"/>
            <w:tcBorders>
              <w:top w:val="nil"/>
              <w:left w:val="single" w:sz="4" w:space="0" w:color="auto"/>
              <w:bottom w:val="nil"/>
              <w:right w:val="nil"/>
            </w:tcBorders>
            <w:shd w:val="clear" w:color="auto" w:fill="auto"/>
            <w:noWrap/>
            <w:vAlign w:val="bottom"/>
            <w:hideMark/>
          </w:tcPr>
          <w:p w14:paraId="306329EE"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4" w:type="dxa"/>
            <w:tcBorders>
              <w:top w:val="nil"/>
              <w:left w:val="nil"/>
              <w:bottom w:val="nil"/>
              <w:right w:val="nil"/>
            </w:tcBorders>
            <w:shd w:val="clear" w:color="auto" w:fill="auto"/>
            <w:noWrap/>
            <w:vAlign w:val="bottom"/>
            <w:hideMark/>
          </w:tcPr>
          <w:p w14:paraId="674C6613"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60" w:type="dxa"/>
            <w:tcBorders>
              <w:top w:val="nil"/>
              <w:left w:val="nil"/>
              <w:bottom w:val="nil"/>
              <w:right w:val="nil"/>
            </w:tcBorders>
            <w:shd w:val="clear" w:color="auto" w:fill="auto"/>
            <w:noWrap/>
            <w:vAlign w:val="bottom"/>
            <w:hideMark/>
          </w:tcPr>
          <w:p w14:paraId="78F4E634"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6" w:type="dxa"/>
            <w:tcBorders>
              <w:top w:val="nil"/>
              <w:left w:val="nil"/>
              <w:bottom w:val="nil"/>
              <w:right w:val="nil"/>
            </w:tcBorders>
            <w:shd w:val="clear" w:color="auto" w:fill="auto"/>
            <w:noWrap/>
            <w:vAlign w:val="bottom"/>
            <w:hideMark/>
          </w:tcPr>
          <w:p w14:paraId="66304A08"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4" w:type="dxa"/>
            <w:tcBorders>
              <w:top w:val="nil"/>
              <w:left w:val="nil"/>
              <w:bottom w:val="nil"/>
              <w:right w:val="nil"/>
            </w:tcBorders>
            <w:shd w:val="clear" w:color="auto" w:fill="auto"/>
            <w:noWrap/>
            <w:vAlign w:val="bottom"/>
            <w:hideMark/>
          </w:tcPr>
          <w:p w14:paraId="6594F962"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vAlign w:val="bottom"/>
            <w:hideMark/>
          </w:tcPr>
          <w:p w14:paraId="1F3014B2"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vAlign w:val="bottom"/>
            <w:hideMark/>
          </w:tcPr>
          <w:p w14:paraId="1296C051"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vAlign w:val="bottom"/>
            <w:hideMark/>
          </w:tcPr>
          <w:p w14:paraId="3C5C9A20"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1C171ED5" w14:textId="77777777" w:rsidTr="00367A87">
        <w:trPr>
          <w:trHeight w:val="288"/>
        </w:trPr>
        <w:tc>
          <w:tcPr>
            <w:tcW w:w="768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51C5C8B" w14:textId="77777777" w:rsidR="00ED02A4" w:rsidRPr="00AC0EE7" w:rsidRDefault="00ED02A4" w:rsidP="00367A87">
            <w:pPr>
              <w:spacing w:after="0" w:line="240" w:lineRule="auto"/>
              <w:jc w:val="center"/>
              <w:rPr>
                <w:rFonts w:ascii="Calibri" w:eastAsia="Times New Roman" w:hAnsi="Calibri" w:cs="Calibri"/>
                <w:b/>
                <w:bCs/>
                <w:color w:val="000000"/>
                <w:lang w:eastAsia="en-IE"/>
              </w:rPr>
            </w:pPr>
            <w:r w:rsidRPr="00AC0EE7">
              <w:rPr>
                <w:rFonts w:ascii="Calibri" w:eastAsia="Times New Roman" w:hAnsi="Calibri" w:cs="Calibri"/>
                <w:b/>
                <w:bCs/>
                <w:color w:val="000000"/>
                <w:lang w:eastAsia="en-IE"/>
              </w:rPr>
              <w:t>Bonds</w:t>
            </w:r>
          </w:p>
        </w:tc>
      </w:tr>
      <w:tr w:rsidR="00ED02A4" w:rsidRPr="00AC0EE7" w14:paraId="16AC54C4"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E069F2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World Index</w:t>
            </w:r>
          </w:p>
        </w:tc>
        <w:tc>
          <w:tcPr>
            <w:tcW w:w="934" w:type="dxa"/>
            <w:tcBorders>
              <w:top w:val="nil"/>
              <w:left w:val="nil"/>
              <w:bottom w:val="nil"/>
              <w:right w:val="nil"/>
            </w:tcBorders>
            <w:shd w:val="clear" w:color="auto" w:fill="auto"/>
            <w:noWrap/>
            <w:vAlign w:val="center"/>
            <w:hideMark/>
          </w:tcPr>
          <w:p w14:paraId="1F1489D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Australia</w:t>
            </w:r>
          </w:p>
        </w:tc>
        <w:tc>
          <w:tcPr>
            <w:tcW w:w="960" w:type="dxa"/>
            <w:tcBorders>
              <w:top w:val="nil"/>
              <w:left w:val="nil"/>
              <w:bottom w:val="nil"/>
              <w:right w:val="nil"/>
            </w:tcBorders>
            <w:shd w:val="clear" w:color="auto" w:fill="auto"/>
            <w:noWrap/>
            <w:vAlign w:val="center"/>
            <w:hideMark/>
          </w:tcPr>
          <w:p w14:paraId="71F8BB7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Austria</w:t>
            </w:r>
          </w:p>
        </w:tc>
        <w:tc>
          <w:tcPr>
            <w:tcW w:w="956" w:type="dxa"/>
            <w:tcBorders>
              <w:top w:val="nil"/>
              <w:left w:val="nil"/>
              <w:bottom w:val="nil"/>
              <w:right w:val="nil"/>
            </w:tcBorders>
            <w:shd w:val="clear" w:color="auto" w:fill="auto"/>
            <w:noWrap/>
            <w:vAlign w:val="center"/>
            <w:hideMark/>
          </w:tcPr>
          <w:p w14:paraId="6E3BE30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Belgium</w:t>
            </w:r>
          </w:p>
        </w:tc>
        <w:tc>
          <w:tcPr>
            <w:tcW w:w="954" w:type="dxa"/>
            <w:tcBorders>
              <w:top w:val="nil"/>
              <w:left w:val="nil"/>
              <w:bottom w:val="nil"/>
              <w:right w:val="nil"/>
            </w:tcBorders>
            <w:shd w:val="clear" w:color="auto" w:fill="auto"/>
            <w:noWrap/>
            <w:vAlign w:val="center"/>
            <w:hideMark/>
          </w:tcPr>
          <w:p w14:paraId="0A822D1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Canada</w:t>
            </w:r>
          </w:p>
        </w:tc>
        <w:tc>
          <w:tcPr>
            <w:tcW w:w="939" w:type="dxa"/>
            <w:tcBorders>
              <w:top w:val="nil"/>
              <w:left w:val="nil"/>
              <w:bottom w:val="nil"/>
              <w:right w:val="nil"/>
            </w:tcBorders>
            <w:shd w:val="clear" w:color="auto" w:fill="auto"/>
            <w:noWrap/>
            <w:vAlign w:val="center"/>
            <w:hideMark/>
          </w:tcPr>
          <w:p w14:paraId="3F0863D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China</w:t>
            </w:r>
          </w:p>
        </w:tc>
        <w:tc>
          <w:tcPr>
            <w:tcW w:w="994" w:type="dxa"/>
            <w:tcBorders>
              <w:top w:val="nil"/>
              <w:left w:val="nil"/>
              <w:bottom w:val="nil"/>
              <w:right w:val="nil"/>
            </w:tcBorders>
            <w:shd w:val="clear" w:color="auto" w:fill="auto"/>
            <w:noWrap/>
            <w:vAlign w:val="center"/>
            <w:hideMark/>
          </w:tcPr>
          <w:p w14:paraId="3FEBB19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Czech Rep.</w:t>
            </w:r>
          </w:p>
        </w:tc>
        <w:tc>
          <w:tcPr>
            <w:tcW w:w="944" w:type="dxa"/>
            <w:tcBorders>
              <w:top w:val="nil"/>
              <w:left w:val="nil"/>
              <w:bottom w:val="nil"/>
              <w:right w:val="single" w:sz="4" w:space="0" w:color="auto"/>
            </w:tcBorders>
            <w:shd w:val="clear" w:color="auto" w:fill="auto"/>
            <w:noWrap/>
            <w:vAlign w:val="center"/>
            <w:hideMark/>
          </w:tcPr>
          <w:p w14:paraId="50097A7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Denmark</w:t>
            </w:r>
          </w:p>
        </w:tc>
      </w:tr>
      <w:tr w:rsidR="00ED02A4" w:rsidRPr="00AC0EE7" w14:paraId="7A7507DE"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C3CB0C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-3.886</w:t>
            </w:r>
          </w:p>
        </w:tc>
        <w:tc>
          <w:tcPr>
            <w:tcW w:w="934" w:type="dxa"/>
            <w:tcBorders>
              <w:top w:val="nil"/>
              <w:left w:val="nil"/>
              <w:bottom w:val="nil"/>
              <w:right w:val="nil"/>
            </w:tcBorders>
            <w:shd w:val="clear" w:color="auto" w:fill="auto"/>
            <w:noWrap/>
            <w:vAlign w:val="center"/>
            <w:hideMark/>
          </w:tcPr>
          <w:p w14:paraId="6F55B5E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-5.273</w:t>
            </w:r>
          </w:p>
        </w:tc>
        <w:tc>
          <w:tcPr>
            <w:tcW w:w="960" w:type="dxa"/>
            <w:tcBorders>
              <w:top w:val="nil"/>
              <w:left w:val="nil"/>
              <w:bottom w:val="nil"/>
              <w:right w:val="nil"/>
            </w:tcBorders>
            <w:shd w:val="clear" w:color="auto" w:fill="auto"/>
            <w:noWrap/>
            <w:vAlign w:val="center"/>
            <w:hideMark/>
          </w:tcPr>
          <w:p w14:paraId="462F437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-4.612</w:t>
            </w:r>
          </w:p>
        </w:tc>
        <w:tc>
          <w:tcPr>
            <w:tcW w:w="956" w:type="dxa"/>
            <w:tcBorders>
              <w:top w:val="nil"/>
              <w:left w:val="nil"/>
              <w:bottom w:val="nil"/>
              <w:right w:val="nil"/>
            </w:tcBorders>
            <w:shd w:val="clear" w:color="auto" w:fill="auto"/>
            <w:noWrap/>
            <w:vAlign w:val="center"/>
            <w:hideMark/>
          </w:tcPr>
          <w:p w14:paraId="1E3B23A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-4.991</w:t>
            </w:r>
          </w:p>
        </w:tc>
        <w:tc>
          <w:tcPr>
            <w:tcW w:w="954" w:type="dxa"/>
            <w:tcBorders>
              <w:top w:val="nil"/>
              <w:left w:val="nil"/>
              <w:bottom w:val="nil"/>
              <w:right w:val="nil"/>
            </w:tcBorders>
            <w:shd w:val="clear" w:color="auto" w:fill="auto"/>
            <w:noWrap/>
            <w:vAlign w:val="center"/>
            <w:hideMark/>
          </w:tcPr>
          <w:p w14:paraId="5DD2F90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-3.804</w:t>
            </w:r>
          </w:p>
        </w:tc>
        <w:tc>
          <w:tcPr>
            <w:tcW w:w="939" w:type="dxa"/>
            <w:tcBorders>
              <w:top w:val="nil"/>
              <w:left w:val="nil"/>
              <w:bottom w:val="nil"/>
              <w:right w:val="nil"/>
            </w:tcBorders>
            <w:shd w:val="clear" w:color="auto" w:fill="auto"/>
            <w:noWrap/>
            <w:vAlign w:val="center"/>
            <w:hideMark/>
          </w:tcPr>
          <w:p w14:paraId="01A8996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0.008</w:t>
            </w:r>
          </w:p>
        </w:tc>
        <w:tc>
          <w:tcPr>
            <w:tcW w:w="994" w:type="dxa"/>
            <w:tcBorders>
              <w:top w:val="nil"/>
              <w:left w:val="nil"/>
              <w:bottom w:val="nil"/>
              <w:right w:val="nil"/>
            </w:tcBorders>
            <w:shd w:val="clear" w:color="auto" w:fill="auto"/>
            <w:noWrap/>
            <w:vAlign w:val="center"/>
            <w:hideMark/>
          </w:tcPr>
          <w:p w14:paraId="3C12A53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-4.951</w:t>
            </w:r>
          </w:p>
        </w:tc>
        <w:tc>
          <w:tcPr>
            <w:tcW w:w="944" w:type="dxa"/>
            <w:tcBorders>
              <w:top w:val="nil"/>
              <w:left w:val="nil"/>
              <w:bottom w:val="nil"/>
              <w:right w:val="single" w:sz="4" w:space="0" w:color="auto"/>
            </w:tcBorders>
            <w:shd w:val="clear" w:color="auto" w:fill="auto"/>
            <w:noWrap/>
            <w:vAlign w:val="center"/>
            <w:hideMark/>
          </w:tcPr>
          <w:p w14:paraId="3258244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-4.063</w:t>
            </w:r>
          </w:p>
        </w:tc>
      </w:tr>
      <w:tr w:rsidR="00ED02A4" w:rsidRPr="00AC0EE7" w14:paraId="40E6C721"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6BBB97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-5.858</w:t>
            </w:r>
          </w:p>
        </w:tc>
        <w:tc>
          <w:tcPr>
            <w:tcW w:w="934" w:type="dxa"/>
            <w:tcBorders>
              <w:top w:val="nil"/>
              <w:left w:val="nil"/>
              <w:bottom w:val="nil"/>
              <w:right w:val="nil"/>
            </w:tcBorders>
            <w:shd w:val="clear" w:color="auto" w:fill="auto"/>
            <w:noWrap/>
            <w:vAlign w:val="center"/>
            <w:hideMark/>
          </w:tcPr>
          <w:p w14:paraId="1AC6368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-5.895</w:t>
            </w:r>
          </w:p>
        </w:tc>
        <w:tc>
          <w:tcPr>
            <w:tcW w:w="960" w:type="dxa"/>
            <w:tcBorders>
              <w:top w:val="nil"/>
              <w:left w:val="nil"/>
              <w:bottom w:val="nil"/>
              <w:right w:val="nil"/>
            </w:tcBorders>
            <w:shd w:val="clear" w:color="auto" w:fill="auto"/>
            <w:noWrap/>
            <w:vAlign w:val="center"/>
            <w:hideMark/>
          </w:tcPr>
          <w:p w14:paraId="412703CE"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-4.652</w:t>
            </w:r>
          </w:p>
        </w:tc>
        <w:tc>
          <w:tcPr>
            <w:tcW w:w="956" w:type="dxa"/>
            <w:tcBorders>
              <w:top w:val="nil"/>
              <w:left w:val="nil"/>
              <w:bottom w:val="nil"/>
              <w:right w:val="nil"/>
            </w:tcBorders>
            <w:shd w:val="clear" w:color="auto" w:fill="auto"/>
            <w:noWrap/>
            <w:vAlign w:val="center"/>
            <w:hideMark/>
          </w:tcPr>
          <w:p w14:paraId="10C9CE1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-5.033</w:t>
            </w:r>
          </w:p>
        </w:tc>
        <w:tc>
          <w:tcPr>
            <w:tcW w:w="954" w:type="dxa"/>
            <w:tcBorders>
              <w:top w:val="nil"/>
              <w:left w:val="nil"/>
              <w:bottom w:val="nil"/>
              <w:right w:val="nil"/>
            </w:tcBorders>
            <w:shd w:val="clear" w:color="auto" w:fill="auto"/>
            <w:noWrap/>
            <w:vAlign w:val="center"/>
            <w:hideMark/>
          </w:tcPr>
          <w:p w14:paraId="28F4943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-5.228</w:t>
            </w:r>
          </w:p>
        </w:tc>
        <w:tc>
          <w:tcPr>
            <w:tcW w:w="939" w:type="dxa"/>
            <w:tcBorders>
              <w:top w:val="nil"/>
              <w:left w:val="nil"/>
              <w:bottom w:val="nil"/>
              <w:right w:val="nil"/>
            </w:tcBorders>
            <w:shd w:val="clear" w:color="auto" w:fill="auto"/>
            <w:noWrap/>
            <w:vAlign w:val="center"/>
            <w:hideMark/>
          </w:tcPr>
          <w:p w14:paraId="49E7A500" w14:textId="3922DB7B"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0.205</w:t>
            </w:r>
          </w:p>
        </w:tc>
        <w:tc>
          <w:tcPr>
            <w:tcW w:w="994" w:type="dxa"/>
            <w:tcBorders>
              <w:top w:val="nil"/>
              <w:left w:val="nil"/>
              <w:bottom w:val="nil"/>
              <w:right w:val="nil"/>
            </w:tcBorders>
            <w:shd w:val="clear" w:color="auto" w:fill="auto"/>
            <w:noWrap/>
            <w:vAlign w:val="center"/>
            <w:hideMark/>
          </w:tcPr>
          <w:p w14:paraId="56B1DDB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-4.419</w:t>
            </w:r>
          </w:p>
        </w:tc>
        <w:tc>
          <w:tcPr>
            <w:tcW w:w="944" w:type="dxa"/>
            <w:tcBorders>
              <w:top w:val="nil"/>
              <w:left w:val="nil"/>
              <w:bottom w:val="nil"/>
              <w:right w:val="single" w:sz="4" w:space="0" w:color="auto"/>
            </w:tcBorders>
            <w:shd w:val="clear" w:color="auto" w:fill="auto"/>
            <w:noWrap/>
            <w:vAlign w:val="center"/>
            <w:hideMark/>
          </w:tcPr>
          <w:p w14:paraId="0093CB3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-4.976</w:t>
            </w:r>
          </w:p>
        </w:tc>
      </w:tr>
      <w:tr w:rsidR="00ED02A4" w:rsidRPr="00AC0EE7" w14:paraId="1687EE7C"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0721CE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Finland</w:t>
            </w:r>
          </w:p>
        </w:tc>
        <w:tc>
          <w:tcPr>
            <w:tcW w:w="934" w:type="dxa"/>
            <w:tcBorders>
              <w:top w:val="nil"/>
              <w:left w:val="nil"/>
              <w:bottom w:val="nil"/>
              <w:right w:val="nil"/>
            </w:tcBorders>
            <w:shd w:val="clear" w:color="auto" w:fill="auto"/>
            <w:noWrap/>
            <w:vAlign w:val="center"/>
            <w:hideMark/>
          </w:tcPr>
          <w:p w14:paraId="64CB75A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France</w:t>
            </w:r>
          </w:p>
        </w:tc>
        <w:tc>
          <w:tcPr>
            <w:tcW w:w="960" w:type="dxa"/>
            <w:tcBorders>
              <w:top w:val="nil"/>
              <w:left w:val="nil"/>
              <w:bottom w:val="nil"/>
              <w:right w:val="nil"/>
            </w:tcBorders>
            <w:shd w:val="clear" w:color="auto" w:fill="auto"/>
            <w:noWrap/>
            <w:vAlign w:val="center"/>
            <w:hideMark/>
          </w:tcPr>
          <w:p w14:paraId="6C6E4AA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Germany</w:t>
            </w:r>
          </w:p>
        </w:tc>
        <w:tc>
          <w:tcPr>
            <w:tcW w:w="956" w:type="dxa"/>
            <w:tcBorders>
              <w:top w:val="nil"/>
              <w:left w:val="nil"/>
              <w:bottom w:val="nil"/>
              <w:right w:val="nil"/>
            </w:tcBorders>
            <w:shd w:val="clear" w:color="auto" w:fill="auto"/>
            <w:noWrap/>
            <w:vAlign w:val="center"/>
            <w:hideMark/>
          </w:tcPr>
          <w:p w14:paraId="5E33F76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Ireland</w:t>
            </w:r>
          </w:p>
        </w:tc>
        <w:tc>
          <w:tcPr>
            <w:tcW w:w="954" w:type="dxa"/>
            <w:tcBorders>
              <w:top w:val="nil"/>
              <w:left w:val="nil"/>
              <w:bottom w:val="nil"/>
              <w:right w:val="nil"/>
            </w:tcBorders>
            <w:shd w:val="clear" w:color="auto" w:fill="auto"/>
            <w:noWrap/>
            <w:vAlign w:val="center"/>
            <w:hideMark/>
          </w:tcPr>
          <w:p w14:paraId="0AA851B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Italy</w:t>
            </w:r>
          </w:p>
        </w:tc>
        <w:tc>
          <w:tcPr>
            <w:tcW w:w="939" w:type="dxa"/>
            <w:tcBorders>
              <w:top w:val="nil"/>
              <w:left w:val="nil"/>
              <w:bottom w:val="nil"/>
              <w:right w:val="nil"/>
            </w:tcBorders>
            <w:shd w:val="clear" w:color="auto" w:fill="auto"/>
            <w:noWrap/>
            <w:vAlign w:val="center"/>
            <w:hideMark/>
          </w:tcPr>
          <w:p w14:paraId="7652AA2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Japan</w:t>
            </w:r>
          </w:p>
        </w:tc>
        <w:tc>
          <w:tcPr>
            <w:tcW w:w="994" w:type="dxa"/>
            <w:tcBorders>
              <w:top w:val="nil"/>
              <w:left w:val="nil"/>
              <w:bottom w:val="nil"/>
              <w:right w:val="nil"/>
            </w:tcBorders>
            <w:shd w:val="clear" w:color="auto" w:fill="auto"/>
            <w:noWrap/>
            <w:vAlign w:val="center"/>
            <w:hideMark/>
          </w:tcPr>
          <w:p w14:paraId="5C564C2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Mexico</w:t>
            </w:r>
          </w:p>
        </w:tc>
        <w:tc>
          <w:tcPr>
            <w:tcW w:w="944" w:type="dxa"/>
            <w:tcBorders>
              <w:top w:val="nil"/>
              <w:left w:val="nil"/>
              <w:bottom w:val="nil"/>
              <w:right w:val="single" w:sz="4" w:space="0" w:color="auto"/>
            </w:tcBorders>
            <w:shd w:val="clear" w:color="auto" w:fill="auto"/>
            <w:noWrap/>
            <w:vAlign w:val="center"/>
            <w:hideMark/>
          </w:tcPr>
          <w:p w14:paraId="75B4074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Netherlands</w:t>
            </w:r>
          </w:p>
        </w:tc>
      </w:tr>
      <w:tr w:rsidR="00ED02A4" w:rsidRPr="00AC0EE7" w14:paraId="7B7AF9DB"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7D4CDA8" w14:textId="55B2383C"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-4.22</w:t>
            </w:r>
            <w:r w:rsidR="00BA4657">
              <w:rPr>
                <w:rFonts w:ascii="Calibri" w:eastAsia="Times New Roman" w:hAnsi="Calibri" w:cs="Calibri"/>
                <w:color w:val="000000"/>
                <w:sz w:val="18"/>
                <w:szCs w:val="18"/>
                <w:lang w:eastAsia="en-IE"/>
              </w:rPr>
              <w:t>0</w:t>
            </w:r>
          </w:p>
        </w:tc>
        <w:tc>
          <w:tcPr>
            <w:tcW w:w="934" w:type="dxa"/>
            <w:tcBorders>
              <w:top w:val="nil"/>
              <w:left w:val="nil"/>
              <w:bottom w:val="nil"/>
              <w:right w:val="nil"/>
            </w:tcBorders>
            <w:shd w:val="clear" w:color="auto" w:fill="auto"/>
            <w:noWrap/>
            <w:vAlign w:val="center"/>
            <w:hideMark/>
          </w:tcPr>
          <w:p w14:paraId="39E2923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-4.644</w:t>
            </w:r>
          </w:p>
        </w:tc>
        <w:tc>
          <w:tcPr>
            <w:tcW w:w="960" w:type="dxa"/>
            <w:tcBorders>
              <w:top w:val="nil"/>
              <w:left w:val="nil"/>
              <w:bottom w:val="nil"/>
              <w:right w:val="nil"/>
            </w:tcBorders>
            <w:shd w:val="clear" w:color="auto" w:fill="auto"/>
            <w:noWrap/>
            <w:vAlign w:val="center"/>
            <w:hideMark/>
          </w:tcPr>
          <w:p w14:paraId="4410A00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-3.885</w:t>
            </w:r>
          </w:p>
        </w:tc>
        <w:tc>
          <w:tcPr>
            <w:tcW w:w="956" w:type="dxa"/>
            <w:tcBorders>
              <w:top w:val="nil"/>
              <w:left w:val="nil"/>
              <w:bottom w:val="nil"/>
              <w:right w:val="nil"/>
            </w:tcBorders>
            <w:shd w:val="clear" w:color="auto" w:fill="auto"/>
            <w:noWrap/>
            <w:vAlign w:val="center"/>
            <w:hideMark/>
          </w:tcPr>
          <w:p w14:paraId="4CD6ED2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-3.207</w:t>
            </w:r>
          </w:p>
        </w:tc>
        <w:tc>
          <w:tcPr>
            <w:tcW w:w="954" w:type="dxa"/>
            <w:tcBorders>
              <w:top w:val="nil"/>
              <w:left w:val="nil"/>
              <w:bottom w:val="nil"/>
              <w:right w:val="nil"/>
            </w:tcBorders>
            <w:shd w:val="clear" w:color="auto" w:fill="auto"/>
            <w:noWrap/>
            <w:vAlign w:val="center"/>
            <w:hideMark/>
          </w:tcPr>
          <w:p w14:paraId="6C55B4A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-4.962</w:t>
            </w:r>
          </w:p>
        </w:tc>
        <w:tc>
          <w:tcPr>
            <w:tcW w:w="939" w:type="dxa"/>
            <w:tcBorders>
              <w:top w:val="nil"/>
              <w:left w:val="nil"/>
              <w:bottom w:val="nil"/>
              <w:right w:val="nil"/>
            </w:tcBorders>
            <w:shd w:val="clear" w:color="auto" w:fill="auto"/>
            <w:noWrap/>
            <w:vAlign w:val="center"/>
            <w:hideMark/>
          </w:tcPr>
          <w:p w14:paraId="2EFF8A2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-0.371</w:t>
            </w:r>
          </w:p>
        </w:tc>
        <w:tc>
          <w:tcPr>
            <w:tcW w:w="994" w:type="dxa"/>
            <w:tcBorders>
              <w:top w:val="nil"/>
              <w:left w:val="nil"/>
              <w:bottom w:val="nil"/>
              <w:right w:val="nil"/>
            </w:tcBorders>
            <w:shd w:val="clear" w:color="auto" w:fill="auto"/>
            <w:noWrap/>
            <w:vAlign w:val="center"/>
            <w:hideMark/>
          </w:tcPr>
          <w:p w14:paraId="1C64228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-12.176</w:t>
            </w:r>
          </w:p>
        </w:tc>
        <w:tc>
          <w:tcPr>
            <w:tcW w:w="944" w:type="dxa"/>
            <w:tcBorders>
              <w:top w:val="nil"/>
              <w:left w:val="nil"/>
              <w:bottom w:val="nil"/>
              <w:right w:val="single" w:sz="4" w:space="0" w:color="auto"/>
            </w:tcBorders>
            <w:shd w:val="clear" w:color="auto" w:fill="auto"/>
            <w:noWrap/>
            <w:vAlign w:val="center"/>
            <w:hideMark/>
          </w:tcPr>
          <w:p w14:paraId="488D9AD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-4.367</w:t>
            </w:r>
          </w:p>
        </w:tc>
      </w:tr>
      <w:tr w:rsidR="00ED02A4" w:rsidRPr="00AC0EE7" w14:paraId="2C743982"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7D04424"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lastRenderedPageBreak/>
              <w:t>-4.354</w:t>
            </w:r>
          </w:p>
        </w:tc>
        <w:tc>
          <w:tcPr>
            <w:tcW w:w="934" w:type="dxa"/>
            <w:tcBorders>
              <w:top w:val="nil"/>
              <w:left w:val="nil"/>
              <w:bottom w:val="nil"/>
              <w:right w:val="nil"/>
            </w:tcBorders>
            <w:shd w:val="clear" w:color="auto" w:fill="auto"/>
            <w:noWrap/>
            <w:vAlign w:val="center"/>
            <w:hideMark/>
          </w:tcPr>
          <w:p w14:paraId="4BD2DD0A" w14:textId="31242778"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-4.63</w:t>
            </w:r>
            <w:r w:rsidR="00BA4657">
              <w:rPr>
                <w:rFonts w:ascii="Calibri" w:eastAsia="Times New Roman" w:hAnsi="Calibri" w:cs="Calibri"/>
                <w:b/>
                <w:bCs/>
                <w:i/>
                <w:iCs/>
                <w:color w:val="000000"/>
                <w:sz w:val="18"/>
                <w:szCs w:val="18"/>
                <w:lang w:eastAsia="en-IE"/>
              </w:rPr>
              <w:t>0</w:t>
            </w:r>
          </w:p>
        </w:tc>
        <w:tc>
          <w:tcPr>
            <w:tcW w:w="960" w:type="dxa"/>
            <w:tcBorders>
              <w:top w:val="nil"/>
              <w:left w:val="nil"/>
              <w:bottom w:val="nil"/>
              <w:right w:val="nil"/>
            </w:tcBorders>
            <w:shd w:val="clear" w:color="auto" w:fill="auto"/>
            <w:noWrap/>
            <w:vAlign w:val="center"/>
            <w:hideMark/>
          </w:tcPr>
          <w:p w14:paraId="737698CE"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-4.059</w:t>
            </w:r>
          </w:p>
        </w:tc>
        <w:tc>
          <w:tcPr>
            <w:tcW w:w="956" w:type="dxa"/>
            <w:tcBorders>
              <w:top w:val="nil"/>
              <w:left w:val="nil"/>
              <w:bottom w:val="nil"/>
              <w:right w:val="nil"/>
            </w:tcBorders>
            <w:shd w:val="clear" w:color="auto" w:fill="auto"/>
            <w:noWrap/>
            <w:vAlign w:val="center"/>
            <w:hideMark/>
          </w:tcPr>
          <w:p w14:paraId="27D0FE50" w14:textId="680B34C5"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-3.28</w:t>
            </w:r>
            <w:r w:rsidR="00BA4657">
              <w:rPr>
                <w:rFonts w:ascii="Calibri" w:eastAsia="Times New Roman" w:hAnsi="Calibri" w:cs="Calibri"/>
                <w:b/>
                <w:bCs/>
                <w:i/>
                <w:iCs/>
                <w:color w:val="000000"/>
                <w:sz w:val="18"/>
                <w:szCs w:val="18"/>
                <w:lang w:eastAsia="en-IE"/>
              </w:rPr>
              <w:t>0</w:t>
            </w:r>
          </w:p>
        </w:tc>
        <w:tc>
          <w:tcPr>
            <w:tcW w:w="954" w:type="dxa"/>
            <w:tcBorders>
              <w:top w:val="nil"/>
              <w:left w:val="nil"/>
              <w:bottom w:val="nil"/>
              <w:right w:val="nil"/>
            </w:tcBorders>
            <w:shd w:val="clear" w:color="auto" w:fill="auto"/>
            <w:noWrap/>
            <w:vAlign w:val="center"/>
            <w:hideMark/>
          </w:tcPr>
          <w:p w14:paraId="17B9170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-4.699</w:t>
            </w:r>
          </w:p>
        </w:tc>
        <w:tc>
          <w:tcPr>
            <w:tcW w:w="939" w:type="dxa"/>
            <w:tcBorders>
              <w:top w:val="nil"/>
              <w:left w:val="nil"/>
              <w:bottom w:val="nil"/>
              <w:right w:val="nil"/>
            </w:tcBorders>
            <w:shd w:val="clear" w:color="auto" w:fill="auto"/>
            <w:noWrap/>
            <w:vAlign w:val="center"/>
            <w:hideMark/>
          </w:tcPr>
          <w:p w14:paraId="32B665AE"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-0.393</w:t>
            </w:r>
          </w:p>
        </w:tc>
        <w:tc>
          <w:tcPr>
            <w:tcW w:w="994" w:type="dxa"/>
            <w:tcBorders>
              <w:top w:val="nil"/>
              <w:left w:val="nil"/>
              <w:bottom w:val="nil"/>
              <w:right w:val="nil"/>
            </w:tcBorders>
            <w:shd w:val="clear" w:color="auto" w:fill="auto"/>
            <w:noWrap/>
            <w:vAlign w:val="center"/>
            <w:hideMark/>
          </w:tcPr>
          <w:p w14:paraId="1A6785C7" w14:textId="530AFFFB"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-1.85</w:t>
            </w:r>
            <w:r w:rsidR="00BA4657">
              <w:rPr>
                <w:rFonts w:ascii="Calibri" w:eastAsia="Times New Roman" w:hAnsi="Calibri" w:cs="Calibri"/>
                <w:b/>
                <w:bCs/>
                <w:i/>
                <w:iCs/>
                <w:color w:val="000000"/>
                <w:sz w:val="18"/>
                <w:szCs w:val="18"/>
                <w:lang w:eastAsia="en-IE"/>
              </w:rPr>
              <w:t>0</w:t>
            </w:r>
          </w:p>
        </w:tc>
        <w:tc>
          <w:tcPr>
            <w:tcW w:w="944" w:type="dxa"/>
            <w:tcBorders>
              <w:top w:val="nil"/>
              <w:left w:val="nil"/>
              <w:bottom w:val="nil"/>
              <w:right w:val="single" w:sz="4" w:space="0" w:color="auto"/>
            </w:tcBorders>
            <w:shd w:val="clear" w:color="auto" w:fill="auto"/>
            <w:noWrap/>
            <w:vAlign w:val="center"/>
            <w:hideMark/>
          </w:tcPr>
          <w:p w14:paraId="1083D44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-4.602</w:t>
            </w:r>
          </w:p>
        </w:tc>
      </w:tr>
      <w:tr w:rsidR="00ED02A4" w:rsidRPr="00AC0EE7" w14:paraId="22CC980C"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01CEF82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New Zealand</w:t>
            </w:r>
          </w:p>
        </w:tc>
        <w:tc>
          <w:tcPr>
            <w:tcW w:w="934" w:type="dxa"/>
            <w:tcBorders>
              <w:top w:val="nil"/>
              <w:left w:val="nil"/>
              <w:bottom w:val="nil"/>
              <w:right w:val="nil"/>
            </w:tcBorders>
            <w:shd w:val="clear" w:color="auto" w:fill="auto"/>
            <w:noWrap/>
            <w:vAlign w:val="center"/>
            <w:hideMark/>
          </w:tcPr>
          <w:p w14:paraId="7C12FEC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Norway</w:t>
            </w:r>
          </w:p>
        </w:tc>
        <w:tc>
          <w:tcPr>
            <w:tcW w:w="960" w:type="dxa"/>
            <w:tcBorders>
              <w:top w:val="nil"/>
              <w:left w:val="nil"/>
              <w:bottom w:val="nil"/>
              <w:right w:val="nil"/>
            </w:tcBorders>
            <w:shd w:val="clear" w:color="auto" w:fill="auto"/>
            <w:noWrap/>
            <w:vAlign w:val="center"/>
            <w:hideMark/>
          </w:tcPr>
          <w:p w14:paraId="7FC4255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Poland</w:t>
            </w:r>
          </w:p>
        </w:tc>
        <w:tc>
          <w:tcPr>
            <w:tcW w:w="956" w:type="dxa"/>
            <w:tcBorders>
              <w:top w:val="nil"/>
              <w:left w:val="nil"/>
              <w:bottom w:val="nil"/>
              <w:right w:val="nil"/>
            </w:tcBorders>
            <w:shd w:val="clear" w:color="auto" w:fill="auto"/>
            <w:noWrap/>
            <w:vAlign w:val="center"/>
            <w:hideMark/>
          </w:tcPr>
          <w:p w14:paraId="22D9EC67"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Portugal</w:t>
            </w:r>
          </w:p>
        </w:tc>
        <w:tc>
          <w:tcPr>
            <w:tcW w:w="954" w:type="dxa"/>
            <w:tcBorders>
              <w:top w:val="nil"/>
              <w:left w:val="nil"/>
              <w:bottom w:val="nil"/>
              <w:right w:val="nil"/>
            </w:tcBorders>
            <w:shd w:val="clear" w:color="auto" w:fill="auto"/>
            <w:noWrap/>
            <w:vAlign w:val="center"/>
            <w:hideMark/>
          </w:tcPr>
          <w:p w14:paraId="1D4EE4E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South Africa</w:t>
            </w:r>
          </w:p>
        </w:tc>
        <w:tc>
          <w:tcPr>
            <w:tcW w:w="939" w:type="dxa"/>
            <w:tcBorders>
              <w:top w:val="nil"/>
              <w:left w:val="nil"/>
              <w:bottom w:val="nil"/>
              <w:right w:val="nil"/>
            </w:tcBorders>
            <w:shd w:val="clear" w:color="auto" w:fill="auto"/>
            <w:noWrap/>
            <w:vAlign w:val="center"/>
            <w:hideMark/>
          </w:tcPr>
          <w:p w14:paraId="76AFBE8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Spain</w:t>
            </w:r>
          </w:p>
        </w:tc>
        <w:tc>
          <w:tcPr>
            <w:tcW w:w="994" w:type="dxa"/>
            <w:tcBorders>
              <w:top w:val="nil"/>
              <w:left w:val="nil"/>
              <w:bottom w:val="nil"/>
              <w:right w:val="nil"/>
            </w:tcBorders>
            <w:shd w:val="clear" w:color="auto" w:fill="auto"/>
            <w:noWrap/>
            <w:vAlign w:val="center"/>
            <w:hideMark/>
          </w:tcPr>
          <w:p w14:paraId="4F2CB6E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Sweden</w:t>
            </w:r>
          </w:p>
        </w:tc>
        <w:tc>
          <w:tcPr>
            <w:tcW w:w="944" w:type="dxa"/>
            <w:tcBorders>
              <w:top w:val="nil"/>
              <w:left w:val="nil"/>
              <w:bottom w:val="nil"/>
              <w:right w:val="single" w:sz="4" w:space="0" w:color="auto"/>
            </w:tcBorders>
            <w:shd w:val="clear" w:color="auto" w:fill="auto"/>
            <w:noWrap/>
            <w:vAlign w:val="center"/>
            <w:hideMark/>
          </w:tcPr>
          <w:p w14:paraId="01728E6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Switzerland</w:t>
            </w:r>
          </w:p>
        </w:tc>
      </w:tr>
      <w:tr w:rsidR="00ED02A4" w:rsidRPr="00AC0EE7" w14:paraId="582DC8EF"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DF1CD6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-5.539</w:t>
            </w:r>
          </w:p>
        </w:tc>
        <w:tc>
          <w:tcPr>
            <w:tcW w:w="934" w:type="dxa"/>
            <w:tcBorders>
              <w:top w:val="nil"/>
              <w:left w:val="nil"/>
              <w:bottom w:val="nil"/>
              <w:right w:val="nil"/>
            </w:tcBorders>
            <w:shd w:val="clear" w:color="auto" w:fill="auto"/>
            <w:noWrap/>
            <w:vAlign w:val="center"/>
            <w:hideMark/>
          </w:tcPr>
          <w:p w14:paraId="606244A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-5.124</w:t>
            </w:r>
          </w:p>
        </w:tc>
        <w:tc>
          <w:tcPr>
            <w:tcW w:w="960" w:type="dxa"/>
            <w:tcBorders>
              <w:top w:val="nil"/>
              <w:left w:val="nil"/>
              <w:bottom w:val="nil"/>
              <w:right w:val="nil"/>
            </w:tcBorders>
            <w:shd w:val="clear" w:color="auto" w:fill="auto"/>
            <w:noWrap/>
            <w:vAlign w:val="center"/>
            <w:hideMark/>
          </w:tcPr>
          <w:p w14:paraId="34F13E8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-7.042</w:t>
            </w:r>
          </w:p>
        </w:tc>
        <w:tc>
          <w:tcPr>
            <w:tcW w:w="956" w:type="dxa"/>
            <w:tcBorders>
              <w:top w:val="nil"/>
              <w:left w:val="nil"/>
              <w:bottom w:val="nil"/>
              <w:right w:val="nil"/>
            </w:tcBorders>
            <w:shd w:val="clear" w:color="auto" w:fill="auto"/>
            <w:noWrap/>
            <w:vAlign w:val="center"/>
            <w:hideMark/>
          </w:tcPr>
          <w:p w14:paraId="25F9BB6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-2.557</w:t>
            </w:r>
          </w:p>
        </w:tc>
        <w:tc>
          <w:tcPr>
            <w:tcW w:w="954" w:type="dxa"/>
            <w:tcBorders>
              <w:top w:val="nil"/>
              <w:left w:val="nil"/>
              <w:bottom w:val="nil"/>
              <w:right w:val="nil"/>
            </w:tcBorders>
            <w:shd w:val="clear" w:color="auto" w:fill="auto"/>
            <w:noWrap/>
            <w:vAlign w:val="center"/>
            <w:hideMark/>
          </w:tcPr>
          <w:p w14:paraId="78984FBD" w14:textId="5F17461A"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-5.64</w:t>
            </w:r>
            <w:r w:rsidR="00BA4657">
              <w:rPr>
                <w:rFonts w:ascii="Calibri" w:eastAsia="Times New Roman" w:hAnsi="Calibri" w:cs="Calibri"/>
                <w:color w:val="000000"/>
                <w:sz w:val="18"/>
                <w:szCs w:val="18"/>
                <w:lang w:eastAsia="en-IE"/>
              </w:rPr>
              <w:t>0</w:t>
            </w:r>
          </w:p>
        </w:tc>
        <w:tc>
          <w:tcPr>
            <w:tcW w:w="939" w:type="dxa"/>
            <w:tcBorders>
              <w:top w:val="nil"/>
              <w:left w:val="nil"/>
              <w:bottom w:val="nil"/>
              <w:right w:val="nil"/>
            </w:tcBorders>
            <w:shd w:val="clear" w:color="auto" w:fill="auto"/>
            <w:noWrap/>
            <w:vAlign w:val="center"/>
            <w:hideMark/>
          </w:tcPr>
          <w:p w14:paraId="0637EB44"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-4.641</w:t>
            </w:r>
          </w:p>
        </w:tc>
        <w:tc>
          <w:tcPr>
            <w:tcW w:w="994" w:type="dxa"/>
            <w:tcBorders>
              <w:top w:val="nil"/>
              <w:left w:val="nil"/>
              <w:bottom w:val="nil"/>
              <w:right w:val="nil"/>
            </w:tcBorders>
            <w:shd w:val="clear" w:color="auto" w:fill="auto"/>
            <w:noWrap/>
            <w:vAlign w:val="center"/>
            <w:hideMark/>
          </w:tcPr>
          <w:p w14:paraId="2A494ED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-4.598</w:t>
            </w:r>
          </w:p>
        </w:tc>
        <w:tc>
          <w:tcPr>
            <w:tcW w:w="944" w:type="dxa"/>
            <w:tcBorders>
              <w:top w:val="nil"/>
              <w:left w:val="nil"/>
              <w:bottom w:val="nil"/>
              <w:right w:val="single" w:sz="4" w:space="0" w:color="auto"/>
            </w:tcBorders>
            <w:shd w:val="clear" w:color="auto" w:fill="auto"/>
            <w:noWrap/>
            <w:vAlign w:val="center"/>
            <w:hideMark/>
          </w:tcPr>
          <w:p w14:paraId="5963793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-2.18</w:t>
            </w:r>
          </w:p>
        </w:tc>
      </w:tr>
      <w:tr w:rsidR="00ED02A4" w:rsidRPr="00AC0EE7" w14:paraId="5C56A38D"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6F825B21" w14:textId="10F45BAF"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-6.28</w:t>
            </w:r>
            <w:r w:rsidR="00BA4657">
              <w:rPr>
                <w:rFonts w:ascii="Calibri" w:eastAsia="Times New Roman" w:hAnsi="Calibri" w:cs="Calibri"/>
                <w:b/>
                <w:bCs/>
                <w:i/>
                <w:iCs/>
                <w:color w:val="000000"/>
                <w:sz w:val="18"/>
                <w:szCs w:val="18"/>
                <w:lang w:eastAsia="en-IE"/>
              </w:rPr>
              <w:t>0</w:t>
            </w:r>
          </w:p>
        </w:tc>
        <w:tc>
          <w:tcPr>
            <w:tcW w:w="934" w:type="dxa"/>
            <w:tcBorders>
              <w:top w:val="nil"/>
              <w:left w:val="nil"/>
              <w:bottom w:val="nil"/>
              <w:right w:val="nil"/>
            </w:tcBorders>
            <w:shd w:val="clear" w:color="auto" w:fill="auto"/>
            <w:noWrap/>
            <w:vAlign w:val="center"/>
            <w:hideMark/>
          </w:tcPr>
          <w:p w14:paraId="76EEE6D0" w14:textId="096E148E"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-6.83</w:t>
            </w:r>
            <w:r w:rsidR="00BA4657">
              <w:rPr>
                <w:rFonts w:ascii="Calibri" w:eastAsia="Times New Roman" w:hAnsi="Calibri" w:cs="Calibri"/>
                <w:b/>
                <w:bCs/>
                <w:i/>
                <w:iCs/>
                <w:color w:val="000000"/>
                <w:sz w:val="18"/>
                <w:szCs w:val="18"/>
                <w:lang w:eastAsia="en-IE"/>
              </w:rPr>
              <w:t>0</w:t>
            </w:r>
          </w:p>
        </w:tc>
        <w:tc>
          <w:tcPr>
            <w:tcW w:w="960" w:type="dxa"/>
            <w:tcBorders>
              <w:top w:val="nil"/>
              <w:left w:val="nil"/>
              <w:bottom w:val="nil"/>
              <w:right w:val="nil"/>
            </w:tcBorders>
            <w:shd w:val="clear" w:color="auto" w:fill="auto"/>
            <w:noWrap/>
            <w:vAlign w:val="center"/>
            <w:hideMark/>
          </w:tcPr>
          <w:p w14:paraId="4619B41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-8.776</w:t>
            </w:r>
          </w:p>
        </w:tc>
        <w:tc>
          <w:tcPr>
            <w:tcW w:w="956" w:type="dxa"/>
            <w:tcBorders>
              <w:top w:val="nil"/>
              <w:left w:val="nil"/>
              <w:bottom w:val="nil"/>
              <w:right w:val="nil"/>
            </w:tcBorders>
            <w:shd w:val="clear" w:color="auto" w:fill="auto"/>
            <w:noWrap/>
            <w:vAlign w:val="center"/>
            <w:hideMark/>
          </w:tcPr>
          <w:p w14:paraId="631DEFC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-2.396</w:t>
            </w:r>
          </w:p>
        </w:tc>
        <w:tc>
          <w:tcPr>
            <w:tcW w:w="954" w:type="dxa"/>
            <w:tcBorders>
              <w:top w:val="nil"/>
              <w:left w:val="nil"/>
              <w:bottom w:val="nil"/>
              <w:right w:val="nil"/>
            </w:tcBorders>
            <w:shd w:val="clear" w:color="auto" w:fill="auto"/>
            <w:noWrap/>
            <w:vAlign w:val="center"/>
            <w:hideMark/>
          </w:tcPr>
          <w:p w14:paraId="0E848BF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-6.381</w:t>
            </w:r>
          </w:p>
        </w:tc>
        <w:tc>
          <w:tcPr>
            <w:tcW w:w="939" w:type="dxa"/>
            <w:tcBorders>
              <w:top w:val="nil"/>
              <w:left w:val="nil"/>
              <w:bottom w:val="nil"/>
              <w:right w:val="nil"/>
            </w:tcBorders>
            <w:shd w:val="clear" w:color="auto" w:fill="auto"/>
            <w:noWrap/>
            <w:vAlign w:val="center"/>
            <w:hideMark/>
          </w:tcPr>
          <w:p w14:paraId="0DF996E9"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-4.483</w:t>
            </w:r>
          </w:p>
        </w:tc>
        <w:tc>
          <w:tcPr>
            <w:tcW w:w="994" w:type="dxa"/>
            <w:tcBorders>
              <w:top w:val="nil"/>
              <w:left w:val="nil"/>
              <w:bottom w:val="nil"/>
              <w:right w:val="nil"/>
            </w:tcBorders>
            <w:shd w:val="clear" w:color="auto" w:fill="auto"/>
            <w:noWrap/>
            <w:vAlign w:val="center"/>
            <w:hideMark/>
          </w:tcPr>
          <w:p w14:paraId="3B1F33E0"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-4.606</w:t>
            </w:r>
          </w:p>
        </w:tc>
        <w:tc>
          <w:tcPr>
            <w:tcW w:w="944" w:type="dxa"/>
            <w:tcBorders>
              <w:top w:val="nil"/>
              <w:left w:val="nil"/>
              <w:bottom w:val="nil"/>
              <w:right w:val="single" w:sz="4" w:space="0" w:color="auto"/>
            </w:tcBorders>
            <w:shd w:val="clear" w:color="auto" w:fill="auto"/>
            <w:noWrap/>
            <w:vAlign w:val="center"/>
            <w:hideMark/>
          </w:tcPr>
          <w:p w14:paraId="3715D9F0"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-1.946</w:t>
            </w:r>
          </w:p>
        </w:tc>
      </w:tr>
      <w:tr w:rsidR="00ED02A4" w:rsidRPr="00AC0EE7" w14:paraId="20DB6EAF"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02CD507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UK</w:t>
            </w:r>
          </w:p>
        </w:tc>
        <w:tc>
          <w:tcPr>
            <w:tcW w:w="934" w:type="dxa"/>
            <w:tcBorders>
              <w:top w:val="nil"/>
              <w:left w:val="nil"/>
              <w:bottom w:val="nil"/>
              <w:right w:val="nil"/>
            </w:tcBorders>
            <w:shd w:val="clear" w:color="auto" w:fill="auto"/>
            <w:noWrap/>
            <w:vAlign w:val="center"/>
            <w:hideMark/>
          </w:tcPr>
          <w:p w14:paraId="19956CFB"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US</w:t>
            </w:r>
          </w:p>
        </w:tc>
        <w:tc>
          <w:tcPr>
            <w:tcW w:w="960" w:type="dxa"/>
            <w:tcBorders>
              <w:top w:val="nil"/>
              <w:left w:val="nil"/>
              <w:bottom w:val="nil"/>
              <w:right w:val="nil"/>
            </w:tcBorders>
            <w:shd w:val="clear" w:color="auto" w:fill="auto"/>
            <w:noWrap/>
            <w:hideMark/>
          </w:tcPr>
          <w:p w14:paraId="14829B0D"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6" w:type="dxa"/>
            <w:tcBorders>
              <w:top w:val="nil"/>
              <w:left w:val="nil"/>
              <w:bottom w:val="nil"/>
              <w:right w:val="nil"/>
            </w:tcBorders>
            <w:shd w:val="clear" w:color="auto" w:fill="auto"/>
            <w:noWrap/>
            <w:hideMark/>
          </w:tcPr>
          <w:p w14:paraId="7182FF3C"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4" w:type="dxa"/>
            <w:tcBorders>
              <w:top w:val="nil"/>
              <w:left w:val="nil"/>
              <w:bottom w:val="nil"/>
              <w:right w:val="nil"/>
            </w:tcBorders>
            <w:shd w:val="clear" w:color="auto" w:fill="auto"/>
            <w:noWrap/>
            <w:hideMark/>
          </w:tcPr>
          <w:p w14:paraId="4986A5DF"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4D962644"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1446D8C5"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7CF6BDC7"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4ECCC498"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D31FEE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-2.521</w:t>
            </w:r>
          </w:p>
        </w:tc>
        <w:tc>
          <w:tcPr>
            <w:tcW w:w="934" w:type="dxa"/>
            <w:tcBorders>
              <w:top w:val="nil"/>
              <w:left w:val="nil"/>
              <w:bottom w:val="nil"/>
              <w:right w:val="nil"/>
            </w:tcBorders>
            <w:shd w:val="clear" w:color="auto" w:fill="auto"/>
            <w:noWrap/>
            <w:vAlign w:val="center"/>
            <w:hideMark/>
          </w:tcPr>
          <w:p w14:paraId="220D8B4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-1.095</w:t>
            </w:r>
          </w:p>
        </w:tc>
        <w:tc>
          <w:tcPr>
            <w:tcW w:w="960" w:type="dxa"/>
            <w:tcBorders>
              <w:top w:val="nil"/>
              <w:left w:val="nil"/>
              <w:bottom w:val="nil"/>
              <w:right w:val="nil"/>
            </w:tcBorders>
            <w:shd w:val="clear" w:color="auto" w:fill="auto"/>
            <w:noWrap/>
            <w:hideMark/>
          </w:tcPr>
          <w:p w14:paraId="7CA54A67"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6" w:type="dxa"/>
            <w:tcBorders>
              <w:top w:val="nil"/>
              <w:left w:val="nil"/>
              <w:bottom w:val="nil"/>
              <w:right w:val="nil"/>
            </w:tcBorders>
            <w:shd w:val="clear" w:color="auto" w:fill="auto"/>
            <w:noWrap/>
            <w:hideMark/>
          </w:tcPr>
          <w:p w14:paraId="6C245E48"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54" w:type="dxa"/>
            <w:tcBorders>
              <w:top w:val="nil"/>
              <w:left w:val="nil"/>
              <w:bottom w:val="nil"/>
              <w:right w:val="nil"/>
            </w:tcBorders>
            <w:shd w:val="clear" w:color="auto" w:fill="auto"/>
            <w:noWrap/>
            <w:hideMark/>
          </w:tcPr>
          <w:p w14:paraId="4A41DC94"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5BB7ED4F"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3A17DDD8"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40A681C2"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18C86747"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09EE23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-3.834</w:t>
            </w:r>
          </w:p>
        </w:tc>
        <w:tc>
          <w:tcPr>
            <w:tcW w:w="934" w:type="dxa"/>
            <w:tcBorders>
              <w:top w:val="nil"/>
              <w:left w:val="nil"/>
              <w:bottom w:val="nil"/>
              <w:right w:val="nil"/>
            </w:tcBorders>
            <w:shd w:val="clear" w:color="auto" w:fill="auto"/>
            <w:noWrap/>
            <w:vAlign w:val="center"/>
            <w:hideMark/>
          </w:tcPr>
          <w:p w14:paraId="0A5A5B5D" w14:textId="1AE94E55"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-2.56</w:t>
            </w:r>
            <w:r w:rsidR="00BA4657">
              <w:rPr>
                <w:rFonts w:ascii="Calibri" w:eastAsia="Times New Roman" w:hAnsi="Calibri" w:cs="Calibri"/>
                <w:b/>
                <w:bCs/>
                <w:i/>
                <w:iCs/>
                <w:color w:val="000000"/>
                <w:sz w:val="18"/>
                <w:szCs w:val="18"/>
                <w:lang w:eastAsia="en-IE"/>
              </w:rPr>
              <w:t>0</w:t>
            </w:r>
          </w:p>
        </w:tc>
        <w:tc>
          <w:tcPr>
            <w:tcW w:w="960" w:type="dxa"/>
            <w:tcBorders>
              <w:top w:val="nil"/>
              <w:left w:val="nil"/>
              <w:bottom w:val="nil"/>
              <w:right w:val="nil"/>
            </w:tcBorders>
            <w:shd w:val="clear" w:color="auto" w:fill="auto"/>
            <w:noWrap/>
            <w:hideMark/>
          </w:tcPr>
          <w:p w14:paraId="476FB568"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6" w:type="dxa"/>
            <w:tcBorders>
              <w:top w:val="nil"/>
              <w:left w:val="nil"/>
              <w:bottom w:val="nil"/>
              <w:right w:val="nil"/>
            </w:tcBorders>
            <w:shd w:val="clear" w:color="auto" w:fill="auto"/>
            <w:noWrap/>
            <w:hideMark/>
          </w:tcPr>
          <w:p w14:paraId="238F4095"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4" w:type="dxa"/>
            <w:tcBorders>
              <w:top w:val="nil"/>
              <w:left w:val="nil"/>
              <w:bottom w:val="nil"/>
              <w:right w:val="nil"/>
            </w:tcBorders>
            <w:shd w:val="clear" w:color="auto" w:fill="auto"/>
            <w:noWrap/>
            <w:hideMark/>
          </w:tcPr>
          <w:p w14:paraId="49AD59E3"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39" w:type="dxa"/>
            <w:tcBorders>
              <w:top w:val="nil"/>
              <w:left w:val="nil"/>
              <w:bottom w:val="nil"/>
              <w:right w:val="nil"/>
            </w:tcBorders>
            <w:shd w:val="clear" w:color="auto" w:fill="auto"/>
            <w:noWrap/>
            <w:hideMark/>
          </w:tcPr>
          <w:p w14:paraId="1A5E376D"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94" w:type="dxa"/>
            <w:tcBorders>
              <w:top w:val="nil"/>
              <w:left w:val="nil"/>
              <w:bottom w:val="nil"/>
              <w:right w:val="nil"/>
            </w:tcBorders>
            <w:shd w:val="clear" w:color="auto" w:fill="auto"/>
            <w:noWrap/>
            <w:hideMark/>
          </w:tcPr>
          <w:p w14:paraId="2B8121E5"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44" w:type="dxa"/>
            <w:tcBorders>
              <w:top w:val="nil"/>
              <w:left w:val="nil"/>
              <w:bottom w:val="nil"/>
              <w:right w:val="single" w:sz="4" w:space="0" w:color="auto"/>
            </w:tcBorders>
            <w:shd w:val="clear" w:color="auto" w:fill="auto"/>
            <w:noWrap/>
            <w:hideMark/>
          </w:tcPr>
          <w:p w14:paraId="13FE2B1B"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r>
      <w:tr w:rsidR="00ED02A4" w:rsidRPr="00AC0EE7" w14:paraId="174D07AB"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5B2ED8A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p>
        </w:tc>
        <w:tc>
          <w:tcPr>
            <w:tcW w:w="934" w:type="dxa"/>
            <w:tcBorders>
              <w:top w:val="nil"/>
              <w:left w:val="nil"/>
              <w:bottom w:val="nil"/>
              <w:right w:val="nil"/>
            </w:tcBorders>
            <w:shd w:val="clear" w:color="auto" w:fill="auto"/>
            <w:noWrap/>
            <w:vAlign w:val="center"/>
            <w:hideMark/>
          </w:tcPr>
          <w:p w14:paraId="2F3B1C1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p>
        </w:tc>
        <w:tc>
          <w:tcPr>
            <w:tcW w:w="960" w:type="dxa"/>
            <w:tcBorders>
              <w:top w:val="nil"/>
              <w:left w:val="nil"/>
              <w:bottom w:val="nil"/>
              <w:right w:val="nil"/>
            </w:tcBorders>
            <w:shd w:val="clear" w:color="auto" w:fill="auto"/>
            <w:noWrap/>
            <w:hideMark/>
          </w:tcPr>
          <w:p w14:paraId="09B0B35D"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6" w:type="dxa"/>
            <w:tcBorders>
              <w:top w:val="nil"/>
              <w:left w:val="nil"/>
              <w:bottom w:val="nil"/>
              <w:right w:val="nil"/>
            </w:tcBorders>
            <w:shd w:val="clear" w:color="auto" w:fill="auto"/>
            <w:noWrap/>
            <w:hideMark/>
          </w:tcPr>
          <w:p w14:paraId="5ADD9B93"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54" w:type="dxa"/>
            <w:tcBorders>
              <w:top w:val="nil"/>
              <w:left w:val="nil"/>
              <w:bottom w:val="nil"/>
              <w:right w:val="nil"/>
            </w:tcBorders>
            <w:shd w:val="clear" w:color="auto" w:fill="auto"/>
            <w:noWrap/>
            <w:hideMark/>
          </w:tcPr>
          <w:p w14:paraId="02A6375D"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39" w:type="dxa"/>
            <w:tcBorders>
              <w:top w:val="nil"/>
              <w:left w:val="nil"/>
              <w:bottom w:val="nil"/>
              <w:right w:val="nil"/>
            </w:tcBorders>
            <w:shd w:val="clear" w:color="auto" w:fill="auto"/>
            <w:noWrap/>
            <w:hideMark/>
          </w:tcPr>
          <w:p w14:paraId="3DA69FE9"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94" w:type="dxa"/>
            <w:tcBorders>
              <w:top w:val="nil"/>
              <w:left w:val="nil"/>
              <w:bottom w:val="nil"/>
              <w:right w:val="nil"/>
            </w:tcBorders>
            <w:shd w:val="clear" w:color="auto" w:fill="auto"/>
            <w:noWrap/>
            <w:hideMark/>
          </w:tcPr>
          <w:p w14:paraId="3C517F2B"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44" w:type="dxa"/>
            <w:tcBorders>
              <w:top w:val="nil"/>
              <w:left w:val="nil"/>
              <w:bottom w:val="nil"/>
              <w:right w:val="single" w:sz="4" w:space="0" w:color="auto"/>
            </w:tcBorders>
            <w:shd w:val="clear" w:color="auto" w:fill="auto"/>
            <w:noWrap/>
            <w:hideMark/>
          </w:tcPr>
          <w:p w14:paraId="1D887714"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r>
      <w:tr w:rsidR="00ED02A4" w:rsidRPr="00AC0EE7" w14:paraId="0EAD9B3A" w14:textId="77777777" w:rsidTr="00367A87">
        <w:trPr>
          <w:trHeight w:val="288"/>
        </w:trPr>
        <w:tc>
          <w:tcPr>
            <w:tcW w:w="768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12BF6F4" w14:textId="77777777" w:rsidR="00ED02A4" w:rsidRPr="00AC0EE7" w:rsidRDefault="00ED02A4" w:rsidP="00367A87">
            <w:pPr>
              <w:spacing w:after="0" w:line="240" w:lineRule="auto"/>
              <w:jc w:val="center"/>
              <w:rPr>
                <w:rFonts w:ascii="Calibri" w:eastAsia="Times New Roman" w:hAnsi="Calibri" w:cs="Calibri"/>
                <w:b/>
                <w:bCs/>
                <w:color w:val="000000"/>
                <w:lang w:eastAsia="en-IE"/>
              </w:rPr>
            </w:pPr>
            <w:r w:rsidRPr="00AC0EE7">
              <w:rPr>
                <w:rFonts w:ascii="Calibri" w:eastAsia="Times New Roman" w:hAnsi="Calibri" w:cs="Calibri"/>
                <w:b/>
                <w:bCs/>
                <w:color w:val="000000"/>
                <w:lang w:eastAsia="en-IE"/>
              </w:rPr>
              <w:t>REITs</w:t>
            </w:r>
          </w:p>
        </w:tc>
      </w:tr>
      <w:tr w:rsidR="00ED02A4" w:rsidRPr="00AC0EE7" w14:paraId="1E548CA1"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528B67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World Index</w:t>
            </w:r>
          </w:p>
        </w:tc>
        <w:tc>
          <w:tcPr>
            <w:tcW w:w="934" w:type="dxa"/>
            <w:tcBorders>
              <w:top w:val="nil"/>
              <w:left w:val="nil"/>
              <w:bottom w:val="nil"/>
              <w:right w:val="nil"/>
            </w:tcBorders>
            <w:shd w:val="clear" w:color="auto" w:fill="auto"/>
            <w:noWrap/>
            <w:vAlign w:val="center"/>
            <w:hideMark/>
          </w:tcPr>
          <w:p w14:paraId="75ECF9F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Australia</w:t>
            </w:r>
          </w:p>
        </w:tc>
        <w:tc>
          <w:tcPr>
            <w:tcW w:w="960" w:type="dxa"/>
            <w:tcBorders>
              <w:top w:val="nil"/>
              <w:left w:val="nil"/>
              <w:bottom w:val="nil"/>
              <w:right w:val="nil"/>
            </w:tcBorders>
            <w:shd w:val="clear" w:color="auto" w:fill="auto"/>
            <w:noWrap/>
            <w:vAlign w:val="center"/>
            <w:hideMark/>
          </w:tcPr>
          <w:p w14:paraId="1F3F3FA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Belgium</w:t>
            </w:r>
          </w:p>
        </w:tc>
        <w:tc>
          <w:tcPr>
            <w:tcW w:w="956" w:type="dxa"/>
            <w:tcBorders>
              <w:top w:val="nil"/>
              <w:left w:val="nil"/>
              <w:bottom w:val="nil"/>
              <w:right w:val="nil"/>
            </w:tcBorders>
            <w:shd w:val="clear" w:color="auto" w:fill="auto"/>
            <w:noWrap/>
            <w:vAlign w:val="center"/>
            <w:hideMark/>
          </w:tcPr>
          <w:p w14:paraId="587AD37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Bulgaria</w:t>
            </w:r>
          </w:p>
        </w:tc>
        <w:tc>
          <w:tcPr>
            <w:tcW w:w="954" w:type="dxa"/>
            <w:tcBorders>
              <w:top w:val="nil"/>
              <w:left w:val="nil"/>
              <w:bottom w:val="nil"/>
              <w:right w:val="nil"/>
            </w:tcBorders>
            <w:shd w:val="clear" w:color="auto" w:fill="auto"/>
            <w:noWrap/>
            <w:vAlign w:val="center"/>
            <w:hideMark/>
          </w:tcPr>
          <w:p w14:paraId="7B108E7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Canada</w:t>
            </w:r>
          </w:p>
        </w:tc>
        <w:tc>
          <w:tcPr>
            <w:tcW w:w="939" w:type="dxa"/>
            <w:tcBorders>
              <w:top w:val="nil"/>
              <w:left w:val="nil"/>
              <w:bottom w:val="nil"/>
              <w:right w:val="nil"/>
            </w:tcBorders>
            <w:shd w:val="clear" w:color="auto" w:fill="auto"/>
            <w:noWrap/>
            <w:vAlign w:val="center"/>
            <w:hideMark/>
          </w:tcPr>
          <w:p w14:paraId="4535870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France</w:t>
            </w:r>
          </w:p>
        </w:tc>
        <w:tc>
          <w:tcPr>
            <w:tcW w:w="994" w:type="dxa"/>
            <w:tcBorders>
              <w:top w:val="nil"/>
              <w:left w:val="nil"/>
              <w:bottom w:val="nil"/>
              <w:right w:val="nil"/>
            </w:tcBorders>
            <w:shd w:val="clear" w:color="auto" w:fill="auto"/>
            <w:noWrap/>
            <w:vAlign w:val="center"/>
            <w:hideMark/>
          </w:tcPr>
          <w:p w14:paraId="318ADD4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Germany</w:t>
            </w:r>
          </w:p>
        </w:tc>
        <w:tc>
          <w:tcPr>
            <w:tcW w:w="944" w:type="dxa"/>
            <w:tcBorders>
              <w:top w:val="nil"/>
              <w:left w:val="nil"/>
              <w:bottom w:val="nil"/>
              <w:right w:val="single" w:sz="4" w:space="0" w:color="auto"/>
            </w:tcBorders>
            <w:shd w:val="clear" w:color="auto" w:fill="auto"/>
            <w:noWrap/>
            <w:vAlign w:val="center"/>
            <w:hideMark/>
          </w:tcPr>
          <w:p w14:paraId="3756F72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Greece</w:t>
            </w:r>
          </w:p>
        </w:tc>
      </w:tr>
      <w:tr w:rsidR="00ED02A4" w:rsidRPr="00AC0EE7" w14:paraId="1CF9CF5A"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2CA3C0D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-3.421</w:t>
            </w:r>
          </w:p>
        </w:tc>
        <w:tc>
          <w:tcPr>
            <w:tcW w:w="934" w:type="dxa"/>
            <w:tcBorders>
              <w:top w:val="nil"/>
              <w:left w:val="nil"/>
              <w:bottom w:val="nil"/>
              <w:right w:val="nil"/>
            </w:tcBorders>
            <w:shd w:val="clear" w:color="auto" w:fill="auto"/>
            <w:noWrap/>
            <w:vAlign w:val="center"/>
            <w:hideMark/>
          </w:tcPr>
          <w:p w14:paraId="21292B4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-3.038</w:t>
            </w:r>
          </w:p>
        </w:tc>
        <w:tc>
          <w:tcPr>
            <w:tcW w:w="960" w:type="dxa"/>
            <w:tcBorders>
              <w:top w:val="nil"/>
              <w:left w:val="nil"/>
              <w:bottom w:val="nil"/>
              <w:right w:val="nil"/>
            </w:tcBorders>
            <w:shd w:val="clear" w:color="auto" w:fill="auto"/>
            <w:noWrap/>
            <w:vAlign w:val="center"/>
            <w:hideMark/>
          </w:tcPr>
          <w:p w14:paraId="436F2235"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-6.922</w:t>
            </w:r>
          </w:p>
        </w:tc>
        <w:tc>
          <w:tcPr>
            <w:tcW w:w="956" w:type="dxa"/>
            <w:tcBorders>
              <w:top w:val="nil"/>
              <w:left w:val="nil"/>
              <w:bottom w:val="nil"/>
              <w:right w:val="nil"/>
            </w:tcBorders>
            <w:shd w:val="clear" w:color="auto" w:fill="auto"/>
            <w:noWrap/>
            <w:vAlign w:val="center"/>
            <w:hideMark/>
          </w:tcPr>
          <w:p w14:paraId="1980210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-4.378</w:t>
            </w:r>
          </w:p>
        </w:tc>
        <w:tc>
          <w:tcPr>
            <w:tcW w:w="954" w:type="dxa"/>
            <w:tcBorders>
              <w:top w:val="nil"/>
              <w:left w:val="nil"/>
              <w:bottom w:val="nil"/>
              <w:right w:val="nil"/>
            </w:tcBorders>
            <w:shd w:val="clear" w:color="auto" w:fill="auto"/>
            <w:noWrap/>
            <w:vAlign w:val="center"/>
            <w:hideMark/>
          </w:tcPr>
          <w:p w14:paraId="6380A25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-4.566</w:t>
            </w:r>
          </w:p>
        </w:tc>
        <w:tc>
          <w:tcPr>
            <w:tcW w:w="939" w:type="dxa"/>
            <w:tcBorders>
              <w:top w:val="nil"/>
              <w:left w:val="nil"/>
              <w:bottom w:val="nil"/>
              <w:right w:val="nil"/>
            </w:tcBorders>
            <w:shd w:val="clear" w:color="auto" w:fill="auto"/>
            <w:noWrap/>
            <w:vAlign w:val="center"/>
            <w:hideMark/>
          </w:tcPr>
          <w:p w14:paraId="58E20E9F" w14:textId="036EC22A"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-8.96</w:t>
            </w:r>
            <w:r w:rsidR="00BA4657">
              <w:rPr>
                <w:rFonts w:ascii="Calibri" w:eastAsia="Times New Roman" w:hAnsi="Calibri" w:cs="Calibri"/>
                <w:color w:val="000000"/>
                <w:sz w:val="18"/>
                <w:szCs w:val="18"/>
                <w:lang w:eastAsia="en-IE"/>
              </w:rPr>
              <w:t>0</w:t>
            </w:r>
          </w:p>
        </w:tc>
        <w:tc>
          <w:tcPr>
            <w:tcW w:w="994" w:type="dxa"/>
            <w:tcBorders>
              <w:top w:val="nil"/>
              <w:left w:val="nil"/>
              <w:bottom w:val="nil"/>
              <w:right w:val="nil"/>
            </w:tcBorders>
            <w:shd w:val="clear" w:color="auto" w:fill="auto"/>
            <w:noWrap/>
            <w:vAlign w:val="center"/>
            <w:hideMark/>
          </w:tcPr>
          <w:p w14:paraId="7357CA1E"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-3.489</w:t>
            </w:r>
          </w:p>
        </w:tc>
        <w:tc>
          <w:tcPr>
            <w:tcW w:w="944" w:type="dxa"/>
            <w:tcBorders>
              <w:top w:val="nil"/>
              <w:left w:val="nil"/>
              <w:bottom w:val="nil"/>
              <w:right w:val="single" w:sz="4" w:space="0" w:color="auto"/>
            </w:tcBorders>
            <w:shd w:val="clear" w:color="auto" w:fill="auto"/>
            <w:noWrap/>
            <w:vAlign w:val="center"/>
            <w:hideMark/>
          </w:tcPr>
          <w:p w14:paraId="09F1D15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3.049</w:t>
            </w:r>
          </w:p>
        </w:tc>
      </w:tr>
      <w:tr w:rsidR="00ED02A4" w:rsidRPr="00AC0EE7" w14:paraId="42B115C3"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6947F1F"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-9.444</w:t>
            </w:r>
          </w:p>
        </w:tc>
        <w:tc>
          <w:tcPr>
            <w:tcW w:w="934" w:type="dxa"/>
            <w:tcBorders>
              <w:top w:val="nil"/>
              <w:left w:val="nil"/>
              <w:bottom w:val="nil"/>
              <w:right w:val="nil"/>
            </w:tcBorders>
            <w:shd w:val="clear" w:color="auto" w:fill="auto"/>
            <w:noWrap/>
            <w:vAlign w:val="center"/>
            <w:hideMark/>
          </w:tcPr>
          <w:p w14:paraId="79DD906A"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-4.226</w:t>
            </w:r>
          </w:p>
        </w:tc>
        <w:tc>
          <w:tcPr>
            <w:tcW w:w="960" w:type="dxa"/>
            <w:tcBorders>
              <w:top w:val="nil"/>
              <w:left w:val="nil"/>
              <w:bottom w:val="nil"/>
              <w:right w:val="nil"/>
            </w:tcBorders>
            <w:shd w:val="clear" w:color="auto" w:fill="auto"/>
            <w:noWrap/>
            <w:vAlign w:val="center"/>
            <w:hideMark/>
          </w:tcPr>
          <w:p w14:paraId="43FA2FA3"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-11.956</w:t>
            </w:r>
          </w:p>
        </w:tc>
        <w:tc>
          <w:tcPr>
            <w:tcW w:w="956" w:type="dxa"/>
            <w:tcBorders>
              <w:top w:val="nil"/>
              <w:left w:val="nil"/>
              <w:bottom w:val="nil"/>
              <w:right w:val="nil"/>
            </w:tcBorders>
            <w:shd w:val="clear" w:color="auto" w:fill="auto"/>
            <w:noWrap/>
            <w:vAlign w:val="center"/>
            <w:hideMark/>
          </w:tcPr>
          <w:p w14:paraId="7002671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-3.124</w:t>
            </w:r>
          </w:p>
        </w:tc>
        <w:tc>
          <w:tcPr>
            <w:tcW w:w="954" w:type="dxa"/>
            <w:tcBorders>
              <w:top w:val="nil"/>
              <w:left w:val="nil"/>
              <w:bottom w:val="nil"/>
              <w:right w:val="nil"/>
            </w:tcBorders>
            <w:shd w:val="clear" w:color="auto" w:fill="auto"/>
            <w:noWrap/>
            <w:vAlign w:val="center"/>
            <w:hideMark/>
          </w:tcPr>
          <w:p w14:paraId="2739C64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-5.159</w:t>
            </w:r>
          </w:p>
        </w:tc>
        <w:tc>
          <w:tcPr>
            <w:tcW w:w="939" w:type="dxa"/>
            <w:tcBorders>
              <w:top w:val="nil"/>
              <w:left w:val="nil"/>
              <w:bottom w:val="nil"/>
              <w:right w:val="nil"/>
            </w:tcBorders>
            <w:shd w:val="clear" w:color="auto" w:fill="auto"/>
            <w:noWrap/>
            <w:vAlign w:val="center"/>
            <w:hideMark/>
          </w:tcPr>
          <w:p w14:paraId="6E7790D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-8.998</w:t>
            </w:r>
          </w:p>
        </w:tc>
        <w:tc>
          <w:tcPr>
            <w:tcW w:w="994" w:type="dxa"/>
            <w:tcBorders>
              <w:top w:val="nil"/>
              <w:left w:val="nil"/>
              <w:bottom w:val="nil"/>
              <w:right w:val="nil"/>
            </w:tcBorders>
            <w:shd w:val="clear" w:color="auto" w:fill="auto"/>
            <w:noWrap/>
            <w:vAlign w:val="center"/>
            <w:hideMark/>
          </w:tcPr>
          <w:p w14:paraId="7BFC712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-5.056</w:t>
            </w:r>
          </w:p>
        </w:tc>
        <w:tc>
          <w:tcPr>
            <w:tcW w:w="944" w:type="dxa"/>
            <w:tcBorders>
              <w:top w:val="nil"/>
              <w:left w:val="nil"/>
              <w:bottom w:val="nil"/>
              <w:right w:val="single" w:sz="4" w:space="0" w:color="auto"/>
            </w:tcBorders>
            <w:shd w:val="clear" w:color="auto" w:fill="auto"/>
            <w:noWrap/>
            <w:vAlign w:val="center"/>
            <w:hideMark/>
          </w:tcPr>
          <w:p w14:paraId="1E8DD856"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-1.725</w:t>
            </w:r>
          </w:p>
        </w:tc>
      </w:tr>
      <w:tr w:rsidR="00ED02A4" w:rsidRPr="00AC0EE7" w14:paraId="348DC795"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1E9CAE5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Hong Kong</w:t>
            </w:r>
          </w:p>
        </w:tc>
        <w:tc>
          <w:tcPr>
            <w:tcW w:w="934" w:type="dxa"/>
            <w:tcBorders>
              <w:top w:val="nil"/>
              <w:left w:val="nil"/>
              <w:bottom w:val="nil"/>
              <w:right w:val="nil"/>
            </w:tcBorders>
            <w:shd w:val="clear" w:color="auto" w:fill="auto"/>
            <w:noWrap/>
            <w:vAlign w:val="center"/>
            <w:hideMark/>
          </w:tcPr>
          <w:p w14:paraId="7BD9D51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Italy</w:t>
            </w:r>
          </w:p>
        </w:tc>
        <w:tc>
          <w:tcPr>
            <w:tcW w:w="960" w:type="dxa"/>
            <w:tcBorders>
              <w:top w:val="nil"/>
              <w:left w:val="nil"/>
              <w:bottom w:val="nil"/>
              <w:right w:val="nil"/>
            </w:tcBorders>
            <w:shd w:val="clear" w:color="auto" w:fill="auto"/>
            <w:noWrap/>
            <w:vAlign w:val="center"/>
            <w:hideMark/>
          </w:tcPr>
          <w:p w14:paraId="6ECFB84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Japan</w:t>
            </w:r>
          </w:p>
        </w:tc>
        <w:tc>
          <w:tcPr>
            <w:tcW w:w="956" w:type="dxa"/>
            <w:tcBorders>
              <w:top w:val="nil"/>
              <w:left w:val="nil"/>
              <w:bottom w:val="nil"/>
              <w:right w:val="nil"/>
            </w:tcBorders>
            <w:shd w:val="clear" w:color="auto" w:fill="auto"/>
            <w:noWrap/>
            <w:vAlign w:val="center"/>
            <w:hideMark/>
          </w:tcPr>
          <w:p w14:paraId="31DC6F9A"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Malaysia</w:t>
            </w:r>
          </w:p>
        </w:tc>
        <w:tc>
          <w:tcPr>
            <w:tcW w:w="954" w:type="dxa"/>
            <w:tcBorders>
              <w:top w:val="nil"/>
              <w:left w:val="nil"/>
              <w:bottom w:val="nil"/>
              <w:right w:val="nil"/>
            </w:tcBorders>
            <w:shd w:val="clear" w:color="auto" w:fill="auto"/>
            <w:noWrap/>
            <w:vAlign w:val="center"/>
            <w:hideMark/>
          </w:tcPr>
          <w:p w14:paraId="70B246A0"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Mexico</w:t>
            </w:r>
          </w:p>
        </w:tc>
        <w:tc>
          <w:tcPr>
            <w:tcW w:w="939" w:type="dxa"/>
            <w:tcBorders>
              <w:top w:val="nil"/>
              <w:left w:val="nil"/>
              <w:bottom w:val="nil"/>
              <w:right w:val="nil"/>
            </w:tcBorders>
            <w:shd w:val="clear" w:color="auto" w:fill="auto"/>
            <w:noWrap/>
            <w:vAlign w:val="center"/>
            <w:hideMark/>
          </w:tcPr>
          <w:p w14:paraId="024C669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Netherlands</w:t>
            </w:r>
          </w:p>
        </w:tc>
        <w:tc>
          <w:tcPr>
            <w:tcW w:w="994" w:type="dxa"/>
            <w:tcBorders>
              <w:top w:val="nil"/>
              <w:left w:val="nil"/>
              <w:bottom w:val="nil"/>
              <w:right w:val="nil"/>
            </w:tcBorders>
            <w:shd w:val="clear" w:color="auto" w:fill="auto"/>
            <w:noWrap/>
            <w:vAlign w:val="center"/>
            <w:hideMark/>
          </w:tcPr>
          <w:p w14:paraId="4809132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New Zealand</w:t>
            </w:r>
          </w:p>
        </w:tc>
        <w:tc>
          <w:tcPr>
            <w:tcW w:w="944" w:type="dxa"/>
            <w:tcBorders>
              <w:top w:val="nil"/>
              <w:left w:val="nil"/>
              <w:bottom w:val="nil"/>
              <w:right w:val="single" w:sz="4" w:space="0" w:color="auto"/>
            </w:tcBorders>
            <w:shd w:val="clear" w:color="auto" w:fill="auto"/>
            <w:noWrap/>
            <w:vAlign w:val="center"/>
            <w:hideMark/>
          </w:tcPr>
          <w:p w14:paraId="1F30F759"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Singapore</w:t>
            </w:r>
          </w:p>
        </w:tc>
      </w:tr>
      <w:tr w:rsidR="00ED02A4" w:rsidRPr="00AC0EE7" w14:paraId="4BB17D4E"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3E2E661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1.435</w:t>
            </w:r>
          </w:p>
        </w:tc>
        <w:tc>
          <w:tcPr>
            <w:tcW w:w="934" w:type="dxa"/>
            <w:tcBorders>
              <w:top w:val="nil"/>
              <w:left w:val="nil"/>
              <w:bottom w:val="nil"/>
              <w:right w:val="nil"/>
            </w:tcBorders>
            <w:shd w:val="clear" w:color="auto" w:fill="auto"/>
            <w:noWrap/>
            <w:vAlign w:val="center"/>
            <w:hideMark/>
          </w:tcPr>
          <w:p w14:paraId="150F345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-4.468</w:t>
            </w:r>
          </w:p>
        </w:tc>
        <w:tc>
          <w:tcPr>
            <w:tcW w:w="960" w:type="dxa"/>
            <w:tcBorders>
              <w:top w:val="nil"/>
              <w:left w:val="nil"/>
              <w:bottom w:val="nil"/>
              <w:right w:val="nil"/>
            </w:tcBorders>
            <w:shd w:val="clear" w:color="auto" w:fill="auto"/>
            <w:noWrap/>
            <w:vAlign w:val="center"/>
            <w:hideMark/>
          </w:tcPr>
          <w:p w14:paraId="0358632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0.521</w:t>
            </w:r>
          </w:p>
        </w:tc>
        <w:tc>
          <w:tcPr>
            <w:tcW w:w="956" w:type="dxa"/>
            <w:tcBorders>
              <w:top w:val="nil"/>
              <w:left w:val="nil"/>
              <w:bottom w:val="nil"/>
              <w:right w:val="nil"/>
            </w:tcBorders>
            <w:shd w:val="clear" w:color="auto" w:fill="auto"/>
            <w:noWrap/>
            <w:vAlign w:val="center"/>
            <w:hideMark/>
          </w:tcPr>
          <w:p w14:paraId="70E0655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-2.789</w:t>
            </w:r>
          </w:p>
        </w:tc>
        <w:tc>
          <w:tcPr>
            <w:tcW w:w="954" w:type="dxa"/>
            <w:tcBorders>
              <w:top w:val="nil"/>
              <w:left w:val="nil"/>
              <w:bottom w:val="nil"/>
              <w:right w:val="nil"/>
            </w:tcBorders>
            <w:shd w:val="clear" w:color="auto" w:fill="auto"/>
            <w:noWrap/>
            <w:vAlign w:val="center"/>
            <w:hideMark/>
          </w:tcPr>
          <w:p w14:paraId="6B9CD82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7B1E363F"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-6.831</w:t>
            </w:r>
          </w:p>
        </w:tc>
        <w:tc>
          <w:tcPr>
            <w:tcW w:w="994" w:type="dxa"/>
            <w:tcBorders>
              <w:top w:val="nil"/>
              <w:left w:val="nil"/>
              <w:bottom w:val="nil"/>
              <w:right w:val="nil"/>
            </w:tcBorders>
            <w:shd w:val="clear" w:color="auto" w:fill="auto"/>
            <w:noWrap/>
            <w:vAlign w:val="center"/>
            <w:hideMark/>
          </w:tcPr>
          <w:p w14:paraId="5114117C"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-5.011</w:t>
            </w:r>
          </w:p>
        </w:tc>
        <w:tc>
          <w:tcPr>
            <w:tcW w:w="944" w:type="dxa"/>
            <w:tcBorders>
              <w:top w:val="nil"/>
              <w:left w:val="nil"/>
              <w:bottom w:val="nil"/>
              <w:right w:val="single" w:sz="4" w:space="0" w:color="auto"/>
            </w:tcBorders>
            <w:shd w:val="clear" w:color="auto" w:fill="auto"/>
            <w:noWrap/>
            <w:vAlign w:val="center"/>
            <w:hideMark/>
          </w:tcPr>
          <w:p w14:paraId="09EFB2F8"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-4.599</w:t>
            </w:r>
          </w:p>
        </w:tc>
      </w:tr>
      <w:tr w:rsidR="00ED02A4" w:rsidRPr="00AC0EE7" w14:paraId="5E71C9D5"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7320EF6D"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-1.257</w:t>
            </w:r>
          </w:p>
        </w:tc>
        <w:tc>
          <w:tcPr>
            <w:tcW w:w="934" w:type="dxa"/>
            <w:tcBorders>
              <w:top w:val="nil"/>
              <w:left w:val="nil"/>
              <w:bottom w:val="nil"/>
              <w:right w:val="nil"/>
            </w:tcBorders>
            <w:shd w:val="clear" w:color="auto" w:fill="auto"/>
            <w:noWrap/>
            <w:vAlign w:val="center"/>
            <w:hideMark/>
          </w:tcPr>
          <w:p w14:paraId="518E1D7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-6.367</w:t>
            </w:r>
          </w:p>
        </w:tc>
        <w:tc>
          <w:tcPr>
            <w:tcW w:w="960" w:type="dxa"/>
            <w:tcBorders>
              <w:top w:val="nil"/>
              <w:left w:val="nil"/>
              <w:bottom w:val="nil"/>
              <w:right w:val="nil"/>
            </w:tcBorders>
            <w:shd w:val="clear" w:color="auto" w:fill="auto"/>
            <w:noWrap/>
            <w:vAlign w:val="center"/>
            <w:hideMark/>
          </w:tcPr>
          <w:p w14:paraId="540E05AC" w14:textId="094AC7F1"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0.686</w:t>
            </w:r>
          </w:p>
        </w:tc>
        <w:tc>
          <w:tcPr>
            <w:tcW w:w="956" w:type="dxa"/>
            <w:tcBorders>
              <w:top w:val="nil"/>
              <w:left w:val="nil"/>
              <w:bottom w:val="nil"/>
              <w:right w:val="nil"/>
            </w:tcBorders>
            <w:shd w:val="clear" w:color="auto" w:fill="auto"/>
            <w:noWrap/>
            <w:vAlign w:val="center"/>
            <w:hideMark/>
          </w:tcPr>
          <w:p w14:paraId="38FC7957"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-4.992</w:t>
            </w:r>
          </w:p>
        </w:tc>
        <w:tc>
          <w:tcPr>
            <w:tcW w:w="954" w:type="dxa"/>
            <w:tcBorders>
              <w:top w:val="nil"/>
              <w:left w:val="nil"/>
              <w:bottom w:val="nil"/>
              <w:right w:val="nil"/>
            </w:tcBorders>
            <w:shd w:val="clear" w:color="auto" w:fill="auto"/>
            <w:noWrap/>
            <w:vAlign w:val="center"/>
            <w:hideMark/>
          </w:tcPr>
          <w:p w14:paraId="48C7E0FC"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39" w:type="dxa"/>
            <w:tcBorders>
              <w:top w:val="nil"/>
              <w:left w:val="nil"/>
              <w:bottom w:val="nil"/>
              <w:right w:val="nil"/>
            </w:tcBorders>
            <w:shd w:val="clear" w:color="auto" w:fill="auto"/>
            <w:noWrap/>
            <w:vAlign w:val="center"/>
            <w:hideMark/>
          </w:tcPr>
          <w:p w14:paraId="370F1058"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-10.14</w:t>
            </w:r>
          </w:p>
        </w:tc>
        <w:tc>
          <w:tcPr>
            <w:tcW w:w="994" w:type="dxa"/>
            <w:tcBorders>
              <w:top w:val="nil"/>
              <w:left w:val="nil"/>
              <w:bottom w:val="nil"/>
              <w:right w:val="nil"/>
            </w:tcBorders>
            <w:shd w:val="clear" w:color="auto" w:fill="auto"/>
            <w:noWrap/>
            <w:vAlign w:val="center"/>
            <w:hideMark/>
          </w:tcPr>
          <w:p w14:paraId="57F2CFEB"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-4.108</w:t>
            </w:r>
          </w:p>
        </w:tc>
        <w:tc>
          <w:tcPr>
            <w:tcW w:w="944" w:type="dxa"/>
            <w:tcBorders>
              <w:top w:val="nil"/>
              <w:left w:val="nil"/>
              <w:bottom w:val="nil"/>
              <w:right w:val="single" w:sz="4" w:space="0" w:color="auto"/>
            </w:tcBorders>
            <w:shd w:val="clear" w:color="auto" w:fill="auto"/>
            <w:noWrap/>
            <w:vAlign w:val="center"/>
            <w:hideMark/>
          </w:tcPr>
          <w:p w14:paraId="191F3CF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-3.079</w:t>
            </w:r>
          </w:p>
        </w:tc>
      </w:tr>
      <w:tr w:rsidR="00ED02A4" w:rsidRPr="00AC0EE7" w14:paraId="17D0CD64"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E58D9E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South Africa</w:t>
            </w:r>
          </w:p>
        </w:tc>
        <w:tc>
          <w:tcPr>
            <w:tcW w:w="934" w:type="dxa"/>
            <w:tcBorders>
              <w:top w:val="nil"/>
              <w:left w:val="nil"/>
              <w:bottom w:val="nil"/>
              <w:right w:val="nil"/>
            </w:tcBorders>
            <w:shd w:val="clear" w:color="auto" w:fill="auto"/>
            <w:noWrap/>
            <w:vAlign w:val="center"/>
            <w:hideMark/>
          </w:tcPr>
          <w:p w14:paraId="41AB5CF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Turkey</w:t>
            </w:r>
          </w:p>
        </w:tc>
        <w:tc>
          <w:tcPr>
            <w:tcW w:w="960" w:type="dxa"/>
            <w:tcBorders>
              <w:top w:val="nil"/>
              <w:left w:val="nil"/>
              <w:bottom w:val="nil"/>
              <w:right w:val="nil"/>
            </w:tcBorders>
            <w:shd w:val="clear" w:color="auto" w:fill="auto"/>
            <w:noWrap/>
            <w:vAlign w:val="center"/>
            <w:hideMark/>
          </w:tcPr>
          <w:p w14:paraId="661B1DFD"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UK</w:t>
            </w:r>
          </w:p>
        </w:tc>
        <w:tc>
          <w:tcPr>
            <w:tcW w:w="956" w:type="dxa"/>
            <w:tcBorders>
              <w:top w:val="nil"/>
              <w:left w:val="nil"/>
              <w:bottom w:val="nil"/>
              <w:right w:val="nil"/>
            </w:tcBorders>
            <w:shd w:val="clear" w:color="auto" w:fill="auto"/>
            <w:noWrap/>
            <w:vAlign w:val="center"/>
            <w:hideMark/>
          </w:tcPr>
          <w:p w14:paraId="395A6913"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US</w:t>
            </w:r>
          </w:p>
        </w:tc>
        <w:tc>
          <w:tcPr>
            <w:tcW w:w="954" w:type="dxa"/>
            <w:tcBorders>
              <w:top w:val="nil"/>
              <w:left w:val="nil"/>
              <w:bottom w:val="nil"/>
              <w:right w:val="nil"/>
            </w:tcBorders>
            <w:shd w:val="clear" w:color="auto" w:fill="auto"/>
            <w:noWrap/>
            <w:hideMark/>
          </w:tcPr>
          <w:p w14:paraId="5C7DC289"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5F9CEA4B"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21D527FF"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096C38EF"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481AABAB" w14:textId="77777777" w:rsidTr="00367A87">
        <w:trPr>
          <w:trHeight w:val="288"/>
        </w:trPr>
        <w:tc>
          <w:tcPr>
            <w:tcW w:w="999" w:type="dxa"/>
            <w:tcBorders>
              <w:top w:val="nil"/>
              <w:left w:val="single" w:sz="4" w:space="0" w:color="auto"/>
              <w:bottom w:val="nil"/>
              <w:right w:val="nil"/>
            </w:tcBorders>
            <w:shd w:val="clear" w:color="auto" w:fill="auto"/>
            <w:noWrap/>
            <w:vAlign w:val="center"/>
            <w:hideMark/>
          </w:tcPr>
          <w:p w14:paraId="4064416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-3.939</w:t>
            </w:r>
          </w:p>
        </w:tc>
        <w:tc>
          <w:tcPr>
            <w:tcW w:w="934" w:type="dxa"/>
            <w:tcBorders>
              <w:top w:val="nil"/>
              <w:left w:val="nil"/>
              <w:bottom w:val="nil"/>
              <w:right w:val="nil"/>
            </w:tcBorders>
            <w:shd w:val="clear" w:color="auto" w:fill="auto"/>
            <w:noWrap/>
            <w:vAlign w:val="center"/>
            <w:hideMark/>
          </w:tcPr>
          <w:p w14:paraId="612D0E16"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NA</w:t>
            </w:r>
          </w:p>
        </w:tc>
        <w:tc>
          <w:tcPr>
            <w:tcW w:w="960" w:type="dxa"/>
            <w:tcBorders>
              <w:top w:val="nil"/>
              <w:left w:val="nil"/>
              <w:bottom w:val="nil"/>
              <w:right w:val="nil"/>
            </w:tcBorders>
            <w:shd w:val="clear" w:color="auto" w:fill="auto"/>
            <w:noWrap/>
            <w:vAlign w:val="center"/>
            <w:hideMark/>
          </w:tcPr>
          <w:p w14:paraId="188258C2"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-5.634</w:t>
            </w:r>
          </w:p>
        </w:tc>
        <w:tc>
          <w:tcPr>
            <w:tcW w:w="956" w:type="dxa"/>
            <w:tcBorders>
              <w:top w:val="nil"/>
              <w:left w:val="nil"/>
              <w:bottom w:val="nil"/>
              <w:right w:val="nil"/>
            </w:tcBorders>
            <w:shd w:val="clear" w:color="auto" w:fill="auto"/>
            <w:noWrap/>
            <w:vAlign w:val="center"/>
            <w:hideMark/>
          </w:tcPr>
          <w:p w14:paraId="5B93BA21" w14:textId="77777777" w:rsidR="00ED02A4" w:rsidRPr="00AC0EE7" w:rsidRDefault="00ED02A4" w:rsidP="00367A87">
            <w:pPr>
              <w:spacing w:after="0" w:line="240" w:lineRule="auto"/>
              <w:jc w:val="center"/>
              <w:rPr>
                <w:rFonts w:ascii="Calibri" w:eastAsia="Times New Roman" w:hAnsi="Calibri" w:cs="Calibri"/>
                <w:color w:val="000000"/>
                <w:sz w:val="18"/>
                <w:szCs w:val="18"/>
                <w:lang w:eastAsia="en-IE"/>
              </w:rPr>
            </w:pPr>
            <w:r w:rsidRPr="00AC0EE7">
              <w:rPr>
                <w:rFonts w:ascii="Calibri" w:eastAsia="Times New Roman" w:hAnsi="Calibri" w:cs="Calibri"/>
                <w:color w:val="000000"/>
                <w:sz w:val="18"/>
                <w:szCs w:val="18"/>
                <w:lang w:eastAsia="en-IE"/>
              </w:rPr>
              <w:t>-1.715</w:t>
            </w:r>
          </w:p>
        </w:tc>
        <w:tc>
          <w:tcPr>
            <w:tcW w:w="954" w:type="dxa"/>
            <w:tcBorders>
              <w:top w:val="nil"/>
              <w:left w:val="nil"/>
              <w:bottom w:val="nil"/>
              <w:right w:val="nil"/>
            </w:tcBorders>
            <w:shd w:val="clear" w:color="auto" w:fill="auto"/>
            <w:noWrap/>
            <w:hideMark/>
          </w:tcPr>
          <w:p w14:paraId="4D5871E8"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39" w:type="dxa"/>
            <w:tcBorders>
              <w:top w:val="nil"/>
              <w:left w:val="nil"/>
              <w:bottom w:val="nil"/>
              <w:right w:val="nil"/>
            </w:tcBorders>
            <w:shd w:val="clear" w:color="auto" w:fill="auto"/>
            <w:noWrap/>
            <w:hideMark/>
          </w:tcPr>
          <w:p w14:paraId="5516BD07"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94" w:type="dxa"/>
            <w:tcBorders>
              <w:top w:val="nil"/>
              <w:left w:val="nil"/>
              <w:bottom w:val="nil"/>
              <w:right w:val="nil"/>
            </w:tcBorders>
            <w:shd w:val="clear" w:color="auto" w:fill="auto"/>
            <w:noWrap/>
            <w:hideMark/>
          </w:tcPr>
          <w:p w14:paraId="645E9706"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944" w:type="dxa"/>
            <w:tcBorders>
              <w:top w:val="nil"/>
              <w:left w:val="nil"/>
              <w:bottom w:val="nil"/>
              <w:right w:val="single" w:sz="4" w:space="0" w:color="auto"/>
            </w:tcBorders>
            <w:shd w:val="clear" w:color="auto" w:fill="auto"/>
            <w:noWrap/>
            <w:hideMark/>
          </w:tcPr>
          <w:p w14:paraId="1BD4A716"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5B3F98E0" w14:textId="77777777" w:rsidTr="00367A87">
        <w:trPr>
          <w:trHeight w:val="288"/>
        </w:trPr>
        <w:tc>
          <w:tcPr>
            <w:tcW w:w="999" w:type="dxa"/>
            <w:tcBorders>
              <w:top w:val="nil"/>
              <w:left w:val="single" w:sz="4" w:space="0" w:color="auto"/>
              <w:bottom w:val="single" w:sz="4" w:space="0" w:color="auto"/>
              <w:right w:val="nil"/>
            </w:tcBorders>
            <w:shd w:val="clear" w:color="auto" w:fill="auto"/>
            <w:noWrap/>
            <w:vAlign w:val="center"/>
            <w:hideMark/>
          </w:tcPr>
          <w:p w14:paraId="42388D32"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-9.014</w:t>
            </w:r>
          </w:p>
        </w:tc>
        <w:tc>
          <w:tcPr>
            <w:tcW w:w="934" w:type="dxa"/>
            <w:tcBorders>
              <w:top w:val="nil"/>
              <w:left w:val="nil"/>
              <w:bottom w:val="single" w:sz="4" w:space="0" w:color="auto"/>
              <w:right w:val="nil"/>
            </w:tcBorders>
            <w:shd w:val="clear" w:color="auto" w:fill="auto"/>
            <w:noWrap/>
            <w:vAlign w:val="center"/>
            <w:hideMark/>
          </w:tcPr>
          <w:p w14:paraId="0E8D9B59"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NA</w:t>
            </w:r>
          </w:p>
        </w:tc>
        <w:tc>
          <w:tcPr>
            <w:tcW w:w="960" w:type="dxa"/>
            <w:tcBorders>
              <w:top w:val="nil"/>
              <w:left w:val="nil"/>
              <w:bottom w:val="single" w:sz="4" w:space="0" w:color="auto"/>
              <w:right w:val="nil"/>
            </w:tcBorders>
            <w:shd w:val="clear" w:color="auto" w:fill="auto"/>
            <w:noWrap/>
            <w:vAlign w:val="center"/>
            <w:hideMark/>
          </w:tcPr>
          <w:p w14:paraId="698D5330"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-13.955</w:t>
            </w:r>
          </w:p>
        </w:tc>
        <w:tc>
          <w:tcPr>
            <w:tcW w:w="956" w:type="dxa"/>
            <w:tcBorders>
              <w:top w:val="nil"/>
              <w:left w:val="nil"/>
              <w:bottom w:val="single" w:sz="4" w:space="0" w:color="auto"/>
              <w:right w:val="nil"/>
            </w:tcBorders>
            <w:shd w:val="clear" w:color="auto" w:fill="auto"/>
            <w:noWrap/>
            <w:vAlign w:val="center"/>
            <w:hideMark/>
          </w:tcPr>
          <w:p w14:paraId="6DBD3891" w14:textId="77777777" w:rsidR="00ED02A4" w:rsidRPr="00AC0EE7" w:rsidRDefault="00ED02A4" w:rsidP="00367A87">
            <w:pPr>
              <w:spacing w:after="0" w:line="240" w:lineRule="auto"/>
              <w:jc w:val="center"/>
              <w:rPr>
                <w:rFonts w:ascii="Calibri" w:eastAsia="Times New Roman" w:hAnsi="Calibri" w:cs="Calibri"/>
                <w:b/>
                <w:bCs/>
                <w:i/>
                <w:iCs/>
                <w:color w:val="000000"/>
                <w:sz w:val="18"/>
                <w:szCs w:val="18"/>
                <w:lang w:eastAsia="en-IE"/>
              </w:rPr>
            </w:pPr>
            <w:r w:rsidRPr="00AC0EE7">
              <w:rPr>
                <w:rFonts w:ascii="Calibri" w:eastAsia="Times New Roman" w:hAnsi="Calibri" w:cs="Calibri"/>
                <w:b/>
                <w:bCs/>
                <w:i/>
                <w:iCs/>
                <w:color w:val="000000"/>
                <w:sz w:val="18"/>
                <w:szCs w:val="18"/>
                <w:lang w:eastAsia="en-IE"/>
              </w:rPr>
              <w:t>-2.444</w:t>
            </w:r>
          </w:p>
        </w:tc>
        <w:tc>
          <w:tcPr>
            <w:tcW w:w="954" w:type="dxa"/>
            <w:tcBorders>
              <w:top w:val="nil"/>
              <w:left w:val="nil"/>
              <w:bottom w:val="single" w:sz="4" w:space="0" w:color="auto"/>
              <w:right w:val="nil"/>
            </w:tcBorders>
            <w:shd w:val="clear" w:color="auto" w:fill="auto"/>
            <w:noWrap/>
            <w:hideMark/>
          </w:tcPr>
          <w:p w14:paraId="0F30149B"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39" w:type="dxa"/>
            <w:tcBorders>
              <w:top w:val="nil"/>
              <w:left w:val="nil"/>
              <w:bottom w:val="single" w:sz="4" w:space="0" w:color="auto"/>
              <w:right w:val="nil"/>
            </w:tcBorders>
            <w:shd w:val="clear" w:color="auto" w:fill="auto"/>
            <w:noWrap/>
            <w:hideMark/>
          </w:tcPr>
          <w:p w14:paraId="42933070"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94" w:type="dxa"/>
            <w:tcBorders>
              <w:top w:val="nil"/>
              <w:left w:val="nil"/>
              <w:bottom w:val="single" w:sz="4" w:space="0" w:color="auto"/>
              <w:right w:val="nil"/>
            </w:tcBorders>
            <w:shd w:val="clear" w:color="auto" w:fill="auto"/>
            <w:noWrap/>
            <w:hideMark/>
          </w:tcPr>
          <w:p w14:paraId="23B60005"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c>
          <w:tcPr>
            <w:tcW w:w="944" w:type="dxa"/>
            <w:tcBorders>
              <w:top w:val="nil"/>
              <w:left w:val="nil"/>
              <w:bottom w:val="single" w:sz="4" w:space="0" w:color="auto"/>
              <w:right w:val="single" w:sz="4" w:space="0" w:color="auto"/>
            </w:tcBorders>
            <w:shd w:val="clear" w:color="auto" w:fill="auto"/>
            <w:noWrap/>
            <w:hideMark/>
          </w:tcPr>
          <w:p w14:paraId="182B96A9"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p>
        </w:tc>
      </w:tr>
    </w:tbl>
    <w:p w14:paraId="31D8AE28" w14:textId="77777777" w:rsidR="00ED02A4" w:rsidRDefault="00ED02A4" w:rsidP="00ED02A4">
      <w:pPr>
        <w:spacing w:after="0" w:line="240" w:lineRule="auto"/>
        <w:jc w:val="both"/>
        <w:rPr>
          <w:rFonts w:ascii="Calibri" w:eastAsia="Times New Roman" w:hAnsi="Calibri" w:cs="Times New Roman"/>
          <w:color w:val="000000"/>
          <w:lang w:eastAsia="en-IE"/>
        </w:rPr>
      </w:pPr>
    </w:p>
    <w:p w14:paraId="609DF3C5" w14:textId="77777777" w:rsidR="00ED02A4" w:rsidRPr="00D14720" w:rsidRDefault="00ED02A4" w:rsidP="00ED02A4">
      <w:pPr>
        <w:spacing w:after="0" w:line="240" w:lineRule="auto"/>
        <w:jc w:val="both"/>
        <w:rPr>
          <w:rFonts w:ascii="Calibri" w:eastAsia="Times New Roman" w:hAnsi="Calibri" w:cs="Times New Roman"/>
          <w:color w:val="000000"/>
          <w:lang w:eastAsia="en-IE"/>
        </w:rPr>
      </w:pPr>
      <w:r w:rsidRPr="00D14720">
        <w:rPr>
          <w:rFonts w:ascii="Calibri" w:eastAsia="Times New Roman" w:hAnsi="Calibri" w:cs="Times New Roman"/>
          <w:color w:val="000000"/>
          <w:lang w:eastAsia="en-IE"/>
        </w:rPr>
        <w:t xml:space="preserve">Notes: This table shows the coefficient from fitting a linear trend to each market’s diversification index followed by the associated t-test (in </w:t>
      </w:r>
      <w:r w:rsidRPr="00570794">
        <w:rPr>
          <w:rFonts w:ascii="Calibri" w:eastAsia="Times New Roman" w:hAnsi="Calibri" w:cs="Times New Roman"/>
          <w:color w:val="000000"/>
          <w:lang w:eastAsia="en-IE"/>
        </w:rPr>
        <w:t>bold and italics</w:t>
      </w:r>
      <w:r w:rsidRPr="00D14720">
        <w:rPr>
          <w:rFonts w:ascii="Calibri" w:eastAsia="Times New Roman" w:hAnsi="Calibri" w:cs="Times New Roman"/>
          <w:color w:val="000000"/>
          <w:lang w:eastAsia="en-IE"/>
        </w:rPr>
        <w:t>)</w:t>
      </w:r>
      <w:r>
        <w:rPr>
          <w:rFonts w:ascii="Calibri" w:eastAsia="Times New Roman" w:hAnsi="Calibri" w:cs="Times New Roman"/>
          <w:color w:val="000000"/>
          <w:lang w:eastAsia="en-IE"/>
        </w:rPr>
        <w:t>.</w:t>
      </w:r>
      <w:r w:rsidRPr="00D14720">
        <w:rPr>
          <w:rFonts w:ascii="Calibri" w:eastAsia="Times New Roman" w:hAnsi="Calibri" w:cs="Times New Roman"/>
          <w:color w:val="000000"/>
          <w:lang w:eastAsia="en-IE"/>
        </w:rPr>
        <w:t xml:space="preserve"> The first panel is for the full period, followed by pre-2000 in the second panel and post-2000 in the final panel.  NA refers to cases where no trend statistics can be computed.  This may have occurred for markets where there was at least one year of insufficient returns to calculate a diversification index in a year (a minimum of 50 daily observations are required) after the countries joined the database or where there were insufficient annual diversification index values to fit a time-trend.  </w:t>
      </w:r>
      <w:r w:rsidRPr="00D14720">
        <w:t>The diversification index is 100 minus the average R-square (in percent) from a multi-factor returns model</w:t>
      </w:r>
      <w:r w:rsidRPr="00D14720">
        <w:rPr>
          <w:u w:val="single"/>
        </w:rPr>
        <w:t xml:space="preserve"> </w:t>
      </w:r>
      <w:r w:rsidRPr="00D14720">
        <w:t xml:space="preserve">fitted using daily data during every calendar year, 1986-2012.  The dependent variable in each regression is a country-specific return on an asset class and the explanatory variables are global factors. The global factors are 16 principal components obtained from the pre-1986 markets.  Countries and asset classes in separate regression are for equities: Australia, Austria, Belgium, Canada, Denmark, France, Germany, Hong Kong, Ireland, Italy, Japan, Netherlands, Singapore, South Africa, Switzerland, UK, US, Brazil, Malaysia, Norway, South Korea, Spain, Sweden; for bond: Austria, Belgium, Canada, Denmark, France, Germany, Ireland, Japan, Netherlands, Sweden, Switzerland, UK, US, and for REITs: Australia, Netherlands, UK, and US). </w:t>
      </w:r>
      <w:r w:rsidRPr="00D14720">
        <w:rPr>
          <w:rFonts w:ascii="Calibri" w:eastAsia="Times New Roman" w:hAnsi="Calibri" w:cs="Times New Roman"/>
          <w:color w:val="000000"/>
          <w:lang w:eastAsia="en-IE"/>
        </w:rPr>
        <w:br w:type="page"/>
      </w:r>
    </w:p>
    <w:p w14:paraId="269DB219" w14:textId="77777777" w:rsidR="00ED02A4" w:rsidRPr="00D14720" w:rsidRDefault="00ED02A4" w:rsidP="00ED02A4">
      <w:pPr>
        <w:jc w:val="center"/>
        <w:rPr>
          <w:rFonts w:ascii="Calibri" w:eastAsia="Times New Roman" w:hAnsi="Calibri" w:cs="Times New Roman"/>
          <w:b/>
          <w:bCs/>
          <w:color w:val="000000"/>
          <w:sz w:val="24"/>
          <w:szCs w:val="24"/>
          <w:lang w:eastAsia="en-IE"/>
        </w:rPr>
      </w:pPr>
      <w:r w:rsidRPr="00D14720">
        <w:rPr>
          <w:rFonts w:ascii="Calibri" w:eastAsia="Times New Roman" w:hAnsi="Calibri" w:cs="Times New Roman"/>
          <w:b/>
          <w:bCs/>
          <w:color w:val="000000"/>
          <w:sz w:val="24"/>
          <w:szCs w:val="24"/>
          <w:lang w:eastAsia="en-IE"/>
        </w:rPr>
        <w:lastRenderedPageBreak/>
        <w:t>Table 3</w:t>
      </w:r>
    </w:p>
    <w:p w14:paraId="0AC62148" w14:textId="77777777" w:rsidR="00ED02A4" w:rsidRDefault="00ED02A4" w:rsidP="00ED02A4">
      <w:pPr>
        <w:jc w:val="center"/>
        <w:rPr>
          <w:rFonts w:ascii="Calibri" w:eastAsia="Times New Roman" w:hAnsi="Calibri" w:cs="Times New Roman"/>
          <w:b/>
          <w:bCs/>
          <w:color w:val="000000"/>
          <w:sz w:val="24"/>
          <w:szCs w:val="24"/>
          <w:lang w:eastAsia="en-IE"/>
        </w:rPr>
      </w:pPr>
      <w:r w:rsidRPr="00D14720">
        <w:rPr>
          <w:rFonts w:ascii="Calibri" w:eastAsia="Times New Roman" w:hAnsi="Calibri" w:cs="Times New Roman"/>
          <w:b/>
          <w:bCs/>
          <w:color w:val="000000"/>
          <w:sz w:val="24"/>
          <w:szCs w:val="24"/>
          <w:lang w:eastAsia="en-IE"/>
        </w:rPr>
        <w:t>Time Trends for Diversification Indexes Across Three Asset Classes</w:t>
      </w:r>
    </w:p>
    <w:tbl>
      <w:tblPr>
        <w:tblW w:w="5760" w:type="dxa"/>
        <w:jc w:val="center"/>
        <w:tblLook w:val="04A0" w:firstRow="1" w:lastRow="0" w:firstColumn="1" w:lastColumn="0" w:noHBand="0" w:noVBand="1"/>
      </w:tblPr>
      <w:tblGrid>
        <w:gridCol w:w="936"/>
        <w:gridCol w:w="1216"/>
        <w:gridCol w:w="1181"/>
        <w:gridCol w:w="1108"/>
        <w:gridCol w:w="963"/>
        <w:gridCol w:w="777"/>
      </w:tblGrid>
      <w:tr w:rsidR="00ED02A4" w:rsidRPr="00AC0EE7" w14:paraId="4B7B9B43" w14:textId="77777777" w:rsidTr="00367A87">
        <w:trPr>
          <w:trHeight w:val="300"/>
          <w:jc w:val="center"/>
        </w:trPr>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DF78379" w14:textId="77777777" w:rsidR="00ED02A4" w:rsidRPr="00AC0EE7" w:rsidRDefault="00ED02A4" w:rsidP="00367A87">
            <w:pPr>
              <w:spacing w:after="0" w:line="240" w:lineRule="auto"/>
              <w:jc w:val="center"/>
              <w:rPr>
                <w:rFonts w:ascii="Calibri" w:eastAsia="Times New Roman" w:hAnsi="Calibri" w:cs="Calibri"/>
                <w:b/>
                <w:bCs/>
                <w:color w:val="000000"/>
                <w:sz w:val="20"/>
                <w:szCs w:val="20"/>
                <w:lang w:eastAsia="en-IE"/>
              </w:rPr>
            </w:pPr>
            <w:r w:rsidRPr="00AC0EE7">
              <w:rPr>
                <w:rFonts w:ascii="Calibri" w:eastAsia="Times New Roman" w:hAnsi="Calibri" w:cs="Calibri"/>
                <w:b/>
                <w:bCs/>
                <w:color w:val="000000"/>
                <w:sz w:val="20"/>
                <w:szCs w:val="20"/>
                <w:lang w:eastAsia="en-IE"/>
              </w:rPr>
              <w:t>Full Sample</w:t>
            </w:r>
          </w:p>
        </w:tc>
      </w:tr>
      <w:tr w:rsidR="00ED02A4" w:rsidRPr="00AC0EE7" w14:paraId="614B8073" w14:textId="77777777" w:rsidTr="00367A87">
        <w:trPr>
          <w:trHeight w:val="288"/>
          <w:jc w:val="center"/>
        </w:trPr>
        <w:tc>
          <w:tcPr>
            <w:tcW w:w="816" w:type="dxa"/>
            <w:tcBorders>
              <w:top w:val="nil"/>
              <w:left w:val="single" w:sz="8" w:space="0" w:color="auto"/>
              <w:bottom w:val="nil"/>
              <w:right w:val="nil"/>
            </w:tcBorders>
            <w:shd w:val="clear" w:color="auto" w:fill="auto"/>
            <w:noWrap/>
            <w:vAlign w:val="center"/>
            <w:hideMark/>
          </w:tcPr>
          <w:p w14:paraId="60003F2A"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Australia</w:t>
            </w:r>
          </w:p>
        </w:tc>
        <w:tc>
          <w:tcPr>
            <w:tcW w:w="1116" w:type="dxa"/>
            <w:tcBorders>
              <w:top w:val="nil"/>
              <w:left w:val="nil"/>
              <w:bottom w:val="nil"/>
              <w:right w:val="nil"/>
            </w:tcBorders>
            <w:shd w:val="clear" w:color="auto" w:fill="auto"/>
            <w:noWrap/>
            <w:vAlign w:val="center"/>
            <w:hideMark/>
          </w:tcPr>
          <w:p w14:paraId="048428B2"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Belgium</w:t>
            </w:r>
          </w:p>
        </w:tc>
        <w:tc>
          <w:tcPr>
            <w:tcW w:w="1181" w:type="dxa"/>
            <w:tcBorders>
              <w:top w:val="nil"/>
              <w:left w:val="nil"/>
              <w:bottom w:val="nil"/>
              <w:right w:val="nil"/>
            </w:tcBorders>
            <w:shd w:val="clear" w:color="auto" w:fill="auto"/>
            <w:noWrap/>
            <w:vAlign w:val="center"/>
            <w:hideMark/>
          </w:tcPr>
          <w:p w14:paraId="5D19E07F"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Canada</w:t>
            </w:r>
          </w:p>
        </w:tc>
        <w:tc>
          <w:tcPr>
            <w:tcW w:w="1108" w:type="dxa"/>
            <w:tcBorders>
              <w:top w:val="nil"/>
              <w:left w:val="nil"/>
              <w:bottom w:val="nil"/>
              <w:right w:val="nil"/>
            </w:tcBorders>
            <w:shd w:val="clear" w:color="auto" w:fill="auto"/>
            <w:noWrap/>
            <w:vAlign w:val="center"/>
            <w:hideMark/>
          </w:tcPr>
          <w:p w14:paraId="44C64BF1"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France</w:t>
            </w:r>
          </w:p>
        </w:tc>
        <w:tc>
          <w:tcPr>
            <w:tcW w:w="834" w:type="dxa"/>
            <w:tcBorders>
              <w:top w:val="nil"/>
              <w:left w:val="nil"/>
              <w:bottom w:val="nil"/>
              <w:right w:val="nil"/>
            </w:tcBorders>
            <w:shd w:val="clear" w:color="auto" w:fill="auto"/>
            <w:noWrap/>
            <w:vAlign w:val="center"/>
            <w:hideMark/>
          </w:tcPr>
          <w:p w14:paraId="065C344C"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Germany</w:t>
            </w:r>
          </w:p>
        </w:tc>
        <w:tc>
          <w:tcPr>
            <w:tcW w:w="705" w:type="dxa"/>
            <w:tcBorders>
              <w:top w:val="nil"/>
              <w:left w:val="nil"/>
              <w:bottom w:val="nil"/>
              <w:right w:val="single" w:sz="8" w:space="0" w:color="auto"/>
            </w:tcBorders>
            <w:shd w:val="clear" w:color="auto" w:fill="auto"/>
            <w:noWrap/>
            <w:vAlign w:val="center"/>
            <w:hideMark/>
          </w:tcPr>
          <w:p w14:paraId="1A4EEFA0"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Italy</w:t>
            </w:r>
          </w:p>
        </w:tc>
      </w:tr>
      <w:tr w:rsidR="00ED02A4" w:rsidRPr="00AC0EE7" w14:paraId="02B1E632" w14:textId="77777777" w:rsidTr="00367A87">
        <w:trPr>
          <w:trHeight w:val="288"/>
          <w:jc w:val="center"/>
        </w:trPr>
        <w:tc>
          <w:tcPr>
            <w:tcW w:w="816" w:type="dxa"/>
            <w:tcBorders>
              <w:top w:val="nil"/>
              <w:left w:val="single" w:sz="8" w:space="0" w:color="auto"/>
              <w:bottom w:val="nil"/>
              <w:right w:val="nil"/>
            </w:tcBorders>
            <w:shd w:val="clear" w:color="auto" w:fill="auto"/>
            <w:noWrap/>
            <w:vAlign w:val="center"/>
            <w:hideMark/>
          </w:tcPr>
          <w:p w14:paraId="288BA5E1"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-1.858</w:t>
            </w:r>
          </w:p>
        </w:tc>
        <w:tc>
          <w:tcPr>
            <w:tcW w:w="1116" w:type="dxa"/>
            <w:tcBorders>
              <w:top w:val="nil"/>
              <w:left w:val="nil"/>
              <w:bottom w:val="nil"/>
              <w:right w:val="nil"/>
            </w:tcBorders>
            <w:shd w:val="clear" w:color="auto" w:fill="auto"/>
            <w:noWrap/>
            <w:vAlign w:val="center"/>
            <w:hideMark/>
          </w:tcPr>
          <w:p w14:paraId="10676403"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-2.144</w:t>
            </w:r>
          </w:p>
        </w:tc>
        <w:tc>
          <w:tcPr>
            <w:tcW w:w="1181" w:type="dxa"/>
            <w:tcBorders>
              <w:top w:val="nil"/>
              <w:left w:val="nil"/>
              <w:bottom w:val="nil"/>
              <w:right w:val="nil"/>
            </w:tcBorders>
            <w:shd w:val="clear" w:color="auto" w:fill="auto"/>
            <w:noWrap/>
            <w:vAlign w:val="center"/>
            <w:hideMark/>
          </w:tcPr>
          <w:p w14:paraId="69746E33"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-1.929</w:t>
            </w:r>
          </w:p>
        </w:tc>
        <w:tc>
          <w:tcPr>
            <w:tcW w:w="1108" w:type="dxa"/>
            <w:tcBorders>
              <w:top w:val="nil"/>
              <w:left w:val="nil"/>
              <w:bottom w:val="nil"/>
              <w:right w:val="nil"/>
            </w:tcBorders>
            <w:shd w:val="clear" w:color="auto" w:fill="auto"/>
            <w:noWrap/>
            <w:vAlign w:val="center"/>
            <w:hideMark/>
          </w:tcPr>
          <w:p w14:paraId="32B493B0"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-2.371</w:t>
            </w:r>
          </w:p>
        </w:tc>
        <w:tc>
          <w:tcPr>
            <w:tcW w:w="834" w:type="dxa"/>
            <w:tcBorders>
              <w:top w:val="nil"/>
              <w:left w:val="nil"/>
              <w:bottom w:val="nil"/>
              <w:right w:val="nil"/>
            </w:tcBorders>
            <w:shd w:val="clear" w:color="auto" w:fill="auto"/>
            <w:noWrap/>
            <w:vAlign w:val="center"/>
            <w:hideMark/>
          </w:tcPr>
          <w:p w14:paraId="549295C3" w14:textId="3C0F2C18"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-1.43</w:t>
            </w:r>
            <w:r w:rsidR="00F21DCA">
              <w:rPr>
                <w:rFonts w:ascii="Calibri" w:eastAsia="Times New Roman" w:hAnsi="Calibri" w:cs="Calibri"/>
                <w:color w:val="000000"/>
                <w:sz w:val="20"/>
                <w:szCs w:val="20"/>
                <w:lang w:eastAsia="en-IE"/>
              </w:rPr>
              <w:t>0</w:t>
            </w:r>
          </w:p>
        </w:tc>
        <w:tc>
          <w:tcPr>
            <w:tcW w:w="705" w:type="dxa"/>
            <w:tcBorders>
              <w:top w:val="nil"/>
              <w:left w:val="nil"/>
              <w:bottom w:val="nil"/>
              <w:right w:val="single" w:sz="8" w:space="0" w:color="auto"/>
            </w:tcBorders>
            <w:shd w:val="clear" w:color="auto" w:fill="auto"/>
            <w:noWrap/>
            <w:vAlign w:val="center"/>
            <w:hideMark/>
          </w:tcPr>
          <w:p w14:paraId="168836FB" w14:textId="3B746134"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-1.84</w:t>
            </w:r>
            <w:r w:rsidR="00F21DCA">
              <w:rPr>
                <w:rFonts w:ascii="Calibri" w:eastAsia="Times New Roman" w:hAnsi="Calibri" w:cs="Calibri"/>
                <w:color w:val="000000"/>
                <w:sz w:val="20"/>
                <w:szCs w:val="20"/>
                <w:lang w:eastAsia="en-IE"/>
              </w:rPr>
              <w:t>0</w:t>
            </w:r>
          </w:p>
        </w:tc>
      </w:tr>
      <w:tr w:rsidR="00ED02A4" w:rsidRPr="00AC0EE7" w14:paraId="4A3D9816" w14:textId="77777777" w:rsidTr="00367A87">
        <w:trPr>
          <w:trHeight w:val="300"/>
          <w:jc w:val="center"/>
        </w:trPr>
        <w:tc>
          <w:tcPr>
            <w:tcW w:w="816" w:type="dxa"/>
            <w:tcBorders>
              <w:top w:val="nil"/>
              <w:left w:val="single" w:sz="8" w:space="0" w:color="auto"/>
              <w:bottom w:val="single" w:sz="8" w:space="0" w:color="auto"/>
              <w:right w:val="nil"/>
            </w:tcBorders>
            <w:shd w:val="clear" w:color="auto" w:fill="auto"/>
            <w:noWrap/>
            <w:vAlign w:val="center"/>
            <w:hideMark/>
          </w:tcPr>
          <w:p w14:paraId="7DD8C9AD"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-6.392</w:t>
            </w:r>
          </w:p>
        </w:tc>
        <w:tc>
          <w:tcPr>
            <w:tcW w:w="1116" w:type="dxa"/>
            <w:tcBorders>
              <w:top w:val="nil"/>
              <w:left w:val="nil"/>
              <w:bottom w:val="single" w:sz="8" w:space="0" w:color="auto"/>
              <w:right w:val="nil"/>
            </w:tcBorders>
            <w:shd w:val="clear" w:color="auto" w:fill="auto"/>
            <w:noWrap/>
            <w:vAlign w:val="center"/>
            <w:hideMark/>
          </w:tcPr>
          <w:p w14:paraId="00BDF6ED" w14:textId="2D51F420"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-5.3</w:t>
            </w:r>
            <w:r w:rsidR="00F21DCA">
              <w:rPr>
                <w:rFonts w:ascii="Calibri" w:eastAsia="Times New Roman" w:hAnsi="Calibri" w:cs="Calibri"/>
                <w:b/>
                <w:bCs/>
                <w:i/>
                <w:iCs/>
                <w:color w:val="000000"/>
                <w:sz w:val="20"/>
                <w:szCs w:val="20"/>
                <w:lang w:eastAsia="en-IE"/>
              </w:rPr>
              <w:t>00</w:t>
            </w:r>
          </w:p>
        </w:tc>
        <w:tc>
          <w:tcPr>
            <w:tcW w:w="1181" w:type="dxa"/>
            <w:tcBorders>
              <w:top w:val="nil"/>
              <w:left w:val="nil"/>
              <w:bottom w:val="single" w:sz="8" w:space="0" w:color="auto"/>
              <w:right w:val="nil"/>
            </w:tcBorders>
            <w:shd w:val="clear" w:color="auto" w:fill="auto"/>
            <w:noWrap/>
            <w:vAlign w:val="center"/>
            <w:hideMark/>
          </w:tcPr>
          <w:p w14:paraId="12B69CEB" w14:textId="50D4CF44"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-8.24</w:t>
            </w:r>
            <w:r w:rsidR="0020615E">
              <w:rPr>
                <w:rFonts w:ascii="Calibri" w:eastAsia="Times New Roman" w:hAnsi="Calibri" w:cs="Calibri"/>
                <w:b/>
                <w:bCs/>
                <w:i/>
                <w:iCs/>
                <w:color w:val="000000"/>
                <w:sz w:val="20"/>
                <w:szCs w:val="20"/>
                <w:lang w:eastAsia="en-IE"/>
              </w:rPr>
              <w:t>0</w:t>
            </w:r>
          </w:p>
        </w:tc>
        <w:tc>
          <w:tcPr>
            <w:tcW w:w="1108" w:type="dxa"/>
            <w:tcBorders>
              <w:top w:val="nil"/>
              <w:left w:val="nil"/>
              <w:bottom w:val="single" w:sz="8" w:space="0" w:color="auto"/>
              <w:right w:val="nil"/>
            </w:tcBorders>
            <w:shd w:val="clear" w:color="auto" w:fill="auto"/>
            <w:noWrap/>
            <w:vAlign w:val="center"/>
            <w:hideMark/>
          </w:tcPr>
          <w:p w14:paraId="02AEAD68"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-6.194</w:t>
            </w:r>
          </w:p>
        </w:tc>
        <w:tc>
          <w:tcPr>
            <w:tcW w:w="834" w:type="dxa"/>
            <w:tcBorders>
              <w:top w:val="nil"/>
              <w:left w:val="nil"/>
              <w:bottom w:val="single" w:sz="8" w:space="0" w:color="auto"/>
              <w:right w:val="nil"/>
            </w:tcBorders>
            <w:shd w:val="clear" w:color="auto" w:fill="auto"/>
            <w:noWrap/>
            <w:vAlign w:val="center"/>
            <w:hideMark/>
          </w:tcPr>
          <w:p w14:paraId="023F1915"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-4.074</w:t>
            </w:r>
          </w:p>
        </w:tc>
        <w:tc>
          <w:tcPr>
            <w:tcW w:w="705" w:type="dxa"/>
            <w:tcBorders>
              <w:top w:val="nil"/>
              <w:left w:val="nil"/>
              <w:bottom w:val="single" w:sz="8" w:space="0" w:color="auto"/>
              <w:right w:val="single" w:sz="8" w:space="0" w:color="auto"/>
            </w:tcBorders>
            <w:shd w:val="clear" w:color="auto" w:fill="auto"/>
            <w:noWrap/>
            <w:vAlign w:val="center"/>
            <w:hideMark/>
          </w:tcPr>
          <w:p w14:paraId="49B1EF7E"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-5.125</w:t>
            </w:r>
          </w:p>
        </w:tc>
      </w:tr>
      <w:tr w:rsidR="00ED02A4" w:rsidRPr="00AC0EE7" w14:paraId="2C9910A5" w14:textId="77777777" w:rsidTr="00367A87">
        <w:trPr>
          <w:trHeight w:val="288"/>
          <w:jc w:val="center"/>
        </w:trPr>
        <w:tc>
          <w:tcPr>
            <w:tcW w:w="816" w:type="dxa"/>
            <w:tcBorders>
              <w:top w:val="nil"/>
              <w:left w:val="single" w:sz="8" w:space="0" w:color="auto"/>
              <w:bottom w:val="nil"/>
              <w:right w:val="nil"/>
            </w:tcBorders>
            <w:shd w:val="clear" w:color="auto" w:fill="auto"/>
            <w:noWrap/>
            <w:vAlign w:val="center"/>
            <w:hideMark/>
          </w:tcPr>
          <w:p w14:paraId="38006061"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Japan</w:t>
            </w:r>
          </w:p>
        </w:tc>
        <w:tc>
          <w:tcPr>
            <w:tcW w:w="1116" w:type="dxa"/>
            <w:tcBorders>
              <w:top w:val="nil"/>
              <w:left w:val="nil"/>
              <w:bottom w:val="nil"/>
              <w:right w:val="nil"/>
            </w:tcBorders>
            <w:shd w:val="clear" w:color="auto" w:fill="auto"/>
            <w:noWrap/>
            <w:vAlign w:val="center"/>
            <w:hideMark/>
          </w:tcPr>
          <w:p w14:paraId="017E41A8"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Netherlands</w:t>
            </w:r>
          </w:p>
        </w:tc>
        <w:tc>
          <w:tcPr>
            <w:tcW w:w="1181" w:type="dxa"/>
            <w:tcBorders>
              <w:top w:val="nil"/>
              <w:left w:val="nil"/>
              <w:bottom w:val="nil"/>
              <w:right w:val="nil"/>
            </w:tcBorders>
            <w:shd w:val="clear" w:color="auto" w:fill="auto"/>
            <w:noWrap/>
            <w:vAlign w:val="center"/>
            <w:hideMark/>
          </w:tcPr>
          <w:p w14:paraId="63A98A65"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New Zealand</w:t>
            </w:r>
          </w:p>
        </w:tc>
        <w:tc>
          <w:tcPr>
            <w:tcW w:w="1108" w:type="dxa"/>
            <w:tcBorders>
              <w:top w:val="nil"/>
              <w:left w:val="nil"/>
              <w:bottom w:val="nil"/>
              <w:right w:val="nil"/>
            </w:tcBorders>
            <w:shd w:val="clear" w:color="auto" w:fill="auto"/>
            <w:noWrap/>
            <w:vAlign w:val="center"/>
            <w:hideMark/>
          </w:tcPr>
          <w:p w14:paraId="7A2F1FA7"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South Africa</w:t>
            </w:r>
          </w:p>
        </w:tc>
        <w:tc>
          <w:tcPr>
            <w:tcW w:w="834" w:type="dxa"/>
            <w:tcBorders>
              <w:top w:val="nil"/>
              <w:left w:val="nil"/>
              <w:bottom w:val="nil"/>
              <w:right w:val="nil"/>
            </w:tcBorders>
            <w:shd w:val="clear" w:color="auto" w:fill="auto"/>
            <w:noWrap/>
            <w:vAlign w:val="center"/>
            <w:hideMark/>
          </w:tcPr>
          <w:p w14:paraId="7CDE4299"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UK</w:t>
            </w:r>
          </w:p>
        </w:tc>
        <w:tc>
          <w:tcPr>
            <w:tcW w:w="705" w:type="dxa"/>
            <w:tcBorders>
              <w:top w:val="nil"/>
              <w:left w:val="nil"/>
              <w:bottom w:val="nil"/>
              <w:right w:val="single" w:sz="8" w:space="0" w:color="auto"/>
            </w:tcBorders>
            <w:shd w:val="clear" w:color="auto" w:fill="auto"/>
            <w:noWrap/>
            <w:vAlign w:val="center"/>
            <w:hideMark/>
          </w:tcPr>
          <w:p w14:paraId="75ADEE3A"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US</w:t>
            </w:r>
          </w:p>
        </w:tc>
      </w:tr>
      <w:tr w:rsidR="00ED02A4" w:rsidRPr="00AC0EE7" w14:paraId="343E2B37" w14:textId="77777777" w:rsidTr="00367A87">
        <w:trPr>
          <w:trHeight w:val="288"/>
          <w:jc w:val="center"/>
        </w:trPr>
        <w:tc>
          <w:tcPr>
            <w:tcW w:w="816" w:type="dxa"/>
            <w:tcBorders>
              <w:top w:val="nil"/>
              <w:left w:val="single" w:sz="8" w:space="0" w:color="auto"/>
              <w:bottom w:val="nil"/>
              <w:right w:val="nil"/>
            </w:tcBorders>
            <w:shd w:val="clear" w:color="auto" w:fill="auto"/>
            <w:noWrap/>
            <w:vAlign w:val="center"/>
            <w:hideMark/>
          </w:tcPr>
          <w:p w14:paraId="0720613D"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0.143</w:t>
            </w:r>
          </w:p>
        </w:tc>
        <w:tc>
          <w:tcPr>
            <w:tcW w:w="1116" w:type="dxa"/>
            <w:tcBorders>
              <w:top w:val="nil"/>
              <w:left w:val="nil"/>
              <w:bottom w:val="nil"/>
              <w:right w:val="nil"/>
            </w:tcBorders>
            <w:shd w:val="clear" w:color="auto" w:fill="auto"/>
            <w:noWrap/>
            <w:vAlign w:val="center"/>
            <w:hideMark/>
          </w:tcPr>
          <w:p w14:paraId="003F05BB"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-2.125</w:t>
            </w:r>
          </w:p>
        </w:tc>
        <w:tc>
          <w:tcPr>
            <w:tcW w:w="1181" w:type="dxa"/>
            <w:tcBorders>
              <w:top w:val="nil"/>
              <w:left w:val="nil"/>
              <w:bottom w:val="nil"/>
              <w:right w:val="nil"/>
            </w:tcBorders>
            <w:shd w:val="clear" w:color="auto" w:fill="auto"/>
            <w:noWrap/>
            <w:vAlign w:val="center"/>
            <w:hideMark/>
          </w:tcPr>
          <w:p w14:paraId="0CCB7CA0"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-2.001</w:t>
            </w:r>
          </w:p>
        </w:tc>
        <w:tc>
          <w:tcPr>
            <w:tcW w:w="1108" w:type="dxa"/>
            <w:tcBorders>
              <w:top w:val="nil"/>
              <w:left w:val="nil"/>
              <w:bottom w:val="nil"/>
              <w:right w:val="nil"/>
            </w:tcBorders>
            <w:shd w:val="clear" w:color="auto" w:fill="auto"/>
            <w:noWrap/>
            <w:vAlign w:val="center"/>
            <w:hideMark/>
          </w:tcPr>
          <w:p w14:paraId="7578C79C"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-1.829</w:t>
            </w:r>
          </w:p>
        </w:tc>
        <w:tc>
          <w:tcPr>
            <w:tcW w:w="834" w:type="dxa"/>
            <w:tcBorders>
              <w:top w:val="nil"/>
              <w:left w:val="nil"/>
              <w:bottom w:val="nil"/>
              <w:right w:val="nil"/>
            </w:tcBorders>
            <w:shd w:val="clear" w:color="auto" w:fill="auto"/>
            <w:noWrap/>
            <w:vAlign w:val="center"/>
            <w:hideMark/>
          </w:tcPr>
          <w:p w14:paraId="358EB0D0"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-2.176</w:t>
            </w:r>
          </w:p>
        </w:tc>
        <w:tc>
          <w:tcPr>
            <w:tcW w:w="705" w:type="dxa"/>
            <w:tcBorders>
              <w:top w:val="nil"/>
              <w:left w:val="nil"/>
              <w:bottom w:val="nil"/>
              <w:right w:val="single" w:sz="8" w:space="0" w:color="auto"/>
            </w:tcBorders>
            <w:shd w:val="clear" w:color="auto" w:fill="auto"/>
            <w:noWrap/>
            <w:vAlign w:val="center"/>
            <w:hideMark/>
          </w:tcPr>
          <w:p w14:paraId="3E21DD93" w14:textId="0818D372"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-0.94</w:t>
            </w:r>
            <w:r w:rsidR="00F21DCA">
              <w:rPr>
                <w:rFonts w:ascii="Calibri" w:eastAsia="Times New Roman" w:hAnsi="Calibri" w:cs="Calibri"/>
                <w:color w:val="000000"/>
                <w:sz w:val="20"/>
                <w:szCs w:val="20"/>
                <w:lang w:eastAsia="en-IE"/>
              </w:rPr>
              <w:t>0</w:t>
            </w:r>
          </w:p>
        </w:tc>
      </w:tr>
      <w:tr w:rsidR="00ED02A4" w:rsidRPr="00AC0EE7" w14:paraId="2EDE8E7F" w14:textId="77777777" w:rsidTr="00367A87">
        <w:trPr>
          <w:trHeight w:val="288"/>
          <w:jc w:val="center"/>
        </w:trPr>
        <w:tc>
          <w:tcPr>
            <w:tcW w:w="816" w:type="dxa"/>
            <w:tcBorders>
              <w:top w:val="nil"/>
              <w:left w:val="single" w:sz="8" w:space="0" w:color="auto"/>
              <w:bottom w:val="nil"/>
              <w:right w:val="nil"/>
            </w:tcBorders>
            <w:shd w:val="clear" w:color="auto" w:fill="auto"/>
            <w:noWrap/>
            <w:vAlign w:val="center"/>
            <w:hideMark/>
          </w:tcPr>
          <w:p w14:paraId="500CBC83"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-0.628</w:t>
            </w:r>
          </w:p>
        </w:tc>
        <w:tc>
          <w:tcPr>
            <w:tcW w:w="1116" w:type="dxa"/>
            <w:tcBorders>
              <w:top w:val="nil"/>
              <w:left w:val="nil"/>
              <w:bottom w:val="nil"/>
              <w:right w:val="nil"/>
            </w:tcBorders>
            <w:shd w:val="clear" w:color="auto" w:fill="auto"/>
            <w:noWrap/>
            <w:vAlign w:val="center"/>
            <w:hideMark/>
          </w:tcPr>
          <w:p w14:paraId="13A8DE23"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-5.048</w:t>
            </w:r>
          </w:p>
        </w:tc>
        <w:tc>
          <w:tcPr>
            <w:tcW w:w="1181" w:type="dxa"/>
            <w:tcBorders>
              <w:top w:val="nil"/>
              <w:left w:val="nil"/>
              <w:bottom w:val="nil"/>
              <w:right w:val="nil"/>
            </w:tcBorders>
            <w:shd w:val="clear" w:color="auto" w:fill="auto"/>
            <w:noWrap/>
            <w:vAlign w:val="center"/>
            <w:hideMark/>
          </w:tcPr>
          <w:p w14:paraId="505E9172"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-5.654</w:t>
            </w:r>
          </w:p>
        </w:tc>
        <w:tc>
          <w:tcPr>
            <w:tcW w:w="1108" w:type="dxa"/>
            <w:tcBorders>
              <w:top w:val="nil"/>
              <w:left w:val="nil"/>
              <w:bottom w:val="nil"/>
              <w:right w:val="nil"/>
            </w:tcBorders>
            <w:shd w:val="clear" w:color="auto" w:fill="auto"/>
            <w:noWrap/>
            <w:vAlign w:val="center"/>
            <w:hideMark/>
          </w:tcPr>
          <w:p w14:paraId="56FEAD1C"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-5.531</w:t>
            </w:r>
          </w:p>
        </w:tc>
        <w:tc>
          <w:tcPr>
            <w:tcW w:w="834" w:type="dxa"/>
            <w:tcBorders>
              <w:top w:val="nil"/>
              <w:left w:val="nil"/>
              <w:bottom w:val="nil"/>
              <w:right w:val="nil"/>
            </w:tcBorders>
            <w:shd w:val="clear" w:color="auto" w:fill="auto"/>
            <w:noWrap/>
            <w:vAlign w:val="center"/>
            <w:hideMark/>
          </w:tcPr>
          <w:p w14:paraId="0343FE31" w14:textId="0E08F12C"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-7.9</w:t>
            </w:r>
            <w:r w:rsidR="00F21DCA">
              <w:rPr>
                <w:rFonts w:ascii="Calibri" w:eastAsia="Times New Roman" w:hAnsi="Calibri" w:cs="Calibri"/>
                <w:b/>
                <w:bCs/>
                <w:i/>
                <w:iCs/>
                <w:color w:val="000000"/>
                <w:sz w:val="20"/>
                <w:szCs w:val="20"/>
                <w:lang w:eastAsia="en-IE"/>
              </w:rPr>
              <w:t>00</w:t>
            </w:r>
          </w:p>
        </w:tc>
        <w:tc>
          <w:tcPr>
            <w:tcW w:w="705" w:type="dxa"/>
            <w:tcBorders>
              <w:top w:val="nil"/>
              <w:left w:val="nil"/>
              <w:bottom w:val="nil"/>
              <w:right w:val="single" w:sz="8" w:space="0" w:color="auto"/>
            </w:tcBorders>
            <w:shd w:val="clear" w:color="auto" w:fill="auto"/>
            <w:noWrap/>
            <w:vAlign w:val="center"/>
            <w:hideMark/>
          </w:tcPr>
          <w:p w14:paraId="627B4A4E"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-5.991</w:t>
            </w:r>
          </w:p>
        </w:tc>
      </w:tr>
      <w:tr w:rsidR="00ED02A4" w:rsidRPr="00AC0EE7" w14:paraId="04FEBE4D" w14:textId="77777777" w:rsidTr="00367A87">
        <w:trPr>
          <w:trHeight w:val="300"/>
          <w:jc w:val="center"/>
        </w:trPr>
        <w:tc>
          <w:tcPr>
            <w:tcW w:w="816" w:type="dxa"/>
            <w:tcBorders>
              <w:top w:val="nil"/>
              <w:left w:val="single" w:sz="8" w:space="0" w:color="auto"/>
              <w:bottom w:val="single" w:sz="8" w:space="0" w:color="auto"/>
              <w:right w:val="nil"/>
            </w:tcBorders>
            <w:shd w:val="clear" w:color="auto" w:fill="auto"/>
            <w:noWrap/>
            <w:vAlign w:val="bottom"/>
            <w:hideMark/>
          </w:tcPr>
          <w:p w14:paraId="2B0D67CB"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1116" w:type="dxa"/>
            <w:tcBorders>
              <w:top w:val="nil"/>
              <w:left w:val="nil"/>
              <w:bottom w:val="single" w:sz="8" w:space="0" w:color="auto"/>
              <w:right w:val="nil"/>
            </w:tcBorders>
            <w:shd w:val="clear" w:color="auto" w:fill="auto"/>
            <w:noWrap/>
            <w:vAlign w:val="bottom"/>
            <w:hideMark/>
          </w:tcPr>
          <w:p w14:paraId="3C539F6D"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1181" w:type="dxa"/>
            <w:tcBorders>
              <w:top w:val="nil"/>
              <w:left w:val="nil"/>
              <w:bottom w:val="single" w:sz="8" w:space="0" w:color="auto"/>
              <w:right w:val="nil"/>
            </w:tcBorders>
            <w:shd w:val="clear" w:color="auto" w:fill="auto"/>
            <w:noWrap/>
            <w:vAlign w:val="bottom"/>
            <w:hideMark/>
          </w:tcPr>
          <w:p w14:paraId="6F17F9C7"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1108" w:type="dxa"/>
            <w:tcBorders>
              <w:top w:val="nil"/>
              <w:left w:val="nil"/>
              <w:bottom w:val="single" w:sz="8" w:space="0" w:color="auto"/>
              <w:right w:val="nil"/>
            </w:tcBorders>
            <w:shd w:val="clear" w:color="auto" w:fill="auto"/>
            <w:noWrap/>
            <w:vAlign w:val="bottom"/>
            <w:hideMark/>
          </w:tcPr>
          <w:p w14:paraId="05D637B0"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834" w:type="dxa"/>
            <w:tcBorders>
              <w:top w:val="nil"/>
              <w:left w:val="nil"/>
              <w:bottom w:val="single" w:sz="8" w:space="0" w:color="auto"/>
              <w:right w:val="nil"/>
            </w:tcBorders>
            <w:shd w:val="clear" w:color="auto" w:fill="auto"/>
            <w:noWrap/>
            <w:vAlign w:val="bottom"/>
            <w:hideMark/>
          </w:tcPr>
          <w:p w14:paraId="0623201A"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705" w:type="dxa"/>
            <w:tcBorders>
              <w:top w:val="nil"/>
              <w:left w:val="nil"/>
              <w:bottom w:val="single" w:sz="8" w:space="0" w:color="auto"/>
              <w:right w:val="single" w:sz="8" w:space="0" w:color="auto"/>
            </w:tcBorders>
            <w:shd w:val="clear" w:color="auto" w:fill="auto"/>
            <w:noWrap/>
            <w:vAlign w:val="bottom"/>
            <w:hideMark/>
          </w:tcPr>
          <w:p w14:paraId="0C932BAA"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4C464452" w14:textId="77777777" w:rsidTr="00367A87">
        <w:trPr>
          <w:trHeight w:val="300"/>
          <w:jc w:val="center"/>
        </w:trPr>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BD74386" w14:textId="77777777" w:rsidR="00ED02A4" w:rsidRPr="00AC0EE7" w:rsidRDefault="00ED02A4" w:rsidP="00367A87">
            <w:pPr>
              <w:spacing w:after="0" w:line="240" w:lineRule="auto"/>
              <w:jc w:val="center"/>
              <w:rPr>
                <w:rFonts w:ascii="Calibri" w:eastAsia="Times New Roman" w:hAnsi="Calibri" w:cs="Calibri"/>
                <w:b/>
                <w:bCs/>
                <w:color w:val="000000"/>
                <w:sz w:val="20"/>
                <w:szCs w:val="20"/>
                <w:lang w:eastAsia="en-IE"/>
              </w:rPr>
            </w:pPr>
            <w:r w:rsidRPr="00AC0EE7">
              <w:rPr>
                <w:rFonts w:ascii="Calibri" w:eastAsia="Times New Roman" w:hAnsi="Calibri" w:cs="Calibri"/>
                <w:b/>
                <w:bCs/>
                <w:color w:val="000000"/>
                <w:sz w:val="20"/>
                <w:szCs w:val="20"/>
                <w:lang w:eastAsia="en-IE"/>
              </w:rPr>
              <w:t>Pre 2000</w:t>
            </w:r>
          </w:p>
        </w:tc>
      </w:tr>
      <w:tr w:rsidR="00ED02A4" w:rsidRPr="00AC0EE7" w14:paraId="29AD1D8C" w14:textId="77777777" w:rsidTr="00367A87">
        <w:trPr>
          <w:trHeight w:val="288"/>
          <w:jc w:val="center"/>
        </w:trPr>
        <w:tc>
          <w:tcPr>
            <w:tcW w:w="816" w:type="dxa"/>
            <w:tcBorders>
              <w:top w:val="nil"/>
              <w:left w:val="single" w:sz="8" w:space="0" w:color="auto"/>
              <w:bottom w:val="nil"/>
              <w:right w:val="nil"/>
            </w:tcBorders>
            <w:shd w:val="clear" w:color="auto" w:fill="auto"/>
            <w:noWrap/>
            <w:vAlign w:val="center"/>
            <w:hideMark/>
          </w:tcPr>
          <w:p w14:paraId="3EB7D30F"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Australia</w:t>
            </w:r>
          </w:p>
        </w:tc>
        <w:tc>
          <w:tcPr>
            <w:tcW w:w="1116" w:type="dxa"/>
            <w:tcBorders>
              <w:top w:val="nil"/>
              <w:left w:val="nil"/>
              <w:bottom w:val="nil"/>
              <w:right w:val="nil"/>
            </w:tcBorders>
            <w:shd w:val="clear" w:color="auto" w:fill="auto"/>
            <w:noWrap/>
            <w:vAlign w:val="center"/>
            <w:hideMark/>
          </w:tcPr>
          <w:p w14:paraId="2D28B50D"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Belgium</w:t>
            </w:r>
          </w:p>
        </w:tc>
        <w:tc>
          <w:tcPr>
            <w:tcW w:w="1181" w:type="dxa"/>
            <w:tcBorders>
              <w:top w:val="nil"/>
              <w:left w:val="nil"/>
              <w:bottom w:val="nil"/>
              <w:right w:val="nil"/>
            </w:tcBorders>
            <w:shd w:val="clear" w:color="auto" w:fill="auto"/>
            <w:noWrap/>
            <w:vAlign w:val="center"/>
            <w:hideMark/>
          </w:tcPr>
          <w:p w14:paraId="0DB67BF5"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Canada</w:t>
            </w:r>
          </w:p>
        </w:tc>
        <w:tc>
          <w:tcPr>
            <w:tcW w:w="1108" w:type="dxa"/>
            <w:tcBorders>
              <w:top w:val="nil"/>
              <w:left w:val="nil"/>
              <w:bottom w:val="nil"/>
              <w:right w:val="nil"/>
            </w:tcBorders>
            <w:shd w:val="clear" w:color="auto" w:fill="auto"/>
            <w:noWrap/>
            <w:vAlign w:val="center"/>
            <w:hideMark/>
          </w:tcPr>
          <w:p w14:paraId="2CBE1D61"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France</w:t>
            </w:r>
          </w:p>
        </w:tc>
        <w:tc>
          <w:tcPr>
            <w:tcW w:w="834" w:type="dxa"/>
            <w:tcBorders>
              <w:top w:val="nil"/>
              <w:left w:val="nil"/>
              <w:bottom w:val="nil"/>
              <w:right w:val="nil"/>
            </w:tcBorders>
            <w:shd w:val="clear" w:color="auto" w:fill="auto"/>
            <w:noWrap/>
            <w:vAlign w:val="center"/>
            <w:hideMark/>
          </w:tcPr>
          <w:p w14:paraId="1479CEA2"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Germany</w:t>
            </w:r>
          </w:p>
        </w:tc>
        <w:tc>
          <w:tcPr>
            <w:tcW w:w="705" w:type="dxa"/>
            <w:tcBorders>
              <w:top w:val="nil"/>
              <w:left w:val="nil"/>
              <w:bottom w:val="nil"/>
              <w:right w:val="single" w:sz="8" w:space="0" w:color="auto"/>
            </w:tcBorders>
            <w:shd w:val="clear" w:color="auto" w:fill="auto"/>
            <w:noWrap/>
            <w:vAlign w:val="center"/>
            <w:hideMark/>
          </w:tcPr>
          <w:p w14:paraId="1FF8DFC4"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Italy</w:t>
            </w:r>
          </w:p>
        </w:tc>
      </w:tr>
      <w:tr w:rsidR="00ED02A4" w:rsidRPr="00AC0EE7" w14:paraId="2D41939B" w14:textId="77777777" w:rsidTr="00367A87">
        <w:trPr>
          <w:trHeight w:val="288"/>
          <w:jc w:val="center"/>
        </w:trPr>
        <w:tc>
          <w:tcPr>
            <w:tcW w:w="816" w:type="dxa"/>
            <w:tcBorders>
              <w:top w:val="nil"/>
              <w:left w:val="single" w:sz="8" w:space="0" w:color="auto"/>
              <w:bottom w:val="nil"/>
              <w:right w:val="nil"/>
            </w:tcBorders>
            <w:shd w:val="clear" w:color="auto" w:fill="auto"/>
            <w:noWrap/>
            <w:vAlign w:val="center"/>
            <w:hideMark/>
          </w:tcPr>
          <w:p w14:paraId="7153584D"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-0.674</w:t>
            </w:r>
          </w:p>
        </w:tc>
        <w:tc>
          <w:tcPr>
            <w:tcW w:w="1116" w:type="dxa"/>
            <w:tcBorders>
              <w:top w:val="nil"/>
              <w:left w:val="nil"/>
              <w:bottom w:val="nil"/>
              <w:right w:val="nil"/>
            </w:tcBorders>
            <w:shd w:val="clear" w:color="auto" w:fill="auto"/>
            <w:noWrap/>
            <w:vAlign w:val="center"/>
            <w:hideMark/>
          </w:tcPr>
          <w:p w14:paraId="256F7703"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1.208</w:t>
            </w:r>
          </w:p>
        </w:tc>
        <w:tc>
          <w:tcPr>
            <w:tcW w:w="1181" w:type="dxa"/>
            <w:tcBorders>
              <w:top w:val="nil"/>
              <w:left w:val="nil"/>
              <w:bottom w:val="nil"/>
              <w:right w:val="nil"/>
            </w:tcBorders>
            <w:shd w:val="clear" w:color="auto" w:fill="auto"/>
            <w:noWrap/>
            <w:vAlign w:val="center"/>
            <w:hideMark/>
          </w:tcPr>
          <w:p w14:paraId="40357D4A"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-0.486</w:t>
            </w:r>
          </w:p>
        </w:tc>
        <w:tc>
          <w:tcPr>
            <w:tcW w:w="1108" w:type="dxa"/>
            <w:tcBorders>
              <w:top w:val="nil"/>
              <w:left w:val="nil"/>
              <w:bottom w:val="nil"/>
              <w:right w:val="nil"/>
            </w:tcBorders>
            <w:shd w:val="clear" w:color="auto" w:fill="auto"/>
            <w:noWrap/>
            <w:vAlign w:val="center"/>
            <w:hideMark/>
          </w:tcPr>
          <w:p w14:paraId="5F14597F" w14:textId="595C2362"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0.92</w:t>
            </w:r>
            <w:r w:rsidR="00F21DCA">
              <w:rPr>
                <w:rFonts w:ascii="Calibri" w:eastAsia="Times New Roman" w:hAnsi="Calibri" w:cs="Calibri"/>
                <w:color w:val="000000"/>
                <w:sz w:val="20"/>
                <w:szCs w:val="20"/>
                <w:lang w:eastAsia="en-IE"/>
              </w:rPr>
              <w:t>0</w:t>
            </w:r>
          </w:p>
        </w:tc>
        <w:tc>
          <w:tcPr>
            <w:tcW w:w="834" w:type="dxa"/>
            <w:tcBorders>
              <w:top w:val="nil"/>
              <w:left w:val="nil"/>
              <w:bottom w:val="nil"/>
              <w:right w:val="nil"/>
            </w:tcBorders>
            <w:shd w:val="clear" w:color="auto" w:fill="auto"/>
            <w:noWrap/>
            <w:vAlign w:val="center"/>
            <w:hideMark/>
          </w:tcPr>
          <w:p w14:paraId="2ABA4045"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1.261</w:t>
            </w:r>
          </w:p>
        </w:tc>
        <w:tc>
          <w:tcPr>
            <w:tcW w:w="705" w:type="dxa"/>
            <w:tcBorders>
              <w:top w:val="nil"/>
              <w:left w:val="nil"/>
              <w:bottom w:val="nil"/>
              <w:right w:val="single" w:sz="8" w:space="0" w:color="auto"/>
            </w:tcBorders>
            <w:shd w:val="clear" w:color="auto" w:fill="auto"/>
            <w:noWrap/>
            <w:vAlign w:val="center"/>
            <w:hideMark/>
          </w:tcPr>
          <w:p w14:paraId="46405675"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1.113</w:t>
            </w:r>
          </w:p>
        </w:tc>
      </w:tr>
      <w:tr w:rsidR="00ED02A4" w:rsidRPr="00AC0EE7" w14:paraId="3C64A7B3" w14:textId="77777777" w:rsidTr="00367A87">
        <w:trPr>
          <w:trHeight w:val="300"/>
          <w:jc w:val="center"/>
        </w:trPr>
        <w:tc>
          <w:tcPr>
            <w:tcW w:w="816" w:type="dxa"/>
            <w:tcBorders>
              <w:top w:val="nil"/>
              <w:left w:val="single" w:sz="8" w:space="0" w:color="auto"/>
              <w:bottom w:val="single" w:sz="8" w:space="0" w:color="auto"/>
              <w:right w:val="nil"/>
            </w:tcBorders>
            <w:shd w:val="clear" w:color="auto" w:fill="auto"/>
            <w:noWrap/>
            <w:vAlign w:val="center"/>
            <w:hideMark/>
          </w:tcPr>
          <w:p w14:paraId="47C877A0"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-0.968</w:t>
            </w:r>
          </w:p>
        </w:tc>
        <w:tc>
          <w:tcPr>
            <w:tcW w:w="1116" w:type="dxa"/>
            <w:tcBorders>
              <w:top w:val="nil"/>
              <w:left w:val="nil"/>
              <w:bottom w:val="single" w:sz="8" w:space="0" w:color="auto"/>
              <w:right w:val="nil"/>
            </w:tcBorders>
            <w:shd w:val="clear" w:color="auto" w:fill="auto"/>
            <w:noWrap/>
            <w:vAlign w:val="center"/>
            <w:hideMark/>
          </w:tcPr>
          <w:p w14:paraId="70A2188D" w14:textId="14E51C41"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1.48</w:t>
            </w:r>
            <w:r w:rsidR="00F21DCA">
              <w:rPr>
                <w:rFonts w:ascii="Calibri" w:eastAsia="Times New Roman" w:hAnsi="Calibri" w:cs="Calibri"/>
                <w:b/>
                <w:bCs/>
                <w:i/>
                <w:iCs/>
                <w:color w:val="000000"/>
                <w:sz w:val="20"/>
                <w:szCs w:val="20"/>
                <w:lang w:eastAsia="en-IE"/>
              </w:rPr>
              <w:t>0</w:t>
            </w:r>
          </w:p>
        </w:tc>
        <w:tc>
          <w:tcPr>
            <w:tcW w:w="1181" w:type="dxa"/>
            <w:tcBorders>
              <w:top w:val="nil"/>
              <w:left w:val="nil"/>
              <w:bottom w:val="single" w:sz="8" w:space="0" w:color="auto"/>
              <w:right w:val="nil"/>
            </w:tcBorders>
            <w:shd w:val="clear" w:color="auto" w:fill="auto"/>
            <w:noWrap/>
            <w:vAlign w:val="center"/>
            <w:hideMark/>
          </w:tcPr>
          <w:p w14:paraId="1594DADA" w14:textId="7C0EA851"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-1.65</w:t>
            </w:r>
            <w:r w:rsidR="00F21DCA">
              <w:rPr>
                <w:rFonts w:ascii="Calibri" w:eastAsia="Times New Roman" w:hAnsi="Calibri" w:cs="Calibri"/>
                <w:b/>
                <w:bCs/>
                <w:i/>
                <w:iCs/>
                <w:color w:val="000000"/>
                <w:sz w:val="20"/>
                <w:szCs w:val="20"/>
                <w:lang w:eastAsia="en-IE"/>
              </w:rPr>
              <w:t>0</w:t>
            </w:r>
          </w:p>
        </w:tc>
        <w:tc>
          <w:tcPr>
            <w:tcW w:w="1108" w:type="dxa"/>
            <w:tcBorders>
              <w:top w:val="nil"/>
              <w:left w:val="nil"/>
              <w:bottom w:val="single" w:sz="8" w:space="0" w:color="auto"/>
              <w:right w:val="nil"/>
            </w:tcBorders>
            <w:shd w:val="clear" w:color="auto" w:fill="auto"/>
            <w:noWrap/>
            <w:vAlign w:val="center"/>
            <w:hideMark/>
          </w:tcPr>
          <w:p w14:paraId="0A9C99D1" w14:textId="3479A9D4"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1.146</w:t>
            </w:r>
          </w:p>
        </w:tc>
        <w:tc>
          <w:tcPr>
            <w:tcW w:w="834" w:type="dxa"/>
            <w:tcBorders>
              <w:top w:val="nil"/>
              <w:left w:val="nil"/>
              <w:bottom w:val="single" w:sz="8" w:space="0" w:color="auto"/>
              <w:right w:val="nil"/>
            </w:tcBorders>
            <w:shd w:val="clear" w:color="auto" w:fill="auto"/>
            <w:noWrap/>
            <w:vAlign w:val="center"/>
            <w:hideMark/>
          </w:tcPr>
          <w:p w14:paraId="34C59861"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-1.434</w:t>
            </w:r>
          </w:p>
        </w:tc>
        <w:tc>
          <w:tcPr>
            <w:tcW w:w="705" w:type="dxa"/>
            <w:tcBorders>
              <w:top w:val="nil"/>
              <w:left w:val="nil"/>
              <w:bottom w:val="single" w:sz="8" w:space="0" w:color="auto"/>
              <w:right w:val="single" w:sz="8" w:space="0" w:color="auto"/>
            </w:tcBorders>
            <w:shd w:val="clear" w:color="auto" w:fill="auto"/>
            <w:noWrap/>
            <w:vAlign w:val="center"/>
            <w:hideMark/>
          </w:tcPr>
          <w:p w14:paraId="1B739696"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-1.332</w:t>
            </w:r>
          </w:p>
        </w:tc>
      </w:tr>
      <w:tr w:rsidR="00ED02A4" w:rsidRPr="00AC0EE7" w14:paraId="5CC65022" w14:textId="77777777" w:rsidTr="00367A87">
        <w:trPr>
          <w:trHeight w:val="288"/>
          <w:jc w:val="center"/>
        </w:trPr>
        <w:tc>
          <w:tcPr>
            <w:tcW w:w="816" w:type="dxa"/>
            <w:tcBorders>
              <w:top w:val="nil"/>
              <w:left w:val="single" w:sz="8" w:space="0" w:color="auto"/>
              <w:bottom w:val="nil"/>
              <w:right w:val="nil"/>
            </w:tcBorders>
            <w:shd w:val="clear" w:color="auto" w:fill="auto"/>
            <w:noWrap/>
            <w:vAlign w:val="center"/>
            <w:hideMark/>
          </w:tcPr>
          <w:p w14:paraId="7C824222"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Japan</w:t>
            </w:r>
          </w:p>
        </w:tc>
        <w:tc>
          <w:tcPr>
            <w:tcW w:w="1116" w:type="dxa"/>
            <w:tcBorders>
              <w:top w:val="nil"/>
              <w:left w:val="nil"/>
              <w:bottom w:val="nil"/>
              <w:right w:val="nil"/>
            </w:tcBorders>
            <w:shd w:val="clear" w:color="auto" w:fill="auto"/>
            <w:noWrap/>
            <w:vAlign w:val="center"/>
            <w:hideMark/>
          </w:tcPr>
          <w:p w14:paraId="2C3016D4"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Netherlands</w:t>
            </w:r>
          </w:p>
        </w:tc>
        <w:tc>
          <w:tcPr>
            <w:tcW w:w="1181" w:type="dxa"/>
            <w:tcBorders>
              <w:top w:val="nil"/>
              <w:left w:val="nil"/>
              <w:bottom w:val="nil"/>
              <w:right w:val="nil"/>
            </w:tcBorders>
            <w:shd w:val="clear" w:color="auto" w:fill="auto"/>
            <w:noWrap/>
            <w:vAlign w:val="center"/>
            <w:hideMark/>
          </w:tcPr>
          <w:p w14:paraId="4BE87BE3"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New Zealand</w:t>
            </w:r>
          </w:p>
        </w:tc>
        <w:tc>
          <w:tcPr>
            <w:tcW w:w="1108" w:type="dxa"/>
            <w:tcBorders>
              <w:top w:val="nil"/>
              <w:left w:val="nil"/>
              <w:bottom w:val="nil"/>
              <w:right w:val="nil"/>
            </w:tcBorders>
            <w:shd w:val="clear" w:color="auto" w:fill="auto"/>
            <w:noWrap/>
            <w:vAlign w:val="center"/>
            <w:hideMark/>
          </w:tcPr>
          <w:p w14:paraId="30E58823"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South Africa</w:t>
            </w:r>
          </w:p>
        </w:tc>
        <w:tc>
          <w:tcPr>
            <w:tcW w:w="834" w:type="dxa"/>
            <w:tcBorders>
              <w:top w:val="nil"/>
              <w:left w:val="nil"/>
              <w:bottom w:val="nil"/>
              <w:right w:val="nil"/>
            </w:tcBorders>
            <w:shd w:val="clear" w:color="auto" w:fill="auto"/>
            <w:noWrap/>
            <w:vAlign w:val="center"/>
            <w:hideMark/>
          </w:tcPr>
          <w:p w14:paraId="70A463EE"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UK</w:t>
            </w:r>
          </w:p>
        </w:tc>
        <w:tc>
          <w:tcPr>
            <w:tcW w:w="705" w:type="dxa"/>
            <w:tcBorders>
              <w:top w:val="nil"/>
              <w:left w:val="nil"/>
              <w:bottom w:val="nil"/>
              <w:right w:val="single" w:sz="8" w:space="0" w:color="auto"/>
            </w:tcBorders>
            <w:shd w:val="clear" w:color="auto" w:fill="auto"/>
            <w:noWrap/>
            <w:vAlign w:val="center"/>
            <w:hideMark/>
          </w:tcPr>
          <w:p w14:paraId="6D9A8AA8"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US</w:t>
            </w:r>
          </w:p>
        </w:tc>
      </w:tr>
      <w:tr w:rsidR="00ED02A4" w:rsidRPr="00AC0EE7" w14:paraId="62790C8F" w14:textId="77777777" w:rsidTr="00367A87">
        <w:trPr>
          <w:trHeight w:val="288"/>
          <w:jc w:val="center"/>
        </w:trPr>
        <w:tc>
          <w:tcPr>
            <w:tcW w:w="816" w:type="dxa"/>
            <w:tcBorders>
              <w:top w:val="nil"/>
              <w:left w:val="single" w:sz="8" w:space="0" w:color="auto"/>
              <w:bottom w:val="nil"/>
              <w:right w:val="nil"/>
            </w:tcBorders>
            <w:shd w:val="clear" w:color="auto" w:fill="auto"/>
            <w:noWrap/>
            <w:vAlign w:val="center"/>
            <w:hideMark/>
          </w:tcPr>
          <w:p w14:paraId="3EFD00FE"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1.226</w:t>
            </w:r>
          </w:p>
        </w:tc>
        <w:tc>
          <w:tcPr>
            <w:tcW w:w="1116" w:type="dxa"/>
            <w:tcBorders>
              <w:top w:val="nil"/>
              <w:left w:val="nil"/>
              <w:bottom w:val="nil"/>
              <w:right w:val="nil"/>
            </w:tcBorders>
            <w:shd w:val="clear" w:color="auto" w:fill="auto"/>
            <w:noWrap/>
            <w:vAlign w:val="center"/>
            <w:hideMark/>
          </w:tcPr>
          <w:p w14:paraId="0B1BE58C"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1.503</w:t>
            </w:r>
          </w:p>
        </w:tc>
        <w:tc>
          <w:tcPr>
            <w:tcW w:w="1181" w:type="dxa"/>
            <w:tcBorders>
              <w:top w:val="nil"/>
              <w:left w:val="nil"/>
              <w:bottom w:val="nil"/>
              <w:right w:val="nil"/>
            </w:tcBorders>
            <w:shd w:val="clear" w:color="auto" w:fill="auto"/>
            <w:noWrap/>
            <w:vAlign w:val="center"/>
            <w:hideMark/>
          </w:tcPr>
          <w:p w14:paraId="4841D418" w14:textId="477865AE"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-0.32</w:t>
            </w:r>
            <w:r w:rsidR="00BA4657">
              <w:rPr>
                <w:rFonts w:ascii="Calibri" w:eastAsia="Times New Roman" w:hAnsi="Calibri" w:cs="Calibri"/>
                <w:color w:val="000000"/>
                <w:sz w:val="20"/>
                <w:szCs w:val="20"/>
                <w:lang w:eastAsia="en-IE"/>
              </w:rPr>
              <w:t>0</w:t>
            </w:r>
          </w:p>
        </w:tc>
        <w:tc>
          <w:tcPr>
            <w:tcW w:w="1108" w:type="dxa"/>
            <w:tcBorders>
              <w:top w:val="nil"/>
              <w:left w:val="nil"/>
              <w:bottom w:val="nil"/>
              <w:right w:val="nil"/>
            </w:tcBorders>
            <w:shd w:val="clear" w:color="auto" w:fill="auto"/>
            <w:noWrap/>
            <w:vAlign w:val="center"/>
            <w:hideMark/>
          </w:tcPr>
          <w:p w14:paraId="20728B51"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-0.055</w:t>
            </w:r>
          </w:p>
        </w:tc>
        <w:tc>
          <w:tcPr>
            <w:tcW w:w="834" w:type="dxa"/>
            <w:tcBorders>
              <w:top w:val="nil"/>
              <w:left w:val="nil"/>
              <w:bottom w:val="nil"/>
              <w:right w:val="nil"/>
            </w:tcBorders>
            <w:shd w:val="clear" w:color="auto" w:fill="auto"/>
            <w:noWrap/>
            <w:vAlign w:val="center"/>
            <w:hideMark/>
          </w:tcPr>
          <w:p w14:paraId="655759CC"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0.228</w:t>
            </w:r>
          </w:p>
        </w:tc>
        <w:tc>
          <w:tcPr>
            <w:tcW w:w="705" w:type="dxa"/>
            <w:tcBorders>
              <w:top w:val="nil"/>
              <w:left w:val="nil"/>
              <w:bottom w:val="nil"/>
              <w:right w:val="single" w:sz="8" w:space="0" w:color="auto"/>
            </w:tcBorders>
            <w:shd w:val="clear" w:color="auto" w:fill="auto"/>
            <w:noWrap/>
            <w:vAlign w:val="center"/>
            <w:hideMark/>
          </w:tcPr>
          <w:p w14:paraId="631CC9DD"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-0.391</w:t>
            </w:r>
          </w:p>
        </w:tc>
      </w:tr>
      <w:tr w:rsidR="00ED02A4" w:rsidRPr="00AC0EE7" w14:paraId="5A96F730" w14:textId="77777777" w:rsidTr="00367A87">
        <w:trPr>
          <w:trHeight w:val="288"/>
          <w:jc w:val="center"/>
        </w:trPr>
        <w:tc>
          <w:tcPr>
            <w:tcW w:w="816" w:type="dxa"/>
            <w:tcBorders>
              <w:top w:val="nil"/>
              <w:left w:val="single" w:sz="8" w:space="0" w:color="auto"/>
              <w:bottom w:val="nil"/>
              <w:right w:val="nil"/>
            </w:tcBorders>
            <w:shd w:val="clear" w:color="auto" w:fill="auto"/>
            <w:noWrap/>
            <w:vAlign w:val="center"/>
            <w:hideMark/>
          </w:tcPr>
          <w:p w14:paraId="58E3ABA8"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-2.165</w:t>
            </w:r>
          </w:p>
        </w:tc>
        <w:tc>
          <w:tcPr>
            <w:tcW w:w="1116" w:type="dxa"/>
            <w:tcBorders>
              <w:top w:val="nil"/>
              <w:left w:val="nil"/>
              <w:bottom w:val="nil"/>
              <w:right w:val="nil"/>
            </w:tcBorders>
            <w:shd w:val="clear" w:color="auto" w:fill="auto"/>
            <w:noWrap/>
            <w:vAlign w:val="center"/>
            <w:hideMark/>
          </w:tcPr>
          <w:p w14:paraId="313D207A" w14:textId="3A74F70B"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1.518</w:t>
            </w:r>
          </w:p>
        </w:tc>
        <w:tc>
          <w:tcPr>
            <w:tcW w:w="1181" w:type="dxa"/>
            <w:tcBorders>
              <w:top w:val="nil"/>
              <w:left w:val="nil"/>
              <w:bottom w:val="nil"/>
              <w:right w:val="nil"/>
            </w:tcBorders>
            <w:shd w:val="clear" w:color="auto" w:fill="auto"/>
            <w:noWrap/>
            <w:vAlign w:val="center"/>
            <w:hideMark/>
          </w:tcPr>
          <w:p w14:paraId="1113B700" w14:textId="70E19881"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-0.45</w:t>
            </w:r>
            <w:r w:rsidR="00BA4657">
              <w:rPr>
                <w:rFonts w:ascii="Calibri" w:eastAsia="Times New Roman" w:hAnsi="Calibri" w:cs="Calibri"/>
                <w:b/>
                <w:bCs/>
                <w:i/>
                <w:iCs/>
                <w:color w:val="000000"/>
                <w:sz w:val="20"/>
                <w:szCs w:val="20"/>
                <w:lang w:eastAsia="en-IE"/>
              </w:rPr>
              <w:t>0</w:t>
            </w:r>
          </w:p>
        </w:tc>
        <w:tc>
          <w:tcPr>
            <w:tcW w:w="1108" w:type="dxa"/>
            <w:tcBorders>
              <w:top w:val="nil"/>
              <w:left w:val="nil"/>
              <w:bottom w:val="nil"/>
              <w:right w:val="nil"/>
            </w:tcBorders>
            <w:shd w:val="clear" w:color="auto" w:fill="auto"/>
            <w:noWrap/>
            <w:vAlign w:val="center"/>
            <w:hideMark/>
          </w:tcPr>
          <w:p w14:paraId="3C6023D6"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-0.087</w:t>
            </w:r>
          </w:p>
        </w:tc>
        <w:tc>
          <w:tcPr>
            <w:tcW w:w="834" w:type="dxa"/>
            <w:tcBorders>
              <w:top w:val="nil"/>
              <w:left w:val="nil"/>
              <w:bottom w:val="nil"/>
              <w:right w:val="nil"/>
            </w:tcBorders>
            <w:shd w:val="clear" w:color="auto" w:fill="auto"/>
            <w:noWrap/>
            <w:vAlign w:val="center"/>
            <w:hideMark/>
          </w:tcPr>
          <w:p w14:paraId="4F4BA25B" w14:textId="34363059"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0.353</w:t>
            </w:r>
          </w:p>
        </w:tc>
        <w:tc>
          <w:tcPr>
            <w:tcW w:w="705" w:type="dxa"/>
            <w:tcBorders>
              <w:top w:val="nil"/>
              <w:left w:val="nil"/>
              <w:bottom w:val="nil"/>
              <w:right w:val="single" w:sz="8" w:space="0" w:color="auto"/>
            </w:tcBorders>
            <w:shd w:val="clear" w:color="auto" w:fill="auto"/>
            <w:noWrap/>
            <w:vAlign w:val="center"/>
            <w:hideMark/>
          </w:tcPr>
          <w:p w14:paraId="23A06031"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-1.663</w:t>
            </w:r>
          </w:p>
        </w:tc>
      </w:tr>
      <w:tr w:rsidR="00ED02A4" w:rsidRPr="00AC0EE7" w14:paraId="7C28CA00" w14:textId="77777777" w:rsidTr="00367A87">
        <w:trPr>
          <w:trHeight w:val="300"/>
          <w:jc w:val="center"/>
        </w:trPr>
        <w:tc>
          <w:tcPr>
            <w:tcW w:w="816" w:type="dxa"/>
            <w:tcBorders>
              <w:top w:val="nil"/>
              <w:left w:val="single" w:sz="8" w:space="0" w:color="auto"/>
              <w:bottom w:val="single" w:sz="8" w:space="0" w:color="auto"/>
              <w:right w:val="nil"/>
            </w:tcBorders>
            <w:shd w:val="clear" w:color="auto" w:fill="auto"/>
            <w:noWrap/>
            <w:vAlign w:val="bottom"/>
            <w:hideMark/>
          </w:tcPr>
          <w:p w14:paraId="6C95DFE6"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1116" w:type="dxa"/>
            <w:tcBorders>
              <w:top w:val="nil"/>
              <w:left w:val="nil"/>
              <w:bottom w:val="single" w:sz="8" w:space="0" w:color="auto"/>
              <w:right w:val="nil"/>
            </w:tcBorders>
            <w:shd w:val="clear" w:color="auto" w:fill="auto"/>
            <w:noWrap/>
            <w:vAlign w:val="bottom"/>
            <w:hideMark/>
          </w:tcPr>
          <w:p w14:paraId="4CBB773C"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1181" w:type="dxa"/>
            <w:tcBorders>
              <w:top w:val="nil"/>
              <w:left w:val="nil"/>
              <w:bottom w:val="single" w:sz="8" w:space="0" w:color="auto"/>
              <w:right w:val="nil"/>
            </w:tcBorders>
            <w:shd w:val="clear" w:color="auto" w:fill="auto"/>
            <w:noWrap/>
            <w:vAlign w:val="bottom"/>
            <w:hideMark/>
          </w:tcPr>
          <w:p w14:paraId="4EDA1C3A"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1108" w:type="dxa"/>
            <w:tcBorders>
              <w:top w:val="nil"/>
              <w:left w:val="nil"/>
              <w:bottom w:val="single" w:sz="8" w:space="0" w:color="auto"/>
              <w:right w:val="nil"/>
            </w:tcBorders>
            <w:shd w:val="clear" w:color="auto" w:fill="auto"/>
            <w:noWrap/>
            <w:vAlign w:val="bottom"/>
            <w:hideMark/>
          </w:tcPr>
          <w:p w14:paraId="2079B856"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834" w:type="dxa"/>
            <w:tcBorders>
              <w:top w:val="nil"/>
              <w:left w:val="nil"/>
              <w:bottom w:val="single" w:sz="8" w:space="0" w:color="auto"/>
              <w:right w:val="nil"/>
            </w:tcBorders>
            <w:shd w:val="clear" w:color="auto" w:fill="auto"/>
            <w:noWrap/>
            <w:vAlign w:val="bottom"/>
            <w:hideMark/>
          </w:tcPr>
          <w:p w14:paraId="78A177DB"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c>
          <w:tcPr>
            <w:tcW w:w="705" w:type="dxa"/>
            <w:tcBorders>
              <w:top w:val="nil"/>
              <w:left w:val="nil"/>
              <w:bottom w:val="single" w:sz="8" w:space="0" w:color="auto"/>
              <w:right w:val="single" w:sz="8" w:space="0" w:color="auto"/>
            </w:tcBorders>
            <w:shd w:val="clear" w:color="auto" w:fill="auto"/>
            <w:noWrap/>
            <w:vAlign w:val="bottom"/>
            <w:hideMark/>
          </w:tcPr>
          <w:p w14:paraId="65800ABC"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2B525DF0" w14:textId="77777777" w:rsidTr="00367A87">
        <w:trPr>
          <w:trHeight w:val="300"/>
          <w:jc w:val="center"/>
        </w:trPr>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3DA5DEE" w14:textId="77777777" w:rsidR="00ED02A4" w:rsidRPr="00AC0EE7" w:rsidRDefault="00ED02A4" w:rsidP="00367A87">
            <w:pPr>
              <w:spacing w:after="0" w:line="240" w:lineRule="auto"/>
              <w:jc w:val="center"/>
              <w:rPr>
                <w:rFonts w:ascii="Calibri" w:eastAsia="Times New Roman" w:hAnsi="Calibri" w:cs="Calibri"/>
                <w:b/>
                <w:bCs/>
                <w:color w:val="000000"/>
                <w:sz w:val="20"/>
                <w:szCs w:val="20"/>
                <w:lang w:eastAsia="en-IE"/>
              </w:rPr>
            </w:pPr>
            <w:r w:rsidRPr="00AC0EE7">
              <w:rPr>
                <w:rFonts w:ascii="Calibri" w:eastAsia="Times New Roman" w:hAnsi="Calibri" w:cs="Calibri"/>
                <w:b/>
                <w:bCs/>
                <w:color w:val="000000"/>
                <w:sz w:val="20"/>
                <w:szCs w:val="20"/>
                <w:lang w:eastAsia="en-IE"/>
              </w:rPr>
              <w:t>Post 2000</w:t>
            </w:r>
          </w:p>
        </w:tc>
      </w:tr>
      <w:tr w:rsidR="00ED02A4" w:rsidRPr="00AC0EE7" w14:paraId="60A33CA6" w14:textId="77777777" w:rsidTr="00367A87">
        <w:trPr>
          <w:trHeight w:val="288"/>
          <w:jc w:val="center"/>
        </w:trPr>
        <w:tc>
          <w:tcPr>
            <w:tcW w:w="816" w:type="dxa"/>
            <w:tcBorders>
              <w:top w:val="nil"/>
              <w:left w:val="single" w:sz="8" w:space="0" w:color="auto"/>
              <w:bottom w:val="nil"/>
              <w:right w:val="nil"/>
            </w:tcBorders>
            <w:shd w:val="clear" w:color="auto" w:fill="auto"/>
            <w:noWrap/>
            <w:vAlign w:val="center"/>
            <w:hideMark/>
          </w:tcPr>
          <w:p w14:paraId="11EA77F0"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Australia</w:t>
            </w:r>
          </w:p>
        </w:tc>
        <w:tc>
          <w:tcPr>
            <w:tcW w:w="1116" w:type="dxa"/>
            <w:tcBorders>
              <w:top w:val="nil"/>
              <w:left w:val="nil"/>
              <w:bottom w:val="nil"/>
              <w:right w:val="nil"/>
            </w:tcBorders>
            <w:shd w:val="clear" w:color="auto" w:fill="auto"/>
            <w:noWrap/>
            <w:vAlign w:val="center"/>
            <w:hideMark/>
          </w:tcPr>
          <w:p w14:paraId="6B07EB0E"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Belgium</w:t>
            </w:r>
          </w:p>
        </w:tc>
        <w:tc>
          <w:tcPr>
            <w:tcW w:w="1181" w:type="dxa"/>
            <w:tcBorders>
              <w:top w:val="nil"/>
              <w:left w:val="nil"/>
              <w:bottom w:val="nil"/>
              <w:right w:val="nil"/>
            </w:tcBorders>
            <w:shd w:val="clear" w:color="auto" w:fill="auto"/>
            <w:noWrap/>
            <w:vAlign w:val="center"/>
            <w:hideMark/>
          </w:tcPr>
          <w:p w14:paraId="29D1731F"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Canada</w:t>
            </w:r>
          </w:p>
        </w:tc>
        <w:tc>
          <w:tcPr>
            <w:tcW w:w="1108" w:type="dxa"/>
            <w:tcBorders>
              <w:top w:val="nil"/>
              <w:left w:val="nil"/>
              <w:bottom w:val="nil"/>
              <w:right w:val="nil"/>
            </w:tcBorders>
            <w:shd w:val="clear" w:color="auto" w:fill="auto"/>
            <w:noWrap/>
            <w:vAlign w:val="center"/>
            <w:hideMark/>
          </w:tcPr>
          <w:p w14:paraId="633A297A"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France</w:t>
            </w:r>
          </w:p>
        </w:tc>
        <w:tc>
          <w:tcPr>
            <w:tcW w:w="834" w:type="dxa"/>
            <w:tcBorders>
              <w:top w:val="nil"/>
              <w:left w:val="nil"/>
              <w:bottom w:val="nil"/>
              <w:right w:val="nil"/>
            </w:tcBorders>
            <w:shd w:val="clear" w:color="auto" w:fill="auto"/>
            <w:noWrap/>
            <w:vAlign w:val="center"/>
            <w:hideMark/>
          </w:tcPr>
          <w:p w14:paraId="49561685"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Germany</w:t>
            </w:r>
          </w:p>
        </w:tc>
        <w:tc>
          <w:tcPr>
            <w:tcW w:w="705" w:type="dxa"/>
            <w:tcBorders>
              <w:top w:val="nil"/>
              <w:left w:val="nil"/>
              <w:bottom w:val="nil"/>
              <w:right w:val="single" w:sz="8" w:space="0" w:color="auto"/>
            </w:tcBorders>
            <w:shd w:val="clear" w:color="auto" w:fill="auto"/>
            <w:noWrap/>
            <w:vAlign w:val="center"/>
            <w:hideMark/>
          </w:tcPr>
          <w:p w14:paraId="06AAC70F"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Italy</w:t>
            </w:r>
          </w:p>
        </w:tc>
      </w:tr>
      <w:tr w:rsidR="00ED02A4" w:rsidRPr="00AC0EE7" w14:paraId="16E5E928" w14:textId="77777777" w:rsidTr="00367A87">
        <w:trPr>
          <w:trHeight w:val="288"/>
          <w:jc w:val="center"/>
        </w:trPr>
        <w:tc>
          <w:tcPr>
            <w:tcW w:w="816" w:type="dxa"/>
            <w:tcBorders>
              <w:top w:val="nil"/>
              <w:left w:val="single" w:sz="8" w:space="0" w:color="auto"/>
              <w:bottom w:val="nil"/>
              <w:right w:val="nil"/>
            </w:tcBorders>
            <w:shd w:val="clear" w:color="auto" w:fill="auto"/>
            <w:noWrap/>
            <w:vAlign w:val="center"/>
            <w:hideMark/>
          </w:tcPr>
          <w:p w14:paraId="715AA0F7"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-3.881</w:t>
            </w:r>
          </w:p>
        </w:tc>
        <w:tc>
          <w:tcPr>
            <w:tcW w:w="1116" w:type="dxa"/>
            <w:tcBorders>
              <w:top w:val="nil"/>
              <w:left w:val="nil"/>
              <w:bottom w:val="nil"/>
              <w:right w:val="nil"/>
            </w:tcBorders>
            <w:shd w:val="clear" w:color="auto" w:fill="auto"/>
            <w:noWrap/>
            <w:vAlign w:val="center"/>
            <w:hideMark/>
          </w:tcPr>
          <w:p w14:paraId="3CDE1CD1"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-5.458</w:t>
            </w:r>
          </w:p>
        </w:tc>
        <w:tc>
          <w:tcPr>
            <w:tcW w:w="1181" w:type="dxa"/>
            <w:tcBorders>
              <w:top w:val="nil"/>
              <w:left w:val="nil"/>
              <w:bottom w:val="nil"/>
              <w:right w:val="nil"/>
            </w:tcBorders>
            <w:shd w:val="clear" w:color="auto" w:fill="auto"/>
            <w:noWrap/>
            <w:vAlign w:val="center"/>
            <w:hideMark/>
          </w:tcPr>
          <w:p w14:paraId="300445C9" w14:textId="3EC65F76"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-4.13</w:t>
            </w:r>
            <w:r w:rsidR="00F21DCA">
              <w:rPr>
                <w:rFonts w:ascii="Calibri" w:eastAsia="Times New Roman" w:hAnsi="Calibri" w:cs="Calibri"/>
                <w:color w:val="000000"/>
                <w:sz w:val="20"/>
                <w:szCs w:val="20"/>
                <w:lang w:eastAsia="en-IE"/>
              </w:rPr>
              <w:t>0</w:t>
            </w:r>
          </w:p>
        </w:tc>
        <w:tc>
          <w:tcPr>
            <w:tcW w:w="1108" w:type="dxa"/>
            <w:tcBorders>
              <w:top w:val="nil"/>
              <w:left w:val="nil"/>
              <w:bottom w:val="nil"/>
              <w:right w:val="nil"/>
            </w:tcBorders>
            <w:shd w:val="clear" w:color="auto" w:fill="auto"/>
            <w:noWrap/>
            <w:vAlign w:val="center"/>
            <w:hideMark/>
          </w:tcPr>
          <w:p w14:paraId="2EF5EAEA"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-5.413</w:t>
            </w:r>
          </w:p>
        </w:tc>
        <w:tc>
          <w:tcPr>
            <w:tcW w:w="834" w:type="dxa"/>
            <w:tcBorders>
              <w:top w:val="nil"/>
              <w:left w:val="nil"/>
              <w:bottom w:val="nil"/>
              <w:right w:val="nil"/>
            </w:tcBorders>
            <w:shd w:val="clear" w:color="auto" w:fill="auto"/>
            <w:noWrap/>
            <w:vAlign w:val="center"/>
            <w:hideMark/>
          </w:tcPr>
          <w:p w14:paraId="2B41E402"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-3.776</w:t>
            </w:r>
          </w:p>
        </w:tc>
        <w:tc>
          <w:tcPr>
            <w:tcW w:w="705" w:type="dxa"/>
            <w:tcBorders>
              <w:top w:val="nil"/>
              <w:left w:val="nil"/>
              <w:bottom w:val="nil"/>
              <w:right w:val="single" w:sz="8" w:space="0" w:color="auto"/>
            </w:tcBorders>
            <w:shd w:val="clear" w:color="auto" w:fill="auto"/>
            <w:noWrap/>
            <w:vAlign w:val="center"/>
            <w:hideMark/>
          </w:tcPr>
          <w:p w14:paraId="19D4E1C4" w14:textId="5B490B2E"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-4.25</w:t>
            </w:r>
            <w:r w:rsidR="00F21DCA">
              <w:rPr>
                <w:rFonts w:ascii="Calibri" w:eastAsia="Times New Roman" w:hAnsi="Calibri" w:cs="Calibri"/>
                <w:color w:val="000000"/>
                <w:sz w:val="20"/>
                <w:szCs w:val="20"/>
                <w:lang w:eastAsia="en-IE"/>
              </w:rPr>
              <w:t>0</w:t>
            </w:r>
          </w:p>
        </w:tc>
      </w:tr>
      <w:tr w:rsidR="00ED02A4" w:rsidRPr="00AC0EE7" w14:paraId="0BB2928A" w14:textId="77777777" w:rsidTr="00367A87">
        <w:trPr>
          <w:trHeight w:val="300"/>
          <w:jc w:val="center"/>
        </w:trPr>
        <w:tc>
          <w:tcPr>
            <w:tcW w:w="816" w:type="dxa"/>
            <w:tcBorders>
              <w:top w:val="nil"/>
              <w:left w:val="single" w:sz="8" w:space="0" w:color="auto"/>
              <w:bottom w:val="single" w:sz="8" w:space="0" w:color="auto"/>
              <w:right w:val="nil"/>
            </w:tcBorders>
            <w:shd w:val="clear" w:color="auto" w:fill="auto"/>
            <w:noWrap/>
            <w:vAlign w:val="center"/>
            <w:hideMark/>
          </w:tcPr>
          <w:p w14:paraId="0D2E6BEA"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-5.328</w:t>
            </w:r>
          </w:p>
        </w:tc>
        <w:tc>
          <w:tcPr>
            <w:tcW w:w="1116" w:type="dxa"/>
            <w:tcBorders>
              <w:top w:val="nil"/>
              <w:left w:val="nil"/>
              <w:bottom w:val="single" w:sz="8" w:space="0" w:color="auto"/>
              <w:right w:val="nil"/>
            </w:tcBorders>
            <w:shd w:val="clear" w:color="auto" w:fill="auto"/>
            <w:noWrap/>
            <w:vAlign w:val="center"/>
            <w:hideMark/>
          </w:tcPr>
          <w:p w14:paraId="48EEB551"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-13.906</w:t>
            </w:r>
          </w:p>
        </w:tc>
        <w:tc>
          <w:tcPr>
            <w:tcW w:w="1181" w:type="dxa"/>
            <w:tcBorders>
              <w:top w:val="nil"/>
              <w:left w:val="nil"/>
              <w:bottom w:val="single" w:sz="8" w:space="0" w:color="auto"/>
              <w:right w:val="nil"/>
            </w:tcBorders>
            <w:shd w:val="clear" w:color="auto" w:fill="auto"/>
            <w:noWrap/>
            <w:vAlign w:val="center"/>
            <w:hideMark/>
          </w:tcPr>
          <w:p w14:paraId="08AEBEF1"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-7.265</w:t>
            </w:r>
          </w:p>
        </w:tc>
        <w:tc>
          <w:tcPr>
            <w:tcW w:w="1108" w:type="dxa"/>
            <w:tcBorders>
              <w:top w:val="nil"/>
              <w:left w:val="nil"/>
              <w:bottom w:val="single" w:sz="8" w:space="0" w:color="auto"/>
              <w:right w:val="nil"/>
            </w:tcBorders>
            <w:shd w:val="clear" w:color="auto" w:fill="auto"/>
            <w:noWrap/>
            <w:vAlign w:val="center"/>
            <w:hideMark/>
          </w:tcPr>
          <w:p w14:paraId="32DFE736"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-31.009</w:t>
            </w:r>
          </w:p>
        </w:tc>
        <w:tc>
          <w:tcPr>
            <w:tcW w:w="834" w:type="dxa"/>
            <w:tcBorders>
              <w:top w:val="nil"/>
              <w:left w:val="nil"/>
              <w:bottom w:val="single" w:sz="8" w:space="0" w:color="auto"/>
              <w:right w:val="nil"/>
            </w:tcBorders>
            <w:shd w:val="clear" w:color="auto" w:fill="auto"/>
            <w:noWrap/>
            <w:vAlign w:val="center"/>
            <w:hideMark/>
          </w:tcPr>
          <w:p w14:paraId="52B5DD48"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-10.473</w:t>
            </w:r>
          </w:p>
        </w:tc>
        <w:tc>
          <w:tcPr>
            <w:tcW w:w="705" w:type="dxa"/>
            <w:tcBorders>
              <w:top w:val="nil"/>
              <w:left w:val="nil"/>
              <w:bottom w:val="single" w:sz="8" w:space="0" w:color="auto"/>
              <w:right w:val="single" w:sz="8" w:space="0" w:color="auto"/>
            </w:tcBorders>
            <w:shd w:val="clear" w:color="auto" w:fill="auto"/>
            <w:noWrap/>
            <w:vAlign w:val="center"/>
            <w:hideMark/>
          </w:tcPr>
          <w:p w14:paraId="25F6E4C1"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-11.207</w:t>
            </w:r>
          </w:p>
        </w:tc>
      </w:tr>
      <w:tr w:rsidR="00ED02A4" w:rsidRPr="00AC0EE7" w14:paraId="74093B08" w14:textId="77777777" w:rsidTr="00367A87">
        <w:trPr>
          <w:trHeight w:val="288"/>
          <w:jc w:val="center"/>
        </w:trPr>
        <w:tc>
          <w:tcPr>
            <w:tcW w:w="816" w:type="dxa"/>
            <w:tcBorders>
              <w:top w:val="nil"/>
              <w:left w:val="single" w:sz="8" w:space="0" w:color="auto"/>
              <w:bottom w:val="nil"/>
              <w:right w:val="nil"/>
            </w:tcBorders>
            <w:shd w:val="clear" w:color="auto" w:fill="auto"/>
            <w:noWrap/>
            <w:vAlign w:val="center"/>
            <w:hideMark/>
          </w:tcPr>
          <w:p w14:paraId="5CAC641D"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Japan</w:t>
            </w:r>
          </w:p>
        </w:tc>
        <w:tc>
          <w:tcPr>
            <w:tcW w:w="1116" w:type="dxa"/>
            <w:tcBorders>
              <w:top w:val="nil"/>
              <w:left w:val="nil"/>
              <w:bottom w:val="nil"/>
              <w:right w:val="nil"/>
            </w:tcBorders>
            <w:shd w:val="clear" w:color="auto" w:fill="auto"/>
            <w:noWrap/>
            <w:vAlign w:val="center"/>
            <w:hideMark/>
          </w:tcPr>
          <w:p w14:paraId="5C899E46"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Netherlands</w:t>
            </w:r>
          </w:p>
        </w:tc>
        <w:tc>
          <w:tcPr>
            <w:tcW w:w="1181" w:type="dxa"/>
            <w:tcBorders>
              <w:top w:val="nil"/>
              <w:left w:val="nil"/>
              <w:bottom w:val="nil"/>
              <w:right w:val="nil"/>
            </w:tcBorders>
            <w:shd w:val="clear" w:color="auto" w:fill="auto"/>
            <w:noWrap/>
            <w:vAlign w:val="center"/>
            <w:hideMark/>
          </w:tcPr>
          <w:p w14:paraId="2689D94B"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New Zealand</w:t>
            </w:r>
          </w:p>
        </w:tc>
        <w:tc>
          <w:tcPr>
            <w:tcW w:w="1108" w:type="dxa"/>
            <w:tcBorders>
              <w:top w:val="nil"/>
              <w:left w:val="nil"/>
              <w:bottom w:val="nil"/>
              <w:right w:val="nil"/>
            </w:tcBorders>
            <w:shd w:val="clear" w:color="auto" w:fill="auto"/>
            <w:noWrap/>
            <w:vAlign w:val="center"/>
            <w:hideMark/>
          </w:tcPr>
          <w:p w14:paraId="1161E160"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South Africa</w:t>
            </w:r>
          </w:p>
        </w:tc>
        <w:tc>
          <w:tcPr>
            <w:tcW w:w="834" w:type="dxa"/>
            <w:tcBorders>
              <w:top w:val="nil"/>
              <w:left w:val="nil"/>
              <w:bottom w:val="nil"/>
              <w:right w:val="nil"/>
            </w:tcBorders>
            <w:shd w:val="clear" w:color="auto" w:fill="auto"/>
            <w:noWrap/>
            <w:vAlign w:val="center"/>
            <w:hideMark/>
          </w:tcPr>
          <w:p w14:paraId="730FCC28"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UK</w:t>
            </w:r>
          </w:p>
        </w:tc>
        <w:tc>
          <w:tcPr>
            <w:tcW w:w="705" w:type="dxa"/>
            <w:tcBorders>
              <w:top w:val="nil"/>
              <w:left w:val="nil"/>
              <w:bottom w:val="nil"/>
              <w:right w:val="single" w:sz="8" w:space="0" w:color="auto"/>
            </w:tcBorders>
            <w:shd w:val="clear" w:color="auto" w:fill="auto"/>
            <w:noWrap/>
            <w:vAlign w:val="center"/>
            <w:hideMark/>
          </w:tcPr>
          <w:p w14:paraId="401801C8"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US</w:t>
            </w:r>
          </w:p>
        </w:tc>
      </w:tr>
      <w:tr w:rsidR="00ED02A4" w:rsidRPr="00AC0EE7" w14:paraId="724749FB" w14:textId="77777777" w:rsidTr="00367A87">
        <w:trPr>
          <w:trHeight w:val="288"/>
          <w:jc w:val="center"/>
        </w:trPr>
        <w:tc>
          <w:tcPr>
            <w:tcW w:w="816" w:type="dxa"/>
            <w:tcBorders>
              <w:top w:val="nil"/>
              <w:left w:val="single" w:sz="8" w:space="0" w:color="auto"/>
              <w:bottom w:val="nil"/>
              <w:right w:val="nil"/>
            </w:tcBorders>
            <w:shd w:val="clear" w:color="auto" w:fill="auto"/>
            <w:noWrap/>
            <w:vAlign w:val="center"/>
            <w:hideMark/>
          </w:tcPr>
          <w:p w14:paraId="212A98E5"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0.147</w:t>
            </w:r>
          </w:p>
        </w:tc>
        <w:tc>
          <w:tcPr>
            <w:tcW w:w="1116" w:type="dxa"/>
            <w:tcBorders>
              <w:top w:val="nil"/>
              <w:left w:val="nil"/>
              <w:bottom w:val="nil"/>
              <w:right w:val="nil"/>
            </w:tcBorders>
            <w:shd w:val="clear" w:color="auto" w:fill="auto"/>
            <w:noWrap/>
            <w:vAlign w:val="center"/>
            <w:hideMark/>
          </w:tcPr>
          <w:p w14:paraId="7A384DBF"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-4.744</w:t>
            </w:r>
          </w:p>
        </w:tc>
        <w:tc>
          <w:tcPr>
            <w:tcW w:w="1181" w:type="dxa"/>
            <w:tcBorders>
              <w:top w:val="nil"/>
              <w:left w:val="nil"/>
              <w:bottom w:val="nil"/>
              <w:right w:val="nil"/>
            </w:tcBorders>
            <w:shd w:val="clear" w:color="auto" w:fill="auto"/>
            <w:noWrap/>
            <w:vAlign w:val="center"/>
            <w:hideMark/>
          </w:tcPr>
          <w:p w14:paraId="5D0BA04E"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-4.574</w:t>
            </w:r>
          </w:p>
        </w:tc>
        <w:tc>
          <w:tcPr>
            <w:tcW w:w="1108" w:type="dxa"/>
            <w:tcBorders>
              <w:top w:val="nil"/>
              <w:left w:val="nil"/>
              <w:bottom w:val="nil"/>
              <w:right w:val="nil"/>
            </w:tcBorders>
            <w:shd w:val="clear" w:color="auto" w:fill="auto"/>
            <w:noWrap/>
            <w:vAlign w:val="center"/>
            <w:hideMark/>
          </w:tcPr>
          <w:p w14:paraId="2211BD35"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-4.784</w:t>
            </w:r>
          </w:p>
        </w:tc>
        <w:tc>
          <w:tcPr>
            <w:tcW w:w="834" w:type="dxa"/>
            <w:tcBorders>
              <w:top w:val="nil"/>
              <w:left w:val="nil"/>
              <w:bottom w:val="nil"/>
              <w:right w:val="nil"/>
            </w:tcBorders>
            <w:shd w:val="clear" w:color="auto" w:fill="auto"/>
            <w:noWrap/>
            <w:vAlign w:val="center"/>
            <w:hideMark/>
          </w:tcPr>
          <w:p w14:paraId="1D94712C"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-3.759</w:t>
            </w:r>
          </w:p>
        </w:tc>
        <w:tc>
          <w:tcPr>
            <w:tcW w:w="705" w:type="dxa"/>
            <w:tcBorders>
              <w:top w:val="nil"/>
              <w:left w:val="nil"/>
              <w:bottom w:val="nil"/>
              <w:right w:val="single" w:sz="8" w:space="0" w:color="auto"/>
            </w:tcBorders>
            <w:shd w:val="clear" w:color="auto" w:fill="auto"/>
            <w:noWrap/>
            <w:vAlign w:val="center"/>
            <w:hideMark/>
          </w:tcPr>
          <w:p w14:paraId="62C6736F" w14:textId="77777777" w:rsidR="00ED02A4" w:rsidRPr="00AC0EE7" w:rsidRDefault="00ED02A4" w:rsidP="00367A87">
            <w:pPr>
              <w:spacing w:after="0" w:line="240" w:lineRule="auto"/>
              <w:jc w:val="center"/>
              <w:rPr>
                <w:rFonts w:ascii="Calibri" w:eastAsia="Times New Roman" w:hAnsi="Calibri" w:cs="Calibri"/>
                <w:color w:val="000000"/>
                <w:sz w:val="20"/>
                <w:szCs w:val="20"/>
                <w:lang w:eastAsia="en-IE"/>
              </w:rPr>
            </w:pPr>
            <w:r w:rsidRPr="00AC0EE7">
              <w:rPr>
                <w:rFonts w:ascii="Calibri" w:eastAsia="Times New Roman" w:hAnsi="Calibri" w:cs="Calibri"/>
                <w:color w:val="000000"/>
                <w:sz w:val="20"/>
                <w:szCs w:val="20"/>
                <w:lang w:eastAsia="en-IE"/>
              </w:rPr>
              <w:t>-1.718</w:t>
            </w:r>
          </w:p>
        </w:tc>
      </w:tr>
      <w:tr w:rsidR="00ED02A4" w:rsidRPr="00AC0EE7" w14:paraId="7D7B60C2" w14:textId="77777777" w:rsidTr="00367A87">
        <w:trPr>
          <w:trHeight w:val="300"/>
          <w:jc w:val="center"/>
        </w:trPr>
        <w:tc>
          <w:tcPr>
            <w:tcW w:w="816" w:type="dxa"/>
            <w:tcBorders>
              <w:top w:val="nil"/>
              <w:left w:val="single" w:sz="8" w:space="0" w:color="auto"/>
              <w:bottom w:val="single" w:sz="8" w:space="0" w:color="auto"/>
              <w:right w:val="nil"/>
            </w:tcBorders>
            <w:shd w:val="clear" w:color="auto" w:fill="auto"/>
            <w:noWrap/>
            <w:vAlign w:val="center"/>
            <w:hideMark/>
          </w:tcPr>
          <w:p w14:paraId="33EE0829"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-0.216</w:t>
            </w:r>
          </w:p>
        </w:tc>
        <w:tc>
          <w:tcPr>
            <w:tcW w:w="1116" w:type="dxa"/>
            <w:tcBorders>
              <w:top w:val="nil"/>
              <w:left w:val="nil"/>
              <w:bottom w:val="single" w:sz="8" w:space="0" w:color="auto"/>
              <w:right w:val="nil"/>
            </w:tcBorders>
            <w:shd w:val="clear" w:color="auto" w:fill="auto"/>
            <w:noWrap/>
            <w:vAlign w:val="center"/>
            <w:hideMark/>
          </w:tcPr>
          <w:p w14:paraId="4DBBEEFA"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-13.82</w:t>
            </w:r>
          </w:p>
        </w:tc>
        <w:tc>
          <w:tcPr>
            <w:tcW w:w="1181" w:type="dxa"/>
            <w:tcBorders>
              <w:top w:val="nil"/>
              <w:left w:val="nil"/>
              <w:bottom w:val="single" w:sz="8" w:space="0" w:color="auto"/>
              <w:right w:val="nil"/>
            </w:tcBorders>
            <w:shd w:val="clear" w:color="auto" w:fill="auto"/>
            <w:noWrap/>
            <w:vAlign w:val="center"/>
            <w:hideMark/>
          </w:tcPr>
          <w:p w14:paraId="3DCBBDBE"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-5.549</w:t>
            </w:r>
          </w:p>
        </w:tc>
        <w:tc>
          <w:tcPr>
            <w:tcW w:w="1108" w:type="dxa"/>
            <w:tcBorders>
              <w:top w:val="nil"/>
              <w:left w:val="nil"/>
              <w:bottom w:val="single" w:sz="8" w:space="0" w:color="auto"/>
              <w:right w:val="nil"/>
            </w:tcBorders>
            <w:shd w:val="clear" w:color="auto" w:fill="auto"/>
            <w:noWrap/>
            <w:vAlign w:val="center"/>
            <w:hideMark/>
          </w:tcPr>
          <w:p w14:paraId="4C3B0275"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-6.59</w:t>
            </w:r>
          </w:p>
        </w:tc>
        <w:tc>
          <w:tcPr>
            <w:tcW w:w="834" w:type="dxa"/>
            <w:tcBorders>
              <w:top w:val="nil"/>
              <w:left w:val="nil"/>
              <w:bottom w:val="single" w:sz="8" w:space="0" w:color="auto"/>
              <w:right w:val="nil"/>
            </w:tcBorders>
            <w:shd w:val="clear" w:color="auto" w:fill="auto"/>
            <w:noWrap/>
            <w:vAlign w:val="center"/>
            <w:hideMark/>
          </w:tcPr>
          <w:p w14:paraId="0EDA1394" w14:textId="77777777"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-14.203</w:t>
            </w:r>
          </w:p>
        </w:tc>
        <w:tc>
          <w:tcPr>
            <w:tcW w:w="705" w:type="dxa"/>
            <w:tcBorders>
              <w:top w:val="nil"/>
              <w:left w:val="nil"/>
              <w:bottom w:val="single" w:sz="8" w:space="0" w:color="auto"/>
              <w:right w:val="single" w:sz="8" w:space="0" w:color="auto"/>
            </w:tcBorders>
            <w:shd w:val="clear" w:color="auto" w:fill="auto"/>
            <w:noWrap/>
            <w:vAlign w:val="center"/>
            <w:hideMark/>
          </w:tcPr>
          <w:p w14:paraId="5F2DDCC5" w14:textId="1C3ED155" w:rsidR="00ED02A4" w:rsidRPr="00AC0EE7" w:rsidRDefault="00ED02A4" w:rsidP="00367A87">
            <w:pPr>
              <w:spacing w:after="0" w:line="240" w:lineRule="auto"/>
              <w:jc w:val="center"/>
              <w:rPr>
                <w:rFonts w:ascii="Calibri" w:eastAsia="Times New Roman" w:hAnsi="Calibri" w:cs="Calibri"/>
                <w:b/>
                <w:bCs/>
                <w:i/>
                <w:iCs/>
                <w:color w:val="000000"/>
                <w:sz w:val="20"/>
                <w:szCs w:val="20"/>
                <w:lang w:eastAsia="en-IE"/>
              </w:rPr>
            </w:pPr>
            <w:r w:rsidRPr="00AC0EE7">
              <w:rPr>
                <w:rFonts w:ascii="Calibri" w:eastAsia="Times New Roman" w:hAnsi="Calibri" w:cs="Calibri"/>
                <w:b/>
                <w:bCs/>
                <w:i/>
                <w:iCs/>
                <w:color w:val="000000"/>
                <w:sz w:val="20"/>
                <w:szCs w:val="20"/>
                <w:lang w:eastAsia="en-IE"/>
              </w:rPr>
              <w:t>-2.95</w:t>
            </w:r>
            <w:r w:rsidR="00F21DCA">
              <w:rPr>
                <w:rFonts w:ascii="Calibri" w:eastAsia="Times New Roman" w:hAnsi="Calibri" w:cs="Calibri"/>
                <w:b/>
                <w:bCs/>
                <w:i/>
                <w:iCs/>
                <w:color w:val="000000"/>
                <w:sz w:val="20"/>
                <w:szCs w:val="20"/>
                <w:lang w:eastAsia="en-IE"/>
              </w:rPr>
              <w:t>0</w:t>
            </w:r>
          </w:p>
        </w:tc>
      </w:tr>
    </w:tbl>
    <w:p w14:paraId="013BE199" w14:textId="77777777" w:rsidR="00ED02A4" w:rsidRDefault="00ED02A4" w:rsidP="00ED02A4">
      <w:pPr>
        <w:spacing w:after="0" w:line="240" w:lineRule="auto"/>
        <w:jc w:val="center"/>
        <w:rPr>
          <w:rFonts w:ascii="Calibri" w:eastAsia="Times New Roman" w:hAnsi="Calibri" w:cs="Times New Roman"/>
          <w:color w:val="000000"/>
          <w:lang w:eastAsia="en-IE"/>
        </w:rPr>
      </w:pPr>
    </w:p>
    <w:p w14:paraId="714A6C71" w14:textId="77777777" w:rsidR="00ED02A4" w:rsidRPr="00D14720" w:rsidRDefault="00ED02A4" w:rsidP="00ED02A4">
      <w:pPr>
        <w:spacing w:after="0" w:line="240" w:lineRule="auto"/>
        <w:jc w:val="both"/>
        <w:rPr>
          <w:rFonts w:ascii="Calibri" w:eastAsia="Times New Roman" w:hAnsi="Calibri" w:cs="Times New Roman"/>
          <w:color w:val="000000"/>
          <w:lang w:eastAsia="en-IE"/>
        </w:rPr>
      </w:pPr>
      <w:r w:rsidRPr="00D14720">
        <w:rPr>
          <w:rFonts w:ascii="Calibri" w:eastAsia="Times New Roman" w:hAnsi="Calibri" w:cs="Times New Roman"/>
          <w:color w:val="000000"/>
          <w:lang w:eastAsia="en-IE"/>
        </w:rPr>
        <w:t xml:space="preserve">Notes: This table shows the coefficient from fitting a linear trend to the average diversification indexes across asset classes followed by the associated t-test </w:t>
      </w:r>
      <w:r>
        <w:rPr>
          <w:rFonts w:ascii="Calibri" w:eastAsia="Times New Roman" w:hAnsi="Calibri" w:cs="Times New Roman"/>
          <w:color w:val="000000"/>
          <w:lang w:eastAsia="en-IE"/>
        </w:rPr>
        <w:t>(in bold and italics)</w:t>
      </w:r>
      <w:r w:rsidRPr="00D14720">
        <w:rPr>
          <w:rFonts w:ascii="Calibri" w:eastAsia="Times New Roman" w:hAnsi="Calibri" w:cs="Times New Roman"/>
          <w:color w:val="000000"/>
          <w:lang w:eastAsia="en-IE"/>
        </w:rPr>
        <w:t xml:space="preserve">. The diversification indexes are created for those countries where the three asset classes, equities, </w:t>
      </w:r>
      <w:proofErr w:type="gramStart"/>
      <w:r w:rsidRPr="00D14720">
        <w:rPr>
          <w:rFonts w:ascii="Calibri" w:eastAsia="Times New Roman" w:hAnsi="Calibri" w:cs="Times New Roman"/>
          <w:color w:val="000000"/>
          <w:lang w:eastAsia="en-IE"/>
        </w:rPr>
        <w:t>bonds</w:t>
      </w:r>
      <w:proofErr w:type="gramEnd"/>
      <w:r w:rsidRPr="00D14720">
        <w:rPr>
          <w:rFonts w:ascii="Calibri" w:eastAsia="Times New Roman" w:hAnsi="Calibri" w:cs="Times New Roman"/>
          <w:color w:val="000000"/>
          <w:lang w:eastAsia="en-IE"/>
        </w:rPr>
        <w:t xml:space="preserve"> and REITs are available. The indexes represent portfolios containing the three asset classes together.  The first panel is for the full period, followed by pre2000 in the second panel and post2000 in the final panel.</w:t>
      </w:r>
      <w:r w:rsidRPr="00D14720">
        <w:t xml:space="preserve"> </w:t>
      </w:r>
      <w:r w:rsidRPr="00D14720">
        <w:rPr>
          <w:rFonts w:ascii="Calibri" w:eastAsia="Times New Roman" w:hAnsi="Calibri" w:cs="Times New Roman"/>
          <w:color w:val="000000"/>
          <w:lang w:eastAsia="en-IE"/>
        </w:rPr>
        <w:t>The diversification index is measured by the average R-squares from the multi-factor asset returns model fitted using daily data every year between 1986 and 2012 for all markets in the database.   The model fits asset returns within each year on global factors. The global factors are 16 principal components obtained from the pre1986 markets (Equity: Australia, Austria, Belgium, Canada, Denmark, France, Germany, Hong Kong, Ireland, Italy, Japan, Netherlands, Singapore, South Africa, Switzerland, UK, US, Brazil, Malaysia, Norway, South Korea, Spain, Sweden; Bond: Austria, Belgium, Canada, Denmark, France, Germany, Ireland, Japan, Netherlands, Sweden, Switzerland, UK, US, and REIT: Australia, Netherlands, UK, and US). A diversification value is obtained for each market assuming there are 50 valid daily returns per year.</w:t>
      </w:r>
    </w:p>
    <w:p w14:paraId="4F2F1E4B" w14:textId="77777777" w:rsidR="00ED02A4" w:rsidRPr="00D14720" w:rsidRDefault="00ED02A4" w:rsidP="00ED02A4">
      <w:pPr>
        <w:spacing w:line="240" w:lineRule="auto"/>
        <w:rPr>
          <w:sz w:val="32"/>
          <w:szCs w:val="32"/>
        </w:rPr>
      </w:pPr>
      <w:r w:rsidRPr="00D14720">
        <w:rPr>
          <w:sz w:val="32"/>
          <w:szCs w:val="32"/>
        </w:rPr>
        <w:br w:type="page"/>
      </w:r>
    </w:p>
    <w:p w14:paraId="5DA9F032" w14:textId="77777777" w:rsidR="00ED02A4" w:rsidRPr="00D14720" w:rsidRDefault="00ED02A4" w:rsidP="00ED02A4">
      <w:pPr>
        <w:spacing w:after="0" w:line="240" w:lineRule="auto"/>
        <w:jc w:val="center"/>
        <w:rPr>
          <w:rFonts w:ascii="Calibri" w:eastAsia="Times New Roman" w:hAnsi="Calibri" w:cs="Times New Roman"/>
          <w:b/>
          <w:bCs/>
          <w:color w:val="000000"/>
          <w:sz w:val="24"/>
          <w:szCs w:val="24"/>
          <w:lang w:eastAsia="en-IE"/>
        </w:rPr>
      </w:pPr>
      <w:r w:rsidRPr="00D14720">
        <w:rPr>
          <w:rFonts w:ascii="Calibri" w:eastAsia="Times New Roman" w:hAnsi="Calibri" w:cs="Times New Roman"/>
          <w:b/>
          <w:bCs/>
          <w:color w:val="000000"/>
          <w:sz w:val="24"/>
          <w:szCs w:val="24"/>
          <w:lang w:eastAsia="en-IE"/>
        </w:rPr>
        <w:lastRenderedPageBreak/>
        <w:t>Table 4</w:t>
      </w:r>
    </w:p>
    <w:p w14:paraId="5B709CE8" w14:textId="77777777" w:rsidR="00ED02A4" w:rsidRPr="00D14720" w:rsidRDefault="00ED02A4" w:rsidP="00ED02A4">
      <w:pPr>
        <w:spacing w:after="0" w:line="240" w:lineRule="auto"/>
        <w:jc w:val="center"/>
        <w:rPr>
          <w:rFonts w:ascii="Calibri" w:eastAsia="Times New Roman" w:hAnsi="Calibri" w:cs="Times New Roman"/>
          <w:b/>
          <w:bCs/>
          <w:color w:val="000000"/>
          <w:sz w:val="24"/>
          <w:szCs w:val="24"/>
          <w:lang w:eastAsia="en-IE"/>
        </w:rPr>
      </w:pPr>
    </w:p>
    <w:p w14:paraId="0A405BF5" w14:textId="77777777" w:rsidR="00ED02A4" w:rsidRPr="00D14720" w:rsidRDefault="00ED02A4" w:rsidP="00ED02A4">
      <w:pPr>
        <w:spacing w:after="0" w:line="240" w:lineRule="auto"/>
        <w:jc w:val="center"/>
        <w:rPr>
          <w:rFonts w:ascii="Calibri" w:eastAsia="Times New Roman" w:hAnsi="Calibri" w:cs="Times New Roman"/>
          <w:b/>
          <w:bCs/>
          <w:color w:val="000000"/>
          <w:sz w:val="24"/>
          <w:szCs w:val="24"/>
          <w:lang w:eastAsia="en-IE"/>
        </w:rPr>
      </w:pPr>
      <w:r w:rsidRPr="00D14720">
        <w:rPr>
          <w:rFonts w:ascii="Calibri" w:eastAsia="Times New Roman" w:hAnsi="Calibri" w:cs="Times New Roman"/>
          <w:b/>
          <w:bCs/>
          <w:color w:val="000000"/>
          <w:sz w:val="24"/>
          <w:szCs w:val="24"/>
          <w:lang w:eastAsia="en-IE"/>
        </w:rPr>
        <w:t>Time Trends for Diversification Indexes for Developed and</w:t>
      </w:r>
    </w:p>
    <w:p w14:paraId="62147A27" w14:textId="77777777" w:rsidR="00ED02A4" w:rsidRDefault="00ED02A4" w:rsidP="00ED02A4">
      <w:pPr>
        <w:spacing w:after="0" w:line="240" w:lineRule="auto"/>
        <w:jc w:val="center"/>
        <w:rPr>
          <w:rFonts w:ascii="Calibri" w:eastAsia="Times New Roman" w:hAnsi="Calibri" w:cs="Times New Roman"/>
          <w:b/>
          <w:bCs/>
          <w:color w:val="000000"/>
          <w:sz w:val="24"/>
          <w:szCs w:val="24"/>
          <w:lang w:eastAsia="en-IE"/>
        </w:rPr>
      </w:pPr>
      <w:r w:rsidRPr="00D14720">
        <w:rPr>
          <w:rFonts w:ascii="Calibri" w:eastAsia="Times New Roman" w:hAnsi="Calibri" w:cs="Times New Roman"/>
          <w:b/>
          <w:bCs/>
          <w:color w:val="000000"/>
          <w:sz w:val="24"/>
          <w:szCs w:val="24"/>
          <w:lang w:eastAsia="en-IE"/>
        </w:rPr>
        <w:t>Emerging Markets for Equities, Bonds and REITs</w:t>
      </w:r>
    </w:p>
    <w:tbl>
      <w:tblPr>
        <w:tblW w:w="5761" w:type="dxa"/>
        <w:jc w:val="center"/>
        <w:tblLook w:val="04A0" w:firstRow="1" w:lastRow="0" w:firstColumn="1" w:lastColumn="0" w:noHBand="0" w:noVBand="1"/>
      </w:tblPr>
      <w:tblGrid>
        <w:gridCol w:w="1177"/>
        <w:gridCol w:w="1059"/>
        <w:gridCol w:w="1177"/>
        <w:gridCol w:w="1059"/>
        <w:gridCol w:w="1177"/>
        <w:gridCol w:w="1059"/>
      </w:tblGrid>
      <w:tr w:rsidR="00ED02A4" w:rsidRPr="00AC0EE7" w14:paraId="5FD67676" w14:textId="77777777" w:rsidTr="00380104">
        <w:trPr>
          <w:trHeight w:val="300"/>
          <w:jc w:val="center"/>
        </w:trPr>
        <w:tc>
          <w:tcPr>
            <w:tcW w:w="5761" w:type="dxa"/>
            <w:gridSpan w:val="6"/>
            <w:tcBorders>
              <w:top w:val="single" w:sz="4" w:space="0" w:color="auto"/>
              <w:left w:val="single" w:sz="4" w:space="0" w:color="auto"/>
              <w:bottom w:val="single" w:sz="8" w:space="0" w:color="auto"/>
              <w:right w:val="single" w:sz="4" w:space="0" w:color="000000"/>
            </w:tcBorders>
            <w:shd w:val="clear" w:color="auto" w:fill="auto"/>
            <w:noWrap/>
            <w:vAlign w:val="center"/>
            <w:hideMark/>
          </w:tcPr>
          <w:p w14:paraId="469F1431" w14:textId="77777777" w:rsidR="00ED02A4" w:rsidRPr="00AC0EE7" w:rsidRDefault="00ED02A4" w:rsidP="00367A87">
            <w:pPr>
              <w:spacing w:after="0" w:line="240" w:lineRule="auto"/>
              <w:jc w:val="center"/>
              <w:rPr>
                <w:rFonts w:ascii="Calibri" w:eastAsia="Times New Roman" w:hAnsi="Calibri" w:cs="Calibri"/>
                <w:b/>
                <w:bCs/>
                <w:color w:val="000000"/>
                <w:lang w:eastAsia="en-IE"/>
              </w:rPr>
            </w:pPr>
            <w:r w:rsidRPr="00AC0EE7">
              <w:rPr>
                <w:rFonts w:ascii="Calibri" w:eastAsia="Times New Roman" w:hAnsi="Calibri" w:cs="Calibri"/>
                <w:b/>
                <w:bCs/>
                <w:color w:val="000000"/>
                <w:lang w:eastAsia="en-IE"/>
              </w:rPr>
              <w:t>Full Sample</w:t>
            </w:r>
          </w:p>
        </w:tc>
      </w:tr>
      <w:tr w:rsidR="00ED02A4" w:rsidRPr="00AC0EE7" w14:paraId="572896A5" w14:textId="77777777" w:rsidTr="00380104">
        <w:trPr>
          <w:trHeight w:val="300"/>
          <w:jc w:val="center"/>
        </w:trPr>
        <w:tc>
          <w:tcPr>
            <w:tcW w:w="1922" w:type="dxa"/>
            <w:gridSpan w:val="2"/>
            <w:tcBorders>
              <w:top w:val="single" w:sz="8" w:space="0" w:color="auto"/>
              <w:left w:val="single" w:sz="4" w:space="0" w:color="auto"/>
              <w:bottom w:val="single" w:sz="8" w:space="0" w:color="auto"/>
              <w:right w:val="nil"/>
            </w:tcBorders>
            <w:shd w:val="clear" w:color="auto" w:fill="auto"/>
            <w:noWrap/>
            <w:vAlign w:val="center"/>
            <w:hideMark/>
          </w:tcPr>
          <w:p w14:paraId="418B84D4"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Equities</w:t>
            </w:r>
          </w:p>
        </w:tc>
        <w:tc>
          <w:tcPr>
            <w:tcW w:w="1917" w:type="dxa"/>
            <w:gridSpan w:val="2"/>
            <w:tcBorders>
              <w:top w:val="single" w:sz="8" w:space="0" w:color="auto"/>
              <w:left w:val="nil"/>
              <w:bottom w:val="single" w:sz="8" w:space="0" w:color="auto"/>
              <w:right w:val="nil"/>
            </w:tcBorders>
            <w:shd w:val="clear" w:color="auto" w:fill="auto"/>
            <w:noWrap/>
            <w:vAlign w:val="center"/>
            <w:hideMark/>
          </w:tcPr>
          <w:p w14:paraId="20738B70"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Bonds</w:t>
            </w:r>
          </w:p>
        </w:tc>
        <w:tc>
          <w:tcPr>
            <w:tcW w:w="1922" w:type="dxa"/>
            <w:gridSpan w:val="2"/>
            <w:tcBorders>
              <w:top w:val="single" w:sz="8" w:space="0" w:color="auto"/>
              <w:left w:val="nil"/>
              <w:bottom w:val="single" w:sz="8" w:space="0" w:color="auto"/>
              <w:right w:val="single" w:sz="4" w:space="0" w:color="000000"/>
            </w:tcBorders>
            <w:shd w:val="clear" w:color="auto" w:fill="auto"/>
            <w:noWrap/>
            <w:vAlign w:val="center"/>
            <w:hideMark/>
          </w:tcPr>
          <w:p w14:paraId="0BB91A0A"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REITs</w:t>
            </w:r>
          </w:p>
        </w:tc>
      </w:tr>
      <w:tr w:rsidR="00ED02A4" w:rsidRPr="00AC0EE7" w14:paraId="7E6ADE69" w14:textId="77777777" w:rsidTr="00380104">
        <w:trPr>
          <w:trHeight w:val="288"/>
          <w:jc w:val="center"/>
        </w:trPr>
        <w:tc>
          <w:tcPr>
            <w:tcW w:w="1026" w:type="dxa"/>
            <w:tcBorders>
              <w:top w:val="nil"/>
              <w:left w:val="single" w:sz="4" w:space="0" w:color="auto"/>
              <w:bottom w:val="nil"/>
              <w:right w:val="nil"/>
            </w:tcBorders>
            <w:shd w:val="clear" w:color="auto" w:fill="auto"/>
            <w:noWrap/>
            <w:vAlign w:val="center"/>
            <w:hideMark/>
          </w:tcPr>
          <w:p w14:paraId="4B282DCE"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Developed</w:t>
            </w:r>
          </w:p>
        </w:tc>
        <w:tc>
          <w:tcPr>
            <w:tcW w:w="896" w:type="dxa"/>
            <w:tcBorders>
              <w:top w:val="nil"/>
              <w:left w:val="nil"/>
              <w:bottom w:val="nil"/>
              <w:right w:val="nil"/>
            </w:tcBorders>
            <w:shd w:val="clear" w:color="auto" w:fill="auto"/>
            <w:noWrap/>
            <w:vAlign w:val="center"/>
            <w:hideMark/>
          </w:tcPr>
          <w:p w14:paraId="5F7206F5"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Emerging</w:t>
            </w:r>
          </w:p>
        </w:tc>
        <w:tc>
          <w:tcPr>
            <w:tcW w:w="1021" w:type="dxa"/>
            <w:tcBorders>
              <w:top w:val="nil"/>
              <w:left w:val="nil"/>
              <w:bottom w:val="nil"/>
              <w:right w:val="nil"/>
            </w:tcBorders>
            <w:shd w:val="clear" w:color="auto" w:fill="auto"/>
            <w:noWrap/>
            <w:vAlign w:val="center"/>
            <w:hideMark/>
          </w:tcPr>
          <w:p w14:paraId="3481DE04"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Developed</w:t>
            </w:r>
          </w:p>
        </w:tc>
        <w:tc>
          <w:tcPr>
            <w:tcW w:w="896" w:type="dxa"/>
            <w:tcBorders>
              <w:top w:val="nil"/>
              <w:left w:val="nil"/>
              <w:bottom w:val="nil"/>
              <w:right w:val="nil"/>
            </w:tcBorders>
            <w:shd w:val="clear" w:color="auto" w:fill="auto"/>
            <w:noWrap/>
            <w:vAlign w:val="center"/>
            <w:hideMark/>
          </w:tcPr>
          <w:p w14:paraId="752F0057"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Emerging</w:t>
            </w:r>
          </w:p>
        </w:tc>
        <w:tc>
          <w:tcPr>
            <w:tcW w:w="1021" w:type="dxa"/>
            <w:tcBorders>
              <w:top w:val="nil"/>
              <w:left w:val="nil"/>
              <w:bottom w:val="nil"/>
              <w:right w:val="nil"/>
            </w:tcBorders>
            <w:shd w:val="clear" w:color="auto" w:fill="auto"/>
            <w:noWrap/>
            <w:vAlign w:val="center"/>
            <w:hideMark/>
          </w:tcPr>
          <w:p w14:paraId="272CEEFC"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Developed</w:t>
            </w:r>
          </w:p>
        </w:tc>
        <w:tc>
          <w:tcPr>
            <w:tcW w:w="901" w:type="dxa"/>
            <w:tcBorders>
              <w:top w:val="nil"/>
              <w:left w:val="nil"/>
              <w:bottom w:val="nil"/>
              <w:right w:val="single" w:sz="4" w:space="0" w:color="auto"/>
            </w:tcBorders>
            <w:shd w:val="clear" w:color="auto" w:fill="auto"/>
            <w:noWrap/>
            <w:vAlign w:val="center"/>
            <w:hideMark/>
          </w:tcPr>
          <w:p w14:paraId="01D90A40"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Emerging</w:t>
            </w:r>
          </w:p>
        </w:tc>
      </w:tr>
      <w:tr w:rsidR="00ED02A4" w:rsidRPr="00AC0EE7" w14:paraId="6F24330F" w14:textId="77777777" w:rsidTr="00380104">
        <w:trPr>
          <w:trHeight w:val="288"/>
          <w:jc w:val="center"/>
        </w:trPr>
        <w:tc>
          <w:tcPr>
            <w:tcW w:w="1026" w:type="dxa"/>
            <w:tcBorders>
              <w:top w:val="nil"/>
              <w:left w:val="single" w:sz="4" w:space="0" w:color="auto"/>
              <w:bottom w:val="nil"/>
              <w:right w:val="nil"/>
            </w:tcBorders>
            <w:shd w:val="clear" w:color="auto" w:fill="auto"/>
            <w:noWrap/>
            <w:vAlign w:val="center"/>
            <w:hideMark/>
          </w:tcPr>
          <w:p w14:paraId="64E365F2" w14:textId="30F179C1"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-1.72</w:t>
            </w:r>
            <w:r w:rsidR="00F21DCA">
              <w:rPr>
                <w:rFonts w:ascii="Calibri" w:eastAsia="Times New Roman" w:hAnsi="Calibri" w:cs="Calibri"/>
                <w:color w:val="000000"/>
                <w:lang w:eastAsia="en-IE"/>
              </w:rPr>
              <w:t>0</w:t>
            </w:r>
          </w:p>
        </w:tc>
        <w:tc>
          <w:tcPr>
            <w:tcW w:w="896" w:type="dxa"/>
            <w:tcBorders>
              <w:top w:val="nil"/>
              <w:left w:val="nil"/>
              <w:bottom w:val="nil"/>
              <w:right w:val="nil"/>
            </w:tcBorders>
            <w:shd w:val="clear" w:color="auto" w:fill="auto"/>
            <w:noWrap/>
            <w:vAlign w:val="center"/>
            <w:hideMark/>
          </w:tcPr>
          <w:p w14:paraId="02CAD2CE"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-0.629</w:t>
            </w:r>
          </w:p>
        </w:tc>
        <w:tc>
          <w:tcPr>
            <w:tcW w:w="1021" w:type="dxa"/>
            <w:tcBorders>
              <w:top w:val="nil"/>
              <w:left w:val="nil"/>
              <w:bottom w:val="nil"/>
              <w:right w:val="nil"/>
            </w:tcBorders>
            <w:shd w:val="clear" w:color="auto" w:fill="auto"/>
            <w:noWrap/>
            <w:vAlign w:val="center"/>
            <w:hideMark/>
          </w:tcPr>
          <w:p w14:paraId="3A05CCCD"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-0.989</w:t>
            </w:r>
          </w:p>
        </w:tc>
        <w:tc>
          <w:tcPr>
            <w:tcW w:w="896" w:type="dxa"/>
            <w:tcBorders>
              <w:top w:val="nil"/>
              <w:left w:val="nil"/>
              <w:bottom w:val="nil"/>
              <w:right w:val="nil"/>
            </w:tcBorders>
            <w:shd w:val="clear" w:color="auto" w:fill="auto"/>
            <w:noWrap/>
            <w:vAlign w:val="center"/>
            <w:hideMark/>
          </w:tcPr>
          <w:p w14:paraId="0B8EB583"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-2.908</w:t>
            </w:r>
          </w:p>
        </w:tc>
        <w:tc>
          <w:tcPr>
            <w:tcW w:w="1021" w:type="dxa"/>
            <w:tcBorders>
              <w:top w:val="nil"/>
              <w:left w:val="nil"/>
              <w:bottom w:val="nil"/>
              <w:right w:val="nil"/>
            </w:tcBorders>
            <w:shd w:val="clear" w:color="auto" w:fill="auto"/>
            <w:noWrap/>
            <w:vAlign w:val="center"/>
            <w:hideMark/>
          </w:tcPr>
          <w:p w14:paraId="7CD60F52"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-1.357</w:t>
            </w:r>
          </w:p>
        </w:tc>
        <w:tc>
          <w:tcPr>
            <w:tcW w:w="901" w:type="dxa"/>
            <w:tcBorders>
              <w:top w:val="nil"/>
              <w:left w:val="nil"/>
              <w:bottom w:val="nil"/>
              <w:right w:val="single" w:sz="4" w:space="0" w:color="auto"/>
            </w:tcBorders>
            <w:shd w:val="clear" w:color="auto" w:fill="auto"/>
            <w:noWrap/>
            <w:vAlign w:val="center"/>
            <w:hideMark/>
          </w:tcPr>
          <w:p w14:paraId="3B16A77D" w14:textId="3AD8ACB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-1.07</w:t>
            </w:r>
            <w:r w:rsidR="00F21DCA">
              <w:rPr>
                <w:rFonts w:ascii="Calibri" w:eastAsia="Times New Roman" w:hAnsi="Calibri" w:cs="Calibri"/>
                <w:color w:val="000000"/>
                <w:lang w:eastAsia="en-IE"/>
              </w:rPr>
              <w:t>0</w:t>
            </w:r>
          </w:p>
        </w:tc>
      </w:tr>
      <w:tr w:rsidR="00ED02A4" w:rsidRPr="00AC0EE7" w14:paraId="6CF65030" w14:textId="77777777" w:rsidTr="00380104">
        <w:trPr>
          <w:trHeight w:val="300"/>
          <w:jc w:val="center"/>
        </w:trPr>
        <w:tc>
          <w:tcPr>
            <w:tcW w:w="1026" w:type="dxa"/>
            <w:tcBorders>
              <w:top w:val="nil"/>
              <w:left w:val="single" w:sz="4" w:space="0" w:color="auto"/>
              <w:bottom w:val="single" w:sz="8" w:space="0" w:color="auto"/>
              <w:right w:val="nil"/>
            </w:tcBorders>
            <w:shd w:val="clear" w:color="auto" w:fill="auto"/>
            <w:noWrap/>
            <w:vAlign w:val="center"/>
            <w:hideMark/>
          </w:tcPr>
          <w:p w14:paraId="5AC7BFAF"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-7.249</w:t>
            </w:r>
          </w:p>
        </w:tc>
        <w:tc>
          <w:tcPr>
            <w:tcW w:w="896" w:type="dxa"/>
            <w:tcBorders>
              <w:top w:val="nil"/>
              <w:left w:val="nil"/>
              <w:bottom w:val="single" w:sz="8" w:space="0" w:color="auto"/>
              <w:right w:val="nil"/>
            </w:tcBorders>
            <w:shd w:val="clear" w:color="auto" w:fill="auto"/>
            <w:noWrap/>
            <w:vAlign w:val="center"/>
            <w:hideMark/>
          </w:tcPr>
          <w:p w14:paraId="3C11725E"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-5.332</w:t>
            </w:r>
          </w:p>
        </w:tc>
        <w:tc>
          <w:tcPr>
            <w:tcW w:w="1021" w:type="dxa"/>
            <w:tcBorders>
              <w:top w:val="nil"/>
              <w:left w:val="nil"/>
              <w:bottom w:val="single" w:sz="8" w:space="0" w:color="auto"/>
              <w:right w:val="nil"/>
            </w:tcBorders>
            <w:shd w:val="clear" w:color="auto" w:fill="auto"/>
            <w:noWrap/>
            <w:vAlign w:val="center"/>
            <w:hideMark/>
          </w:tcPr>
          <w:p w14:paraId="045D592B"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-2.664</w:t>
            </w:r>
          </w:p>
        </w:tc>
        <w:tc>
          <w:tcPr>
            <w:tcW w:w="896" w:type="dxa"/>
            <w:tcBorders>
              <w:top w:val="nil"/>
              <w:left w:val="nil"/>
              <w:bottom w:val="single" w:sz="8" w:space="0" w:color="auto"/>
              <w:right w:val="nil"/>
            </w:tcBorders>
            <w:shd w:val="clear" w:color="auto" w:fill="auto"/>
            <w:noWrap/>
            <w:vAlign w:val="center"/>
            <w:hideMark/>
          </w:tcPr>
          <w:p w14:paraId="0C327202"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-3.318</w:t>
            </w:r>
          </w:p>
        </w:tc>
        <w:tc>
          <w:tcPr>
            <w:tcW w:w="1021" w:type="dxa"/>
            <w:tcBorders>
              <w:top w:val="nil"/>
              <w:left w:val="nil"/>
              <w:bottom w:val="single" w:sz="8" w:space="0" w:color="auto"/>
              <w:right w:val="nil"/>
            </w:tcBorders>
            <w:shd w:val="clear" w:color="auto" w:fill="auto"/>
            <w:noWrap/>
            <w:vAlign w:val="center"/>
            <w:hideMark/>
          </w:tcPr>
          <w:p w14:paraId="064C70BA"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-5.539</w:t>
            </w:r>
          </w:p>
        </w:tc>
        <w:tc>
          <w:tcPr>
            <w:tcW w:w="901" w:type="dxa"/>
            <w:tcBorders>
              <w:top w:val="nil"/>
              <w:left w:val="nil"/>
              <w:bottom w:val="single" w:sz="8" w:space="0" w:color="auto"/>
              <w:right w:val="single" w:sz="4" w:space="0" w:color="auto"/>
            </w:tcBorders>
            <w:shd w:val="clear" w:color="auto" w:fill="auto"/>
            <w:noWrap/>
            <w:vAlign w:val="center"/>
            <w:hideMark/>
          </w:tcPr>
          <w:p w14:paraId="3D8D3350"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-5.914</w:t>
            </w:r>
          </w:p>
        </w:tc>
      </w:tr>
      <w:tr w:rsidR="00ED02A4" w:rsidRPr="00AC0EE7" w14:paraId="049B2055" w14:textId="77777777" w:rsidTr="00380104">
        <w:trPr>
          <w:trHeight w:val="288"/>
          <w:jc w:val="center"/>
        </w:trPr>
        <w:tc>
          <w:tcPr>
            <w:tcW w:w="5761" w:type="dxa"/>
            <w:gridSpan w:val="6"/>
            <w:tcBorders>
              <w:top w:val="single" w:sz="8" w:space="0" w:color="auto"/>
              <w:left w:val="single" w:sz="4" w:space="0" w:color="auto"/>
              <w:bottom w:val="nil"/>
              <w:right w:val="single" w:sz="4" w:space="0" w:color="000000"/>
            </w:tcBorders>
            <w:shd w:val="clear" w:color="auto" w:fill="auto"/>
            <w:noWrap/>
            <w:hideMark/>
          </w:tcPr>
          <w:p w14:paraId="406F3042"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3EEB5EA7" w14:textId="77777777" w:rsidTr="00380104">
        <w:trPr>
          <w:trHeight w:val="300"/>
          <w:jc w:val="center"/>
        </w:trPr>
        <w:tc>
          <w:tcPr>
            <w:tcW w:w="5761" w:type="dxa"/>
            <w:gridSpan w:val="6"/>
            <w:tcBorders>
              <w:top w:val="nil"/>
              <w:left w:val="single" w:sz="4" w:space="0" w:color="auto"/>
              <w:bottom w:val="single" w:sz="8" w:space="0" w:color="auto"/>
              <w:right w:val="single" w:sz="4" w:space="0" w:color="000000"/>
            </w:tcBorders>
            <w:shd w:val="clear" w:color="auto" w:fill="auto"/>
            <w:noWrap/>
            <w:vAlign w:val="center"/>
            <w:hideMark/>
          </w:tcPr>
          <w:p w14:paraId="4E3413E0" w14:textId="77777777" w:rsidR="00ED02A4" w:rsidRPr="00AC0EE7" w:rsidRDefault="00ED02A4" w:rsidP="00367A87">
            <w:pPr>
              <w:spacing w:after="0" w:line="240" w:lineRule="auto"/>
              <w:jc w:val="center"/>
              <w:rPr>
                <w:rFonts w:ascii="Calibri" w:eastAsia="Times New Roman" w:hAnsi="Calibri" w:cs="Calibri"/>
                <w:b/>
                <w:bCs/>
                <w:color w:val="000000"/>
                <w:lang w:eastAsia="en-IE"/>
              </w:rPr>
            </w:pPr>
            <w:r w:rsidRPr="00AC0EE7">
              <w:rPr>
                <w:rFonts w:ascii="Calibri" w:eastAsia="Times New Roman" w:hAnsi="Calibri" w:cs="Calibri"/>
                <w:b/>
                <w:bCs/>
                <w:color w:val="000000"/>
                <w:lang w:eastAsia="en-IE"/>
              </w:rPr>
              <w:t>Pre 2000</w:t>
            </w:r>
          </w:p>
        </w:tc>
      </w:tr>
      <w:tr w:rsidR="00ED02A4" w:rsidRPr="00AC0EE7" w14:paraId="033235DC" w14:textId="77777777" w:rsidTr="00380104">
        <w:trPr>
          <w:trHeight w:val="300"/>
          <w:jc w:val="center"/>
        </w:trPr>
        <w:tc>
          <w:tcPr>
            <w:tcW w:w="1922" w:type="dxa"/>
            <w:gridSpan w:val="2"/>
            <w:tcBorders>
              <w:top w:val="single" w:sz="8" w:space="0" w:color="auto"/>
              <w:left w:val="single" w:sz="4" w:space="0" w:color="auto"/>
              <w:bottom w:val="single" w:sz="8" w:space="0" w:color="auto"/>
              <w:right w:val="nil"/>
            </w:tcBorders>
            <w:shd w:val="clear" w:color="auto" w:fill="auto"/>
            <w:noWrap/>
            <w:vAlign w:val="center"/>
            <w:hideMark/>
          </w:tcPr>
          <w:p w14:paraId="669B042F"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Equities</w:t>
            </w:r>
          </w:p>
        </w:tc>
        <w:tc>
          <w:tcPr>
            <w:tcW w:w="1917" w:type="dxa"/>
            <w:gridSpan w:val="2"/>
            <w:tcBorders>
              <w:top w:val="single" w:sz="8" w:space="0" w:color="auto"/>
              <w:left w:val="nil"/>
              <w:bottom w:val="single" w:sz="8" w:space="0" w:color="auto"/>
              <w:right w:val="nil"/>
            </w:tcBorders>
            <w:shd w:val="clear" w:color="auto" w:fill="auto"/>
            <w:noWrap/>
            <w:vAlign w:val="center"/>
            <w:hideMark/>
          </w:tcPr>
          <w:p w14:paraId="63FC5EE8"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Bonds</w:t>
            </w:r>
          </w:p>
        </w:tc>
        <w:tc>
          <w:tcPr>
            <w:tcW w:w="1922" w:type="dxa"/>
            <w:gridSpan w:val="2"/>
            <w:tcBorders>
              <w:top w:val="single" w:sz="8" w:space="0" w:color="auto"/>
              <w:left w:val="nil"/>
              <w:bottom w:val="single" w:sz="8" w:space="0" w:color="auto"/>
              <w:right w:val="single" w:sz="4" w:space="0" w:color="000000"/>
            </w:tcBorders>
            <w:shd w:val="clear" w:color="auto" w:fill="auto"/>
            <w:noWrap/>
            <w:vAlign w:val="center"/>
            <w:hideMark/>
          </w:tcPr>
          <w:p w14:paraId="63D1D055"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REITs</w:t>
            </w:r>
          </w:p>
        </w:tc>
      </w:tr>
      <w:tr w:rsidR="00ED02A4" w:rsidRPr="00AC0EE7" w14:paraId="1840DB40" w14:textId="77777777" w:rsidTr="00380104">
        <w:trPr>
          <w:trHeight w:val="288"/>
          <w:jc w:val="center"/>
        </w:trPr>
        <w:tc>
          <w:tcPr>
            <w:tcW w:w="1026" w:type="dxa"/>
            <w:tcBorders>
              <w:top w:val="nil"/>
              <w:left w:val="single" w:sz="4" w:space="0" w:color="auto"/>
              <w:bottom w:val="nil"/>
              <w:right w:val="nil"/>
            </w:tcBorders>
            <w:shd w:val="clear" w:color="auto" w:fill="auto"/>
            <w:noWrap/>
            <w:vAlign w:val="center"/>
            <w:hideMark/>
          </w:tcPr>
          <w:p w14:paraId="3848D864"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Developed</w:t>
            </w:r>
          </w:p>
        </w:tc>
        <w:tc>
          <w:tcPr>
            <w:tcW w:w="896" w:type="dxa"/>
            <w:tcBorders>
              <w:top w:val="nil"/>
              <w:left w:val="nil"/>
              <w:bottom w:val="nil"/>
              <w:right w:val="nil"/>
            </w:tcBorders>
            <w:shd w:val="clear" w:color="auto" w:fill="auto"/>
            <w:noWrap/>
            <w:vAlign w:val="center"/>
            <w:hideMark/>
          </w:tcPr>
          <w:p w14:paraId="5DA25942"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Emerging</w:t>
            </w:r>
          </w:p>
        </w:tc>
        <w:tc>
          <w:tcPr>
            <w:tcW w:w="1021" w:type="dxa"/>
            <w:tcBorders>
              <w:top w:val="nil"/>
              <w:left w:val="nil"/>
              <w:bottom w:val="nil"/>
              <w:right w:val="nil"/>
            </w:tcBorders>
            <w:shd w:val="clear" w:color="auto" w:fill="auto"/>
            <w:noWrap/>
            <w:vAlign w:val="center"/>
            <w:hideMark/>
          </w:tcPr>
          <w:p w14:paraId="38471D28"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Developed</w:t>
            </w:r>
          </w:p>
        </w:tc>
        <w:tc>
          <w:tcPr>
            <w:tcW w:w="896" w:type="dxa"/>
            <w:tcBorders>
              <w:top w:val="nil"/>
              <w:left w:val="nil"/>
              <w:bottom w:val="nil"/>
              <w:right w:val="nil"/>
            </w:tcBorders>
            <w:shd w:val="clear" w:color="auto" w:fill="auto"/>
            <w:noWrap/>
            <w:vAlign w:val="center"/>
            <w:hideMark/>
          </w:tcPr>
          <w:p w14:paraId="1B365BC1"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Emerging</w:t>
            </w:r>
          </w:p>
        </w:tc>
        <w:tc>
          <w:tcPr>
            <w:tcW w:w="1021" w:type="dxa"/>
            <w:tcBorders>
              <w:top w:val="nil"/>
              <w:left w:val="nil"/>
              <w:bottom w:val="nil"/>
              <w:right w:val="nil"/>
            </w:tcBorders>
            <w:shd w:val="clear" w:color="auto" w:fill="auto"/>
            <w:noWrap/>
            <w:vAlign w:val="center"/>
            <w:hideMark/>
          </w:tcPr>
          <w:p w14:paraId="0F6AB4E3"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Developed</w:t>
            </w:r>
          </w:p>
        </w:tc>
        <w:tc>
          <w:tcPr>
            <w:tcW w:w="901" w:type="dxa"/>
            <w:tcBorders>
              <w:top w:val="nil"/>
              <w:left w:val="nil"/>
              <w:bottom w:val="nil"/>
              <w:right w:val="single" w:sz="4" w:space="0" w:color="auto"/>
            </w:tcBorders>
            <w:shd w:val="clear" w:color="auto" w:fill="auto"/>
            <w:noWrap/>
            <w:vAlign w:val="center"/>
            <w:hideMark/>
          </w:tcPr>
          <w:p w14:paraId="0BAA1DAB"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Emerging</w:t>
            </w:r>
          </w:p>
        </w:tc>
      </w:tr>
      <w:tr w:rsidR="00ED02A4" w:rsidRPr="00AC0EE7" w14:paraId="61BB5457" w14:textId="77777777" w:rsidTr="00380104">
        <w:trPr>
          <w:trHeight w:val="288"/>
          <w:jc w:val="center"/>
        </w:trPr>
        <w:tc>
          <w:tcPr>
            <w:tcW w:w="1026" w:type="dxa"/>
            <w:tcBorders>
              <w:top w:val="nil"/>
              <w:left w:val="single" w:sz="4" w:space="0" w:color="auto"/>
              <w:bottom w:val="nil"/>
              <w:right w:val="nil"/>
            </w:tcBorders>
            <w:shd w:val="clear" w:color="auto" w:fill="auto"/>
            <w:noWrap/>
            <w:vAlign w:val="center"/>
            <w:hideMark/>
          </w:tcPr>
          <w:p w14:paraId="0B27ED96"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0.068</w:t>
            </w:r>
          </w:p>
        </w:tc>
        <w:tc>
          <w:tcPr>
            <w:tcW w:w="896" w:type="dxa"/>
            <w:tcBorders>
              <w:top w:val="nil"/>
              <w:left w:val="nil"/>
              <w:bottom w:val="nil"/>
              <w:right w:val="nil"/>
            </w:tcBorders>
            <w:shd w:val="clear" w:color="auto" w:fill="auto"/>
            <w:noWrap/>
            <w:vAlign w:val="center"/>
            <w:hideMark/>
          </w:tcPr>
          <w:p w14:paraId="15D243F9"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0.117</w:t>
            </w:r>
          </w:p>
        </w:tc>
        <w:tc>
          <w:tcPr>
            <w:tcW w:w="1021" w:type="dxa"/>
            <w:tcBorders>
              <w:top w:val="nil"/>
              <w:left w:val="nil"/>
              <w:bottom w:val="nil"/>
              <w:right w:val="nil"/>
            </w:tcBorders>
            <w:shd w:val="clear" w:color="auto" w:fill="auto"/>
            <w:noWrap/>
            <w:vAlign w:val="center"/>
            <w:hideMark/>
          </w:tcPr>
          <w:p w14:paraId="3E866EF0"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1.536</w:t>
            </w:r>
          </w:p>
        </w:tc>
        <w:tc>
          <w:tcPr>
            <w:tcW w:w="896" w:type="dxa"/>
            <w:tcBorders>
              <w:top w:val="nil"/>
              <w:left w:val="nil"/>
              <w:bottom w:val="nil"/>
              <w:right w:val="nil"/>
            </w:tcBorders>
            <w:shd w:val="clear" w:color="auto" w:fill="auto"/>
            <w:noWrap/>
            <w:vAlign w:val="center"/>
            <w:hideMark/>
          </w:tcPr>
          <w:p w14:paraId="465AD1F7"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NA</w:t>
            </w:r>
          </w:p>
        </w:tc>
        <w:tc>
          <w:tcPr>
            <w:tcW w:w="1021" w:type="dxa"/>
            <w:tcBorders>
              <w:top w:val="nil"/>
              <w:left w:val="nil"/>
              <w:bottom w:val="nil"/>
              <w:right w:val="nil"/>
            </w:tcBorders>
            <w:shd w:val="clear" w:color="auto" w:fill="auto"/>
            <w:noWrap/>
            <w:vAlign w:val="center"/>
            <w:hideMark/>
          </w:tcPr>
          <w:p w14:paraId="2535D656"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0.475</w:t>
            </w:r>
          </w:p>
        </w:tc>
        <w:tc>
          <w:tcPr>
            <w:tcW w:w="901" w:type="dxa"/>
            <w:tcBorders>
              <w:top w:val="nil"/>
              <w:left w:val="nil"/>
              <w:bottom w:val="nil"/>
              <w:right w:val="single" w:sz="4" w:space="0" w:color="auto"/>
            </w:tcBorders>
            <w:shd w:val="clear" w:color="auto" w:fill="auto"/>
            <w:noWrap/>
            <w:vAlign w:val="center"/>
            <w:hideMark/>
          </w:tcPr>
          <w:p w14:paraId="1D6C6069"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0.232</w:t>
            </w:r>
          </w:p>
        </w:tc>
      </w:tr>
      <w:tr w:rsidR="00ED02A4" w:rsidRPr="00AC0EE7" w14:paraId="419707C4" w14:textId="77777777" w:rsidTr="00380104">
        <w:trPr>
          <w:trHeight w:val="300"/>
          <w:jc w:val="center"/>
        </w:trPr>
        <w:tc>
          <w:tcPr>
            <w:tcW w:w="1026" w:type="dxa"/>
            <w:tcBorders>
              <w:top w:val="nil"/>
              <w:left w:val="single" w:sz="4" w:space="0" w:color="auto"/>
              <w:bottom w:val="single" w:sz="8" w:space="0" w:color="auto"/>
              <w:right w:val="nil"/>
            </w:tcBorders>
            <w:shd w:val="clear" w:color="auto" w:fill="auto"/>
            <w:noWrap/>
            <w:vAlign w:val="center"/>
            <w:hideMark/>
          </w:tcPr>
          <w:p w14:paraId="6A9F7049"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-0.105</w:t>
            </w:r>
          </w:p>
        </w:tc>
        <w:tc>
          <w:tcPr>
            <w:tcW w:w="896" w:type="dxa"/>
            <w:tcBorders>
              <w:top w:val="nil"/>
              <w:left w:val="nil"/>
              <w:bottom w:val="single" w:sz="8" w:space="0" w:color="auto"/>
              <w:right w:val="nil"/>
            </w:tcBorders>
            <w:shd w:val="clear" w:color="auto" w:fill="auto"/>
            <w:noWrap/>
            <w:vAlign w:val="center"/>
            <w:hideMark/>
          </w:tcPr>
          <w:p w14:paraId="01A382D4" w14:textId="1DE98786"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0.606</w:t>
            </w:r>
          </w:p>
        </w:tc>
        <w:tc>
          <w:tcPr>
            <w:tcW w:w="1021" w:type="dxa"/>
            <w:tcBorders>
              <w:top w:val="nil"/>
              <w:left w:val="nil"/>
              <w:bottom w:val="single" w:sz="8" w:space="0" w:color="auto"/>
              <w:right w:val="nil"/>
            </w:tcBorders>
            <w:shd w:val="clear" w:color="auto" w:fill="auto"/>
            <w:noWrap/>
            <w:vAlign w:val="center"/>
            <w:hideMark/>
          </w:tcPr>
          <w:p w14:paraId="78DEBE7A" w14:textId="2300D435"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2.006</w:t>
            </w:r>
          </w:p>
        </w:tc>
        <w:tc>
          <w:tcPr>
            <w:tcW w:w="896" w:type="dxa"/>
            <w:tcBorders>
              <w:top w:val="nil"/>
              <w:left w:val="nil"/>
              <w:bottom w:val="single" w:sz="8" w:space="0" w:color="auto"/>
              <w:right w:val="nil"/>
            </w:tcBorders>
            <w:shd w:val="clear" w:color="auto" w:fill="auto"/>
            <w:noWrap/>
            <w:vAlign w:val="center"/>
            <w:hideMark/>
          </w:tcPr>
          <w:p w14:paraId="143E48C2"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NA</w:t>
            </w:r>
          </w:p>
        </w:tc>
        <w:tc>
          <w:tcPr>
            <w:tcW w:w="1021" w:type="dxa"/>
            <w:tcBorders>
              <w:top w:val="nil"/>
              <w:left w:val="nil"/>
              <w:bottom w:val="single" w:sz="8" w:space="0" w:color="auto"/>
              <w:right w:val="nil"/>
            </w:tcBorders>
            <w:shd w:val="clear" w:color="auto" w:fill="auto"/>
            <w:noWrap/>
            <w:vAlign w:val="center"/>
            <w:hideMark/>
          </w:tcPr>
          <w:p w14:paraId="3479F1D9" w14:textId="71D9B564"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1.461</w:t>
            </w:r>
          </w:p>
        </w:tc>
        <w:tc>
          <w:tcPr>
            <w:tcW w:w="901" w:type="dxa"/>
            <w:tcBorders>
              <w:top w:val="nil"/>
              <w:left w:val="nil"/>
              <w:bottom w:val="single" w:sz="8" w:space="0" w:color="auto"/>
              <w:right w:val="single" w:sz="4" w:space="0" w:color="auto"/>
            </w:tcBorders>
            <w:shd w:val="clear" w:color="auto" w:fill="auto"/>
            <w:noWrap/>
            <w:vAlign w:val="center"/>
            <w:hideMark/>
          </w:tcPr>
          <w:p w14:paraId="453FF496" w14:textId="4810A9C0"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0.565</w:t>
            </w:r>
          </w:p>
        </w:tc>
      </w:tr>
      <w:tr w:rsidR="00ED02A4" w:rsidRPr="00AC0EE7" w14:paraId="77C87E16" w14:textId="77777777" w:rsidTr="00380104">
        <w:trPr>
          <w:trHeight w:val="288"/>
          <w:jc w:val="center"/>
        </w:trPr>
        <w:tc>
          <w:tcPr>
            <w:tcW w:w="5761" w:type="dxa"/>
            <w:gridSpan w:val="6"/>
            <w:tcBorders>
              <w:top w:val="single" w:sz="8" w:space="0" w:color="auto"/>
              <w:left w:val="single" w:sz="4" w:space="0" w:color="auto"/>
              <w:bottom w:val="nil"/>
              <w:right w:val="single" w:sz="4" w:space="0" w:color="000000"/>
            </w:tcBorders>
            <w:shd w:val="clear" w:color="auto" w:fill="auto"/>
            <w:noWrap/>
            <w:hideMark/>
          </w:tcPr>
          <w:p w14:paraId="5A11CBE9" w14:textId="77777777" w:rsidR="00ED02A4" w:rsidRPr="00AC0EE7" w:rsidRDefault="00ED02A4" w:rsidP="00367A87">
            <w:pPr>
              <w:spacing w:after="0" w:line="240" w:lineRule="auto"/>
              <w:jc w:val="center"/>
              <w:rPr>
                <w:rFonts w:ascii="Calibri" w:eastAsia="Times New Roman" w:hAnsi="Calibri" w:cs="Calibri"/>
                <w:color w:val="000000"/>
                <w:lang w:eastAsia="en-IE"/>
              </w:rPr>
            </w:pPr>
          </w:p>
        </w:tc>
      </w:tr>
      <w:tr w:rsidR="00ED02A4" w:rsidRPr="00AC0EE7" w14:paraId="6D0C8D1A" w14:textId="77777777" w:rsidTr="00380104">
        <w:trPr>
          <w:trHeight w:val="300"/>
          <w:jc w:val="center"/>
        </w:trPr>
        <w:tc>
          <w:tcPr>
            <w:tcW w:w="5761" w:type="dxa"/>
            <w:gridSpan w:val="6"/>
            <w:tcBorders>
              <w:top w:val="nil"/>
              <w:left w:val="single" w:sz="4" w:space="0" w:color="auto"/>
              <w:bottom w:val="single" w:sz="8" w:space="0" w:color="auto"/>
              <w:right w:val="single" w:sz="4" w:space="0" w:color="000000"/>
            </w:tcBorders>
            <w:shd w:val="clear" w:color="auto" w:fill="auto"/>
            <w:noWrap/>
            <w:vAlign w:val="center"/>
            <w:hideMark/>
          </w:tcPr>
          <w:p w14:paraId="619A0707" w14:textId="77777777" w:rsidR="00ED02A4" w:rsidRPr="00AC0EE7" w:rsidRDefault="00ED02A4" w:rsidP="00367A87">
            <w:pPr>
              <w:spacing w:after="0" w:line="240" w:lineRule="auto"/>
              <w:jc w:val="center"/>
              <w:rPr>
                <w:rFonts w:ascii="Calibri" w:eastAsia="Times New Roman" w:hAnsi="Calibri" w:cs="Calibri"/>
                <w:b/>
                <w:bCs/>
                <w:color w:val="000000"/>
                <w:lang w:eastAsia="en-IE"/>
              </w:rPr>
            </w:pPr>
            <w:r w:rsidRPr="00AC0EE7">
              <w:rPr>
                <w:rFonts w:ascii="Calibri" w:eastAsia="Times New Roman" w:hAnsi="Calibri" w:cs="Calibri"/>
                <w:b/>
                <w:bCs/>
                <w:color w:val="000000"/>
                <w:lang w:eastAsia="en-IE"/>
              </w:rPr>
              <w:t>Post 2000</w:t>
            </w:r>
          </w:p>
        </w:tc>
      </w:tr>
      <w:tr w:rsidR="00ED02A4" w:rsidRPr="00AC0EE7" w14:paraId="4AD2943C" w14:textId="77777777" w:rsidTr="00380104">
        <w:trPr>
          <w:trHeight w:val="288"/>
          <w:jc w:val="center"/>
        </w:trPr>
        <w:tc>
          <w:tcPr>
            <w:tcW w:w="1922" w:type="dxa"/>
            <w:gridSpan w:val="2"/>
            <w:tcBorders>
              <w:top w:val="single" w:sz="8" w:space="0" w:color="auto"/>
              <w:left w:val="single" w:sz="4" w:space="0" w:color="auto"/>
              <w:bottom w:val="nil"/>
              <w:right w:val="nil"/>
            </w:tcBorders>
            <w:shd w:val="clear" w:color="auto" w:fill="auto"/>
            <w:noWrap/>
            <w:vAlign w:val="center"/>
            <w:hideMark/>
          </w:tcPr>
          <w:p w14:paraId="158E1E6D"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Equities</w:t>
            </w:r>
          </w:p>
        </w:tc>
        <w:tc>
          <w:tcPr>
            <w:tcW w:w="1917" w:type="dxa"/>
            <w:gridSpan w:val="2"/>
            <w:tcBorders>
              <w:top w:val="single" w:sz="8" w:space="0" w:color="auto"/>
              <w:left w:val="nil"/>
              <w:bottom w:val="nil"/>
              <w:right w:val="nil"/>
            </w:tcBorders>
            <w:shd w:val="clear" w:color="auto" w:fill="auto"/>
            <w:noWrap/>
            <w:vAlign w:val="center"/>
            <w:hideMark/>
          </w:tcPr>
          <w:p w14:paraId="0831F85E"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Bonds</w:t>
            </w:r>
          </w:p>
        </w:tc>
        <w:tc>
          <w:tcPr>
            <w:tcW w:w="1922" w:type="dxa"/>
            <w:gridSpan w:val="2"/>
            <w:tcBorders>
              <w:top w:val="single" w:sz="8" w:space="0" w:color="auto"/>
              <w:left w:val="nil"/>
              <w:bottom w:val="nil"/>
              <w:right w:val="single" w:sz="4" w:space="0" w:color="000000"/>
            </w:tcBorders>
            <w:shd w:val="clear" w:color="auto" w:fill="auto"/>
            <w:noWrap/>
            <w:vAlign w:val="center"/>
            <w:hideMark/>
          </w:tcPr>
          <w:p w14:paraId="0011ED8B"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REITs</w:t>
            </w:r>
          </w:p>
        </w:tc>
      </w:tr>
      <w:tr w:rsidR="00ED02A4" w:rsidRPr="00AC0EE7" w14:paraId="7AAEF4DF" w14:textId="77777777" w:rsidTr="00380104">
        <w:trPr>
          <w:trHeight w:val="288"/>
          <w:jc w:val="center"/>
        </w:trPr>
        <w:tc>
          <w:tcPr>
            <w:tcW w:w="1026" w:type="dxa"/>
            <w:tcBorders>
              <w:top w:val="nil"/>
              <w:left w:val="single" w:sz="4" w:space="0" w:color="auto"/>
              <w:bottom w:val="nil"/>
              <w:right w:val="nil"/>
            </w:tcBorders>
            <w:shd w:val="clear" w:color="auto" w:fill="auto"/>
            <w:noWrap/>
            <w:vAlign w:val="center"/>
            <w:hideMark/>
          </w:tcPr>
          <w:p w14:paraId="0B8D981F"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Developed</w:t>
            </w:r>
          </w:p>
        </w:tc>
        <w:tc>
          <w:tcPr>
            <w:tcW w:w="896" w:type="dxa"/>
            <w:tcBorders>
              <w:top w:val="nil"/>
              <w:left w:val="nil"/>
              <w:bottom w:val="nil"/>
              <w:right w:val="nil"/>
            </w:tcBorders>
            <w:shd w:val="clear" w:color="auto" w:fill="auto"/>
            <w:noWrap/>
            <w:vAlign w:val="center"/>
            <w:hideMark/>
          </w:tcPr>
          <w:p w14:paraId="5211819A"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Emerging</w:t>
            </w:r>
          </w:p>
        </w:tc>
        <w:tc>
          <w:tcPr>
            <w:tcW w:w="1021" w:type="dxa"/>
            <w:tcBorders>
              <w:top w:val="nil"/>
              <w:left w:val="nil"/>
              <w:bottom w:val="nil"/>
              <w:right w:val="nil"/>
            </w:tcBorders>
            <w:shd w:val="clear" w:color="auto" w:fill="auto"/>
            <w:noWrap/>
            <w:vAlign w:val="center"/>
            <w:hideMark/>
          </w:tcPr>
          <w:p w14:paraId="04A5CE76"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Developed</w:t>
            </w:r>
          </w:p>
        </w:tc>
        <w:tc>
          <w:tcPr>
            <w:tcW w:w="896" w:type="dxa"/>
            <w:tcBorders>
              <w:top w:val="nil"/>
              <w:left w:val="nil"/>
              <w:bottom w:val="nil"/>
              <w:right w:val="nil"/>
            </w:tcBorders>
            <w:shd w:val="clear" w:color="auto" w:fill="auto"/>
            <w:noWrap/>
            <w:vAlign w:val="center"/>
            <w:hideMark/>
          </w:tcPr>
          <w:p w14:paraId="67EE2C5A"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Emerging</w:t>
            </w:r>
          </w:p>
        </w:tc>
        <w:tc>
          <w:tcPr>
            <w:tcW w:w="1021" w:type="dxa"/>
            <w:tcBorders>
              <w:top w:val="nil"/>
              <w:left w:val="nil"/>
              <w:bottom w:val="nil"/>
              <w:right w:val="nil"/>
            </w:tcBorders>
            <w:shd w:val="clear" w:color="auto" w:fill="auto"/>
            <w:noWrap/>
            <w:vAlign w:val="center"/>
            <w:hideMark/>
          </w:tcPr>
          <w:p w14:paraId="37286E55"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Developed</w:t>
            </w:r>
          </w:p>
        </w:tc>
        <w:tc>
          <w:tcPr>
            <w:tcW w:w="901" w:type="dxa"/>
            <w:tcBorders>
              <w:top w:val="nil"/>
              <w:left w:val="nil"/>
              <w:bottom w:val="nil"/>
              <w:right w:val="single" w:sz="4" w:space="0" w:color="auto"/>
            </w:tcBorders>
            <w:shd w:val="clear" w:color="auto" w:fill="auto"/>
            <w:noWrap/>
            <w:vAlign w:val="center"/>
            <w:hideMark/>
          </w:tcPr>
          <w:p w14:paraId="251D9377"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Emerging</w:t>
            </w:r>
          </w:p>
        </w:tc>
      </w:tr>
      <w:tr w:rsidR="00ED02A4" w:rsidRPr="00AC0EE7" w14:paraId="416290DB" w14:textId="77777777" w:rsidTr="00380104">
        <w:trPr>
          <w:trHeight w:val="288"/>
          <w:jc w:val="center"/>
        </w:trPr>
        <w:tc>
          <w:tcPr>
            <w:tcW w:w="1026" w:type="dxa"/>
            <w:tcBorders>
              <w:top w:val="nil"/>
              <w:left w:val="single" w:sz="4" w:space="0" w:color="auto"/>
              <w:bottom w:val="nil"/>
              <w:right w:val="nil"/>
            </w:tcBorders>
            <w:shd w:val="clear" w:color="auto" w:fill="auto"/>
            <w:noWrap/>
            <w:vAlign w:val="center"/>
            <w:hideMark/>
          </w:tcPr>
          <w:p w14:paraId="24F51B81"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-2.849</w:t>
            </w:r>
          </w:p>
        </w:tc>
        <w:tc>
          <w:tcPr>
            <w:tcW w:w="896" w:type="dxa"/>
            <w:tcBorders>
              <w:top w:val="nil"/>
              <w:left w:val="nil"/>
              <w:bottom w:val="nil"/>
              <w:right w:val="nil"/>
            </w:tcBorders>
            <w:shd w:val="clear" w:color="auto" w:fill="auto"/>
            <w:noWrap/>
            <w:vAlign w:val="center"/>
            <w:hideMark/>
          </w:tcPr>
          <w:p w14:paraId="6A2CED84"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-1.726</w:t>
            </w:r>
          </w:p>
        </w:tc>
        <w:tc>
          <w:tcPr>
            <w:tcW w:w="1021" w:type="dxa"/>
            <w:tcBorders>
              <w:top w:val="nil"/>
              <w:left w:val="nil"/>
              <w:bottom w:val="nil"/>
              <w:right w:val="nil"/>
            </w:tcBorders>
            <w:shd w:val="clear" w:color="auto" w:fill="auto"/>
            <w:noWrap/>
            <w:vAlign w:val="center"/>
            <w:hideMark/>
          </w:tcPr>
          <w:p w14:paraId="58A0CFFF"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-4.017</w:t>
            </w:r>
          </w:p>
        </w:tc>
        <w:tc>
          <w:tcPr>
            <w:tcW w:w="896" w:type="dxa"/>
            <w:tcBorders>
              <w:top w:val="nil"/>
              <w:left w:val="nil"/>
              <w:bottom w:val="nil"/>
              <w:right w:val="nil"/>
            </w:tcBorders>
            <w:shd w:val="clear" w:color="auto" w:fill="auto"/>
            <w:noWrap/>
            <w:vAlign w:val="center"/>
            <w:hideMark/>
          </w:tcPr>
          <w:p w14:paraId="2C584AD2"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-2.908</w:t>
            </w:r>
          </w:p>
        </w:tc>
        <w:tc>
          <w:tcPr>
            <w:tcW w:w="1021" w:type="dxa"/>
            <w:tcBorders>
              <w:top w:val="nil"/>
              <w:left w:val="nil"/>
              <w:bottom w:val="nil"/>
              <w:right w:val="nil"/>
            </w:tcBorders>
            <w:shd w:val="clear" w:color="auto" w:fill="auto"/>
            <w:noWrap/>
            <w:vAlign w:val="center"/>
            <w:hideMark/>
          </w:tcPr>
          <w:p w14:paraId="523B2451" w14:textId="0F20396D"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-3.81</w:t>
            </w:r>
            <w:r w:rsidR="0020615E">
              <w:rPr>
                <w:rFonts w:ascii="Calibri" w:eastAsia="Times New Roman" w:hAnsi="Calibri" w:cs="Calibri"/>
                <w:color w:val="000000"/>
                <w:lang w:eastAsia="en-IE"/>
              </w:rPr>
              <w:t>0</w:t>
            </w:r>
          </w:p>
        </w:tc>
        <w:tc>
          <w:tcPr>
            <w:tcW w:w="901" w:type="dxa"/>
            <w:tcBorders>
              <w:top w:val="nil"/>
              <w:left w:val="nil"/>
              <w:bottom w:val="nil"/>
              <w:right w:val="single" w:sz="4" w:space="0" w:color="auto"/>
            </w:tcBorders>
            <w:shd w:val="clear" w:color="auto" w:fill="auto"/>
            <w:noWrap/>
            <w:vAlign w:val="center"/>
            <w:hideMark/>
          </w:tcPr>
          <w:p w14:paraId="41ED22F3" w14:textId="77777777" w:rsidR="00ED02A4" w:rsidRPr="00AC0EE7" w:rsidRDefault="00ED02A4" w:rsidP="00367A87">
            <w:pPr>
              <w:spacing w:after="0" w:line="240" w:lineRule="auto"/>
              <w:jc w:val="center"/>
              <w:rPr>
                <w:rFonts w:ascii="Calibri" w:eastAsia="Times New Roman" w:hAnsi="Calibri" w:cs="Calibri"/>
                <w:color w:val="000000"/>
                <w:lang w:eastAsia="en-IE"/>
              </w:rPr>
            </w:pPr>
            <w:r w:rsidRPr="00AC0EE7">
              <w:rPr>
                <w:rFonts w:ascii="Calibri" w:eastAsia="Times New Roman" w:hAnsi="Calibri" w:cs="Calibri"/>
                <w:color w:val="000000"/>
                <w:lang w:eastAsia="en-IE"/>
              </w:rPr>
              <w:t>-2.349</w:t>
            </w:r>
          </w:p>
        </w:tc>
      </w:tr>
      <w:tr w:rsidR="00ED02A4" w:rsidRPr="00AC0EE7" w14:paraId="1CFBD87B" w14:textId="77777777" w:rsidTr="00380104">
        <w:trPr>
          <w:trHeight w:val="288"/>
          <w:jc w:val="center"/>
        </w:trPr>
        <w:tc>
          <w:tcPr>
            <w:tcW w:w="1026" w:type="dxa"/>
            <w:tcBorders>
              <w:top w:val="nil"/>
              <w:left w:val="single" w:sz="4" w:space="0" w:color="auto"/>
              <w:bottom w:val="single" w:sz="4" w:space="0" w:color="auto"/>
              <w:right w:val="nil"/>
            </w:tcBorders>
            <w:shd w:val="clear" w:color="auto" w:fill="auto"/>
            <w:noWrap/>
            <w:vAlign w:val="center"/>
            <w:hideMark/>
          </w:tcPr>
          <w:p w14:paraId="7D5BED75"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-9.493</w:t>
            </w:r>
          </w:p>
        </w:tc>
        <w:tc>
          <w:tcPr>
            <w:tcW w:w="896" w:type="dxa"/>
            <w:tcBorders>
              <w:top w:val="nil"/>
              <w:left w:val="nil"/>
              <w:bottom w:val="single" w:sz="4" w:space="0" w:color="auto"/>
              <w:right w:val="nil"/>
            </w:tcBorders>
            <w:shd w:val="clear" w:color="auto" w:fill="auto"/>
            <w:noWrap/>
            <w:vAlign w:val="center"/>
            <w:hideMark/>
          </w:tcPr>
          <w:p w14:paraId="4AB1A1C8"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-6.954</w:t>
            </w:r>
          </w:p>
        </w:tc>
        <w:tc>
          <w:tcPr>
            <w:tcW w:w="1021" w:type="dxa"/>
            <w:tcBorders>
              <w:top w:val="nil"/>
              <w:left w:val="nil"/>
              <w:bottom w:val="single" w:sz="4" w:space="0" w:color="auto"/>
              <w:right w:val="nil"/>
            </w:tcBorders>
            <w:shd w:val="clear" w:color="auto" w:fill="auto"/>
            <w:noWrap/>
            <w:vAlign w:val="center"/>
            <w:hideMark/>
          </w:tcPr>
          <w:p w14:paraId="1B984E4D"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-5.926</w:t>
            </w:r>
          </w:p>
        </w:tc>
        <w:tc>
          <w:tcPr>
            <w:tcW w:w="896" w:type="dxa"/>
            <w:tcBorders>
              <w:top w:val="nil"/>
              <w:left w:val="nil"/>
              <w:bottom w:val="single" w:sz="4" w:space="0" w:color="auto"/>
              <w:right w:val="nil"/>
            </w:tcBorders>
            <w:shd w:val="clear" w:color="auto" w:fill="auto"/>
            <w:noWrap/>
            <w:vAlign w:val="center"/>
            <w:hideMark/>
          </w:tcPr>
          <w:p w14:paraId="3D008EE1"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-3.318</w:t>
            </w:r>
          </w:p>
        </w:tc>
        <w:tc>
          <w:tcPr>
            <w:tcW w:w="1021" w:type="dxa"/>
            <w:tcBorders>
              <w:top w:val="nil"/>
              <w:left w:val="nil"/>
              <w:bottom w:val="single" w:sz="4" w:space="0" w:color="auto"/>
              <w:right w:val="nil"/>
            </w:tcBorders>
            <w:shd w:val="clear" w:color="auto" w:fill="auto"/>
            <w:noWrap/>
            <w:vAlign w:val="center"/>
            <w:hideMark/>
          </w:tcPr>
          <w:p w14:paraId="59761C56" w14:textId="77777777"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-9.695</w:t>
            </w:r>
          </w:p>
        </w:tc>
        <w:tc>
          <w:tcPr>
            <w:tcW w:w="901" w:type="dxa"/>
            <w:tcBorders>
              <w:top w:val="nil"/>
              <w:left w:val="nil"/>
              <w:bottom w:val="single" w:sz="4" w:space="0" w:color="auto"/>
              <w:right w:val="single" w:sz="4" w:space="0" w:color="auto"/>
            </w:tcBorders>
            <w:shd w:val="clear" w:color="auto" w:fill="auto"/>
            <w:noWrap/>
            <w:vAlign w:val="center"/>
            <w:hideMark/>
          </w:tcPr>
          <w:p w14:paraId="2329FDD7" w14:textId="73CEE339" w:rsidR="00ED02A4" w:rsidRPr="00AC0EE7" w:rsidRDefault="00ED02A4" w:rsidP="00367A87">
            <w:pPr>
              <w:spacing w:after="0" w:line="240" w:lineRule="auto"/>
              <w:jc w:val="center"/>
              <w:rPr>
                <w:rFonts w:ascii="Calibri" w:eastAsia="Times New Roman" w:hAnsi="Calibri" w:cs="Calibri"/>
                <w:b/>
                <w:bCs/>
                <w:i/>
                <w:iCs/>
                <w:color w:val="000000"/>
                <w:lang w:eastAsia="en-IE"/>
              </w:rPr>
            </w:pPr>
            <w:r w:rsidRPr="00AC0EE7">
              <w:rPr>
                <w:rFonts w:ascii="Calibri" w:eastAsia="Times New Roman" w:hAnsi="Calibri" w:cs="Calibri"/>
                <w:b/>
                <w:bCs/>
                <w:i/>
                <w:iCs/>
                <w:color w:val="000000"/>
                <w:lang w:eastAsia="en-IE"/>
              </w:rPr>
              <w:t>-9.4</w:t>
            </w:r>
            <w:r w:rsidR="00F21DCA">
              <w:rPr>
                <w:rFonts w:ascii="Calibri" w:eastAsia="Times New Roman" w:hAnsi="Calibri" w:cs="Calibri"/>
                <w:b/>
                <w:bCs/>
                <w:i/>
                <w:iCs/>
                <w:color w:val="000000"/>
                <w:lang w:eastAsia="en-IE"/>
              </w:rPr>
              <w:t>00</w:t>
            </w:r>
          </w:p>
        </w:tc>
      </w:tr>
    </w:tbl>
    <w:p w14:paraId="04ACA314" w14:textId="77777777" w:rsidR="00ED02A4" w:rsidRDefault="00ED02A4" w:rsidP="00ED02A4">
      <w:pPr>
        <w:spacing w:after="0" w:line="240" w:lineRule="auto"/>
        <w:jc w:val="both"/>
        <w:rPr>
          <w:rFonts w:ascii="Calibri" w:eastAsia="Times New Roman" w:hAnsi="Calibri" w:cs="Times New Roman"/>
          <w:color w:val="000000"/>
          <w:lang w:eastAsia="en-IE"/>
        </w:rPr>
      </w:pPr>
    </w:p>
    <w:p w14:paraId="6DF8F92D" w14:textId="77777777" w:rsidR="00ED02A4" w:rsidRPr="00D14720" w:rsidRDefault="00ED02A4" w:rsidP="00ED02A4">
      <w:pPr>
        <w:spacing w:after="0" w:line="240" w:lineRule="auto"/>
        <w:jc w:val="both"/>
        <w:rPr>
          <w:rFonts w:ascii="Calibri" w:eastAsia="Times New Roman" w:hAnsi="Calibri" w:cs="Times New Roman"/>
          <w:bCs/>
          <w:color w:val="000000"/>
          <w:lang w:eastAsia="en-IE"/>
        </w:rPr>
      </w:pPr>
      <w:r w:rsidRPr="00D14720">
        <w:rPr>
          <w:rFonts w:ascii="Calibri" w:eastAsia="Times New Roman" w:hAnsi="Calibri" w:cs="Times New Roman"/>
          <w:color w:val="000000"/>
          <w:lang w:eastAsia="en-IE"/>
        </w:rPr>
        <w:t xml:space="preserve">Notes: This table shows the coefficient from fitting a linear trend to the average diversification indexes for developed and emerging markets followed by the associated t-test </w:t>
      </w:r>
      <w:r w:rsidRPr="00570794">
        <w:rPr>
          <w:rFonts w:ascii="Calibri" w:eastAsia="Times New Roman" w:hAnsi="Calibri" w:cs="Times New Roman"/>
          <w:color w:val="000000"/>
          <w:lang w:eastAsia="en-IE"/>
        </w:rPr>
        <w:t>(in bold and italics).</w:t>
      </w:r>
      <w:r w:rsidRPr="00D14720">
        <w:rPr>
          <w:rFonts w:ascii="Calibri" w:eastAsia="Times New Roman" w:hAnsi="Calibri" w:cs="Times New Roman"/>
          <w:color w:val="000000"/>
          <w:lang w:eastAsia="en-IE"/>
        </w:rPr>
        <w:t xml:space="preserve"> The first panel is for the full period, followed by pre2000 in the second panel and post2000 in the final panel.  NA refers to cases where no trend statistics are reported.  This may have occurred for markets where there was at least one year of insufficient returns to calculate a diversification index in a year (minimum 50 required) after the countries joined the database or where there were insufficient annual diversification index values to fit a time-trend.</w:t>
      </w:r>
      <w:r w:rsidRPr="00D14720">
        <w:t xml:space="preserve"> </w:t>
      </w:r>
      <w:r w:rsidRPr="00D14720">
        <w:rPr>
          <w:rFonts w:ascii="Calibri" w:eastAsia="Times New Roman" w:hAnsi="Calibri" w:cs="Times New Roman"/>
          <w:color w:val="000000"/>
          <w:lang w:eastAsia="en-IE"/>
        </w:rPr>
        <w:t xml:space="preserve">The diversification index is measured by the average R-squares from the multi-factor asset returns model fitted using daily data every year between 1986 and 2012 for all markets in the database.   The model fits asset returns within each year on global factors. The global factors are 16 principal components obtained from the pre1986 markets (Equity: Australia, Austria, Belgium, Canada, Denmark, France, Germany, Hong Kong, Ireland, Italy, Japan, Netherlands, Singapore, South Africa, Switzerland, UK, US, Brazil, Malaysia, Norway, South Korea, Spain, Sweden; Bond: Austria, Belgium, Canada, Denmark, France, Germany, Ireland, Japan, Netherlands, Sweden, Switzerland, UK, US, and REIT: Australia, Netherlands, UK, and US). The identification of developed and emerging economies uses the United Nations Human Development Index that incorporates </w:t>
      </w:r>
      <w:proofErr w:type="gramStart"/>
      <w:r w:rsidRPr="00D14720">
        <w:rPr>
          <w:rFonts w:ascii="Calibri" w:eastAsia="Times New Roman" w:hAnsi="Calibri" w:cs="Times New Roman"/>
          <w:color w:val="000000"/>
          <w:lang w:eastAsia="en-IE"/>
        </w:rPr>
        <w:t>a number of</w:t>
      </w:r>
      <w:proofErr w:type="gramEnd"/>
      <w:r w:rsidRPr="00D14720">
        <w:rPr>
          <w:rFonts w:ascii="Calibri" w:eastAsia="Times New Roman" w:hAnsi="Calibri" w:cs="Times New Roman"/>
          <w:color w:val="000000"/>
          <w:lang w:eastAsia="en-IE"/>
        </w:rPr>
        <w:t xml:space="preserve"> distinguishing features such as income and education.  The United Nations country title of ‘very high human development’ is designated as developed economies and those outside this list as emerging economies.  </w:t>
      </w:r>
      <w:r w:rsidRPr="00D14720">
        <w:rPr>
          <w:rFonts w:ascii="Calibri" w:eastAsia="Times New Roman" w:hAnsi="Calibri" w:cs="Times New Roman"/>
          <w:bCs/>
          <w:color w:val="000000"/>
          <w:lang w:eastAsia="en-IE"/>
        </w:rPr>
        <w:t xml:space="preserve">For equities the developed markets are: Argentina, Australia, Austria, Bahrain, Belgium, Canada, Chile, Croatia, Cyprus, Czech Rep., Denmark, Estonia, Finland, France, Germany, Greece, Hong Kong, Hungary, Iceland, Ireland, Israel, Italy, Japan, Kuwait, Latvia, Lithuania, Luxembourg, Malta, Netherlands, New Zealand, Norway, Poland, Portugal, Qatar, Saudi Arabia, Singapore, Slovakia, Slovenia, Spain, Sweden, Switzerland, UAE, UK and US.  The associated emerging equity markets are: Bangladesh, Botswana, Brazil, Bulgaria, China, Colombia, Cote d'Ivoire, Ecuador, Egypt, Ghana, India, Indonesia, Jamaica, Jordan, Kazakhstan, Kenya, Lebanon, Macedonia, Malaysia, Mauritius, Mexico, Montenegro, Morocco, Namibia, Nigeria, Oman, Pakistan, Panama, Peru, Philippines, Romania, Russia, Serbia, South Africa, South Korea, Sri Lanka, Taiwan, Thailand, Trinidad, Tunisia, Turkey, Ukraine, Venezuela, Vietnam and Zambia.  For bonds the </w:t>
      </w:r>
      <w:r w:rsidRPr="00D14720">
        <w:rPr>
          <w:rFonts w:ascii="Calibri" w:eastAsia="Times New Roman" w:hAnsi="Calibri" w:cs="Times New Roman"/>
          <w:bCs/>
          <w:color w:val="000000"/>
          <w:lang w:eastAsia="en-IE"/>
        </w:rPr>
        <w:lastRenderedPageBreak/>
        <w:t xml:space="preserve">developed markets </w:t>
      </w:r>
      <w:proofErr w:type="gramStart"/>
      <w:r w:rsidRPr="00D14720">
        <w:rPr>
          <w:rFonts w:ascii="Calibri" w:eastAsia="Times New Roman" w:hAnsi="Calibri" w:cs="Times New Roman"/>
          <w:bCs/>
          <w:color w:val="000000"/>
          <w:lang w:eastAsia="en-IE"/>
        </w:rPr>
        <w:t>are:</w:t>
      </w:r>
      <w:proofErr w:type="gramEnd"/>
      <w:r w:rsidRPr="00D14720">
        <w:rPr>
          <w:rFonts w:ascii="Calibri" w:eastAsia="Times New Roman" w:hAnsi="Calibri" w:cs="Times New Roman"/>
          <w:bCs/>
          <w:color w:val="000000"/>
          <w:lang w:eastAsia="en-IE"/>
        </w:rPr>
        <w:t xml:space="preserve"> Australia, Austria, Belgium, Canada, Czech Rep., Denmark, Finland, France, Germany, Ireland, Italy, Japan, Netherlands, New Zealand, Norway, Poland, Portugal, Spain, Sweden, Switzerland, UK and US.  The associated emerging bond markets are: China, </w:t>
      </w:r>
      <w:proofErr w:type="gramStart"/>
      <w:r w:rsidRPr="00D14720">
        <w:rPr>
          <w:rFonts w:ascii="Calibri" w:eastAsia="Times New Roman" w:hAnsi="Calibri" w:cs="Times New Roman"/>
          <w:bCs/>
          <w:color w:val="000000"/>
          <w:lang w:eastAsia="en-IE"/>
        </w:rPr>
        <w:t>Mexico</w:t>
      </w:r>
      <w:proofErr w:type="gramEnd"/>
      <w:r w:rsidRPr="00D14720">
        <w:rPr>
          <w:rFonts w:ascii="Calibri" w:eastAsia="Times New Roman" w:hAnsi="Calibri" w:cs="Times New Roman"/>
          <w:bCs/>
          <w:color w:val="000000"/>
          <w:lang w:eastAsia="en-IE"/>
        </w:rPr>
        <w:t xml:space="preserve"> and South Africa.  For REITs the developed markets </w:t>
      </w:r>
      <w:proofErr w:type="gramStart"/>
      <w:r w:rsidRPr="00D14720">
        <w:rPr>
          <w:rFonts w:ascii="Calibri" w:eastAsia="Times New Roman" w:hAnsi="Calibri" w:cs="Times New Roman"/>
          <w:bCs/>
          <w:color w:val="000000"/>
          <w:lang w:eastAsia="en-IE"/>
        </w:rPr>
        <w:t>are:</w:t>
      </w:r>
      <w:proofErr w:type="gramEnd"/>
      <w:r w:rsidRPr="00D14720">
        <w:rPr>
          <w:rFonts w:ascii="Calibri" w:eastAsia="Times New Roman" w:hAnsi="Calibri" w:cs="Times New Roman"/>
          <w:bCs/>
          <w:color w:val="000000"/>
          <w:lang w:eastAsia="en-IE"/>
        </w:rPr>
        <w:t xml:space="preserve"> Australia, Belgium, Canada, France, Germany, Greece, Hong Kong, Italy, Japan, Netherlands, New Zealand, Singapore, UK and US.  The associated emerging REIT markets </w:t>
      </w:r>
      <w:proofErr w:type="gramStart"/>
      <w:r w:rsidRPr="00D14720">
        <w:rPr>
          <w:rFonts w:ascii="Calibri" w:eastAsia="Times New Roman" w:hAnsi="Calibri" w:cs="Times New Roman"/>
          <w:bCs/>
          <w:color w:val="000000"/>
          <w:lang w:eastAsia="en-IE"/>
        </w:rPr>
        <w:t>are:</w:t>
      </w:r>
      <w:proofErr w:type="gramEnd"/>
      <w:r w:rsidRPr="00D14720">
        <w:rPr>
          <w:rFonts w:ascii="Calibri" w:eastAsia="Times New Roman" w:hAnsi="Calibri" w:cs="Times New Roman"/>
          <w:bCs/>
          <w:color w:val="000000"/>
          <w:lang w:eastAsia="en-IE"/>
        </w:rPr>
        <w:t xml:space="preserve"> Bulgaria, Malaysia, Mexico, South Africa and Turkey.</w:t>
      </w:r>
    </w:p>
    <w:p w14:paraId="037C150F" w14:textId="77777777" w:rsidR="00ED02A4" w:rsidRPr="00D14720" w:rsidRDefault="00ED02A4" w:rsidP="00ED02A4">
      <w:pPr>
        <w:spacing w:after="0" w:line="240" w:lineRule="auto"/>
        <w:jc w:val="center"/>
        <w:rPr>
          <w:rFonts w:ascii="Calibri" w:eastAsia="Times New Roman" w:hAnsi="Calibri" w:cs="Times New Roman"/>
          <w:b/>
          <w:bCs/>
          <w:color w:val="000000"/>
          <w:sz w:val="24"/>
          <w:szCs w:val="24"/>
          <w:lang w:eastAsia="en-IE"/>
        </w:rPr>
      </w:pPr>
      <w:r w:rsidRPr="00D14720">
        <w:rPr>
          <w:sz w:val="32"/>
          <w:szCs w:val="32"/>
        </w:rPr>
        <w:br w:type="page"/>
      </w:r>
      <w:r w:rsidRPr="00D14720">
        <w:rPr>
          <w:rFonts w:ascii="Calibri" w:eastAsia="Times New Roman" w:hAnsi="Calibri" w:cs="Times New Roman"/>
          <w:b/>
          <w:bCs/>
          <w:color w:val="000000"/>
          <w:sz w:val="24"/>
          <w:szCs w:val="24"/>
          <w:lang w:eastAsia="en-IE"/>
        </w:rPr>
        <w:lastRenderedPageBreak/>
        <w:t>Table 5</w:t>
      </w:r>
    </w:p>
    <w:p w14:paraId="4A408E88" w14:textId="77777777" w:rsidR="00ED02A4" w:rsidRPr="00D14720" w:rsidRDefault="00ED02A4" w:rsidP="00ED02A4">
      <w:pPr>
        <w:spacing w:after="0" w:line="240" w:lineRule="auto"/>
        <w:jc w:val="center"/>
        <w:rPr>
          <w:rFonts w:ascii="Calibri" w:eastAsia="Times New Roman" w:hAnsi="Calibri" w:cs="Times New Roman"/>
          <w:b/>
          <w:bCs/>
          <w:color w:val="000000"/>
          <w:sz w:val="24"/>
          <w:szCs w:val="24"/>
          <w:lang w:eastAsia="en-IE"/>
        </w:rPr>
      </w:pPr>
    </w:p>
    <w:p w14:paraId="29A8C615" w14:textId="66B71DF0" w:rsidR="00ED02A4" w:rsidRDefault="00ED02A4" w:rsidP="00ED02A4">
      <w:pPr>
        <w:spacing w:after="0" w:line="240" w:lineRule="auto"/>
        <w:jc w:val="center"/>
        <w:rPr>
          <w:rFonts w:ascii="Calibri" w:eastAsia="Times New Roman" w:hAnsi="Calibri" w:cs="Times New Roman"/>
          <w:b/>
          <w:bCs/>
          <w:color w:val="000000"/>
          <w:sz w:val="24"/>
          <w:szCs w:val="24"/>
          <w:lang w:eastAsia="en-IE"/>
        </w:rPr>
      </w:pPr>
      <w:r w:rsidRPr="00D14720">
        <w:rPr>
          <w:rFonts w:ascii="Calibri" w:eastAsia="Times New Roman" w:hAnsi="Calibri" w:cs="Times New Roman"/>
          <w:b/>
          <w:bCs/>
          <w:color w:val="000000"/>
          <w:sz w:val="24"/>
          <w:szCs w:val="24"/>
          <w:lang w:eastAsia="en-IE"/>
        </w:rPr>
        <w:t>Variables Associated with Diversification Indexes</w:t>
      </w:r>
    </w:p>
    <w:p w14:paraId="1A0463D8" w14:textId="77777777" w:rsidR="00D77206" w:rsidRPr="00D14720" w:rsidRDefault="00D77206" w:rsidP="00ED02A4">
      <w:pPr>
        <w:spacing w:after="0" w:line="240" w:lineRule="auto"/>
        <w:jc w:val="center"/>
        <w:rPr>
          <w:rFonts w:ascii="Calibri" w:eastAsia="Times New Roman" w:hAnsi="Calibri" w:cs="Times New Roman"/>
          <w:b/>
          <w:bCs/>
          <w:color w:val="000000"/>
          <w:sz w:val="24"/>
          <w:szCs w:val="24"/>
          <w:lang w:eastAsia="en-IE"/>
        </w:rPr>
      </w:pPr>
    </w:p>
    <w:tbl>
      <w:tblPr>
        <w:tblW w:w="9360" w:type="dxa"/>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60"/>
      </w:tblGrid>
      <w:tr w:rsidR="00ED02A4" w:rsidRPr="00483441" w14:paraId="57E1B8A1" w14:textId="77777777" w:rsidTr="00367A87">
        <w:trPr>
          <w:trHeight w:val="288"/>
        </w:trPr>
        <w:tc>
          <w:tcPr>
            <w:tcW w:w="9360" w:type="dxa"/>
            <w:shd w:val="clear" w:color="auto" w:fill="auto"/>
            <w:noWrap/>
            <w:vAlign w:val="bottom"/>
            <w:hideMark/>
          </w:tcPr>
          <w:p w14:paraId="4AC3E2D4"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 xml:space="preserve">TED Spread, Percent, Annual, Not Seasonally Adjusted. 1986-2012. From FRED.  </w:t>
            </w:r>
          </w:p>
        </w:tc>
      </w:tr>
      <w:tr w:rsidR="00ED02A4" w:rsidRPr="00483441" w14:paraId="631A2226" w14:textId="77777777" w:rsidTr="00367A87">
        <w:trPr>
          <w:trHeight w:val="288"/>
        </w:trPr>
        <w:tc>
          <w:tcPr>
            <w:tcW w:w="9360" w:type="dxa"/>
            <w:shd w:val="clear" w:color="auto" w:fill="auto"/>
            <w:noWrap/>
            <w:vAlign w:val="bottom"/>
            <w:hideMark/>
          </w:tcPr>
          <w:p w14:paraId="0974DB9F"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 xml:space="preserve">VIX, Annual. 1990-2012. From FRED.  </w:t>
            </w:r>
          </w:p>
        </w:tc>
      </w:tr>
      <w:tr w:rsidR="00ED02A4" w:rsidRPr="00483441" w14:paraId="2DF9D063" w14:textId="77777777" w:rsidTr="00367A87">
        <w:trPr>
          <w:trHeight w:val="288"/>
        </w:trPr>
        <w:tc>
          <w:tcPr>
            <w:tcW w:w="9360" w:type="dxa"/>
            <w:shd w:val="clear" w:color="auto" w:fill="auto"/>
            <w:noWrap/>
            <w:vAlign w:val="bottom"/>
            <w:hideMark/>
          </w:tcPr>
          <w:p w14:paraId="7C9CFF44"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 xml:space="preserve">SENT, Investor sentiment data, Annual, 1986-2010, From Jeffrey </w:t>
            </w:r>
            <w:proofErr w:type="spellStart"/>
            <w:r w:rsidRPr="00483441">
              <w:rPr>
                <w:rFonts w:ascii="Calibri" w:eastAsia="Times New Roman" w:hAnsi="Calibri" w:cs="Calibri"/>
                <w:color w:val="000000"/>
                <w:lang w:eastAsia="en-IE"/>
              </w:rPr>
              <w:t>Wurgler</w:t>
            </w:r>
            <w:proofErr w:type="spellEnd"/>
            <w:r w:rsidRPr="00483441">
              <w:rPr>
                <w:rFonts w:ascii="Calibri" w:eastAsia="Times New Roman" w:hAnsi="Calibri" w:cs="Calibri"/>
                <w:color w:val="000000"/>
                <w:lang w:eastAsia="en-IE"/>
              </w:rPr>
              <w:t>.</w:t>
            </w:r>
          </w:p>
        </w:tc>
      </w:tr>
      <w:tr w:rsidR="00ED02A4" w:rsidRPr="00483441" w14:paraId="4398C52B" w14:textId="77777777" w:rsidTr="00367A87">
        <w:trPr>
          <w:trHeight w:val="288"/>
        </w:trPr>
        <w:tc>
          <w:tcPr>
            <w:tcW w:w="9360" w:type="dxa"/>
            <w:shd w:val="clear" w:color="auto" w:fill="auto"/>
            <w:noWrap/>
            <w:vAlign w:val="bottom"/>
            <w:hideMark/>
          </w:tcPr>
          <w:p w14:paraId="63BC2308"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FEDFUNDS, US FEDERAL FUNDS RATE (MONTHLY AVERAGE), Annual, 1986-2012, From DataStream.</w:t>
            </w:r>
          </w:p>
        </w:tc>
      </w:tr>
      <w:tr w:rsidR="00ED02A4" w:rsidRPr="00483441" w14:paraId="27051CC3" w14:textId="77777777" w:rsidTr="00367A87">
        <w:trPr>
          <w:trHeight w:val="288"/>
        </w:trPr>
        <w:tc>
          <w:tcPr>
            <w:tcW w:w="9360" w:type="dxa"/>
            <w:shd w:val="clear" w:color="auto" w:fill="auto"/>
            <w:noWrap/>
            <w:vAlign w:val="bottom"/>
            <w:hideMark/>
          </w:tcPr>
          <w:p w14:paraId="56D0E59A"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ECONOMIC, Economic Risk is the aggregate of all the respective sub-indexes obtained from the International Country Risk Guide (ICRG), Annual, 1986-2012, From the PRS Group.</w:t>
            </w:r>
          </w:p>
        </w:tc>
      </w:tr>
      <w:tr w:rsidR="00ED02A4" w:rsidRPr="00483441" w14:paraId="041DF2A5" w14:textId="77777777" w:rsidTr="00367A87">
        <w:trPr>
          <w:trHeight w:val="288"/>
        </w:trPr>
        <w:tc>
          <w:tcPr>
            <w:tcW w:w="9360" w:type="dxa"/>
            <w:shd w:val="clear" w:color="auto" w:fill="auto"/>
            <w:noWrap/>
            <w:vAlign w:val="bottom"/>
            <w:hideMark/>
          </w:tcPr>
          <w:p w14:paraId="0A2D3A30"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FINANCIAL, Financial Risk is the aggregate of all the respective sub-indexes obtained from the International Country Risk Guide (ICRG), Annual, 1986-2012, From the PRS Group.</w:t>
            </w:r>
          </w:p>
        </w:tc>
      </w:tr>
      <w:tr w:rsidR="00ED02A4" w:rsidRPr="00483441" w14:paraId="6D8E98D5" w14:textId="77777777" w:rsidTr="00367A87">
        <w:trPr>
          <w:trHeight w:val="288"/>
        </w:trPr>
        <w:tc>
          <w:tcPr>
            <w:tcW w:w="9360" w:type="dxa"/>
            <w:shd w:val="clear" w:color="auto" w:fill="auto"/>
            <w:noWrap/>
            <w:vAlign w:val="bottom"/>
            <w:hideMark/>
          </w:tcPr>
          <w:p w14:paraId="0BF2680E"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POLITICAL, Political Risk is the aggregate of all the respective sub-indexes obtained from the International Country Risk Guide (ICRG), Annual, 1986-2012, From the PRS Group.</w:t>
            </w:r>
          </w:p>
        </w:tc>
      </w:tr>
      <w:tr w:rsidR="00ED02A4" w:rsidRPr="00483441" w14:paraId="539315C7" w14:textId="77777777" w:rsidTr="00367A87">
        <w:trPr>
          <w:trHeight w:val="288"/>
        </w:trPr>
        <w:tc>
          <w:tcPr>
            <w:tcW w:w="9360" w:type="dxa"/>
            <w:shd w:val="clear" w:color="auto" w:fill="auto"/>
            <w:noWrap/>
            <w:vAlign w:val="bottom"/>
            <w:hideMark/>
          </w:tcPr>
          <w:p w14:paraId="128A029E" w14:textId="17655F64"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LIQUIDITY</w:t>
            </w:r>
            <w:r>
              <w:rPr>
                <w:rFonts w:ascii="Calibri" w:eastAsia="Times New Roman" w:hAnsi="Calibri" w:cs="Calibri"/>
                <w:color w:val="000000"/>
                <w:lang w:eastAsia="en-IE"/>
              </w:rPr>
              <w:t>,</w:t>
            </w:r>
            <w:r w:rsidRPr="00483441">
              <w:rPr>
                <w:rFonts w:ascii="Calibri" w:eastAsia="Times New Roman" w:hAnsi="Calibri" w:cs="Calibri"/>
                <w:color w:val="000000"/>
                <w:lang w:eastAsia="en-IE"/>
              </w:rPr>
              <w:t xml:space="preserve"> Liquidity is obtained </w:t>
            </w:r>
            <w:r w:rsidR="00586033">
              <w:rPr>
                <w:rFonts w:ascii="Calibri" w:eastAsia="Times New Roman" w:hAnsi="Calibri" w:cs="Calibri"/>
                <w:color w:val="000000"/>
                <w:lang w:eastAsia="en-IE"/>
              </w:rPr>
              <w:t xml:space="preserve">using the measure </w:t>
            </w:r>
            <w:r w:rsidRPr="00483441">
              <w:rPr>
                <w:rFonts w:ascii="Calibri" w:eastAsia="Times New Roman" w:hAnsi="Calibri" w:cs="Calibri"/>
                <w:color w:val="000000"/>
                <w:lang w:eastAsia="en-IE"/>
              </w:rPr>
              <w:t xml:space="preserve">suggested by </w:t>
            </w:r>
            <w:proofErr w:type="spellStart"/>
            <w:r w:rsidRPr="00483441">
              <w:rPr>
                <w:rFonts w:ascii="Calibri" w:eastAsia="Times New Roman" w:hAnsi="Calibri" w:cs="Calibri"/>
                <w:color w:val="000000"/>
                <w:lang w:eastAsia="en-IE"/>
              </w:rPr>
              <w:t>Lesm</w:t>
            </w:r>
            <w:r>
              <w:rPr>
                <w:rFonts w:ascii="Calibri" w:eastAsia="Times New Roman" w:hAnsi="Calibri" w:cs="Calibri"/>
                <w:color w:val="000000"/>
                <w:lang w:eastAsia="en-IE"/>
              </w:rPr>
              <w:t>ond</w:t>
            </w:r>
            <w:proofErr w:type="spellEnd"/>
            <w:r>
              <w:rPr>
                <w:rFonts w:ascii="Calibri" w:eastAsia="Times New Roman" w:hAnsi="Calibri" w:cs="Calibri"/>
                <w:color w:val="000000"/>
                <w:lang w:eastAsia="en-IE"/>
              </w:rPr>
              <w:t xml:space="preserve">, Ogden, and </w:t>
            </w:r>
            <w:proofErr w:type="spellStart"/>
            <w:r>
              <w:rPr>
                <w:rFonts w:ascii="Calibri" w:eastAsia="Times New Roman" w:hAnsi="Calibri" w:cs="Calibri"/>
                <w:color w:val="000000"/>
                <w:lang w:eastAsia="en-IE"/>
              </w:rPr>
              <w:t>Trzcinka</w:t>
            </w:r>
            <w:proofErr w:type="spellEnd"/>
            <w:r>
              <w:rPr>
                <w:rFonts w:ascii="Calibri" w:eastAsia="Times New Roman" w:hAnsi="Calibri" w:cs="Calibri"/>
                <w:color w:val="000000"/>
                <w:lang w:eastAsia="en-IE"/>
              </w:rPr>
              <w:t xml:space="preserve"> (1999)</w:t>
            </w:r>
            <w:r w:rsidRPr="00483441">
              <w:rPr>
                <w:rFonts w:ascii="Calibri" w:eastAsia="Times New Roman" w:hAnsi="Calibri" w:cs="Calibri"/>
                <w:color w:val="000000"/>
                <w:lang w:eastAsia="en-IE"/>
              </w:rPr>
              <w:t xml:space="preserve">, Annual, 1986-2012, From DataStream. </w:t>
            </w:r>
          </w:p>
        </w:tc>
      </w:tr>
      <w:tr w:rsidR="00ED02A4" w:rsidRPr="00483441" w14:paraId="3197E62F" w14:textId="77777777" w:rsidTr="00367A87">
        <w:trPr>
          <w:trHeight w:val="288"/>
        </w:trPr>
        <w:tc>
          <w:tcPr>
            <w:tcW w:w="9360" w:type="dxa"/>
            <w:shd w:val="clear" w:color="auto" w:fill="auto"/>
            <w:noWrap/>
            <w:vAlign w:val="bottom"/>
            <w:hideMark/>
          </w:tcPr>
          <w:p w14:paraId="4CB75DD7" w14:textId="5485E3A0"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 xml:space="preserve">GLOBAL </w:t>
            </w:r>
            <w:r w:rsidR="00944F99" w:rsidRPr="00483441">
              <w:rPr>
                <w:rFonts w:ascii="Calibri" w:eastAsia="Times New Roman" w:hAnsi="Calibri" w:cs="Calibri"/>
                <w:color w:val="000000"/>
                <w:lang w:eastAsia="en-IE"/>
              </w:rPr>
              <w:t>INTERNET, Percentage</w:t>
            </w:r>
            <w:r w:rsidRPr="00483441">
              <w:rPr>
                <w:rFonts w:ascii="Calibri" w:eastAsia="Times New Roman" w:hAnsi="Calibri" w:cs="Calibri"/>
                <w:color w:val="000000"/>
                <w:lang w:eastAsia="en-IE"/>
              </w:rPr>
              <w:t xml:space="preserve"> of Individual Using the Internet, Aggregate of all </w:t>
            </w:r>
            <w:r w:rsidR="00944F99" w:rsidRPr="00483441">
              <w:rPr>
                <w:rFonts w:ascii="Calibri" w:eastAsia="Times New Roman" w:hAnsi="Calibri" w:cs="Calibri"/>
                <w:color w:val="000000"/>
                <w:lang w:eastAsia="en-IE"/>
              </w:rPr>
              <w:t>countries</w:t>
            </w:r>
            <w:r w:rsidRPr="00483441">
              <w:rPr>
                <w:rFonts w:ascii="Calibri" w:eastAsia="Times New Roman" w:hAnsi="Calibri" w:cs="Calibri"/>
                <w:color w:val="000000"/>
                <w:lang w:eastAsia="en-IE"/>
              </w:rPr>
              <w:t>, Annual, 1986-2012, From World Bank WDI.</w:t>
            </w:r>
          </w:p>
        </w:tc>
      </w:tr>
      <w:tr w:rsidR="00ED02A4" w:rsidRPr="00483441" w14:paraId="14842A7C" w14:textId="77777777" w:rsidTr="00367A87">
        <w:trPr>
          <w:trHeight w:val="288"/>
        </w:trPr>
        <w:tc>
          <w:tcPr>
            <w:tcW w:w="9360" w:type="dxa"/>
            <w:shd w:val="clear" w:color="auto" w:fill="auto"/>
            <w:noWrap/>
            <w:vAlign w:val="bottom"/>
            <w:hideMark/>
          </w:tcPr>
          <w:p w14:paraId="2B667430"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EDUCATION, Government expenditure on education, total (% of GDP), Annual, 1986-2012, From World Bank WDI.</w:t>
            </w:r>
          </w:p>
        </w:tc>
      </w:tr>
      <w:tr w:rsidR="00ED02A4" w:rsidRPr="00483441" w14:paraId="1FE39D9F" w14:textId="77777777" w:rsidTr="00367A87">
        <w:trPr>
          <w:trHeight w:val="288"/>
        </w:trPr>
        <w:tc>
          <w:tcPr>
            <w:tcW w:w="9360" w:type="dxa"/>
            <w:shd w:val="clear" w:color="auto" w:fill="auto"/>
            <w:noWrap/>
            <w:vAlign w:val="bottom"/>
            <w:hideMark/>
          </w:tcPr>
          <w:p w14:paraId="2D5E90BE"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LITERACY, Literacy rate, adult total (% of people ages 15 and above), Annual, 1986-2012, From World Bank WDI.</w:t>
            </w:r>
          </w:p>
        </w:tc>
      </w:tr>
      <w:tr w:rsidR="00ED02A4" w:rsidRPr="00483441" w14:paraId="1B6EA10D" w14:textId="77777777" w:rsidTr="00367A87">
        <w:trPr>
          <w:trHeight w:val="288"/>
        </w:trPr>
        <w:tc>
          <w:tcPr>
            <w:tcW w:w="9360" w:type="dxa"/>
            <w:shd w:val="clear" w:color="auto" w:fill="auto"/>
            <w:noWrap/>
            <w:vAlign w:val="bottom"/>
            <w:hideMark/>
          </w:tcPr>
          <w:p w14:paraId="7A229302"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ATM, Automated teller machines (ATMs) (per 100,000 adults), Annual, 1986-2012, From World Bank WDI.</w:t>
            </w:r>
          </w:p>
        </w:tc>
      </w:tr>
      <w:tr w:rsidR="00ED02A4" w:rsidRPr="00483441" w14:paraId="71DB2C29" w14:textId="77777777" w:rsidTr="00367A87">
        <w:trPr>
          <w:trHeight w:val="288"/>
        </w:trPr>
        <w:tc>
          <w:tcPr>
            <w:tcW w:w="9360" w:type="dxa"/>
            <w:shd w:val="clear" w:color="auto" w:fill="auto"/>
            <w:noWrap/>
            <w:vAlign w:val="bottom"/>
            <w:hideMark/>
          </w:tcPr>
          <w:p w14:paraId="7E2523CB"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EXPECTANCY, Life expectancy at birth, total (years), Annual, 1986-2012, From World Bank WDI.</w:t>
            </w:r>
          </w:p>
        </w:tc>
      </w:tr>
      <w:tr w:rsidR="00ED02A4" w:rsidRPr="00483441" w14:paraId="51D2454B" w14:textId="77777777" w:rsidTr="00367A87">
        <w:trPr>
          <w:trHeight w:val="288"/>
        </w:trPr>
        <w:tc>
          <w:tcPr>
            <w:tcW w:w="9360" w:type="dxa"/>
            <w:shd w:val="clear" w:color="auto" w:fill="auto"/>
            <w:noWrap/>
            <w:vAlign w:val="bottom"/>
            <w:hideMark/>
          </w:tcPr>
          <w:p w14:paraId="003A260C"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BROADBAND, Fixed broadband subscriptions (per 100 people), Annual, 1986-2012, From World Bank WDI.</w:t>
            </w:r>
          </w:p>
        </w:tc>
      </w:tr>
      <w:tr w:rsidR="00ED02A4" w:rsidRPr="00483441" w14:paraId="7CB98EBF" w14:textId="77777777" w:rsidTr="00367A87">
        <w:trPr>
          <w:trHeight w:val="288"/>
        </w:trPr>
        <w:tc>
          <w:tcPr>
            <w:tcW w:w="9360" w:type="dxa"/>
            <w:shd w:val="clear" w:color="auto" w:fill="auto"/>
            <w:noWrap/>
            <w:vAlign w:val="bottom"/>
            <w:hideMark/>
          </w:tcPr>
          <w:p w14:paraId="0AB92B2A"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CELL, Mobile cellular subscriptions (per 100 people), Annual, 1986-2012, From World Bank WDI.</w:t>
            </w:r>
          </w:p>
        </w:tc>
      </w:tr>
      <w:tr w:rsidR="00ED02A4" w:rsidRPr="00483441" w14:paraId="0146775B" w14:textId="77777777" w:rsidTr="00367A87">
        <w:trPr>
          <w:trHeight w:val="288"/>
        </w:trPr>
        <w:tc>
          <w:tcPr>
            <w:tcW w:w="9360" w:type="dxa"/>
            <w:shd w:val="clear" w:color="auto" w:fill="auto"/>
            <w:noWrap/>
            <w:vAlign w:val="bottom"/>
            <w:hideMark/>
          </w:tcPr>
          <w:p w14:paraId="75A620D5"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SERVERS, Secure Internet servers (per 1 million people), Annual, 1986-2012, From World Bank WDI.</w:t>
            </w:r>
          </w:p>
        </w:tc>
      </w:tr>
      <w:tr w:rsidR="00ED02A4" w:rsidRPr="00483441" w14:paraId="2A2F5742" w14:textId="77777777" w:rsidTr="00367A87">
        <w:trPr>
          <w:trHeight w:val="288"/>
        </w:trPr>
        <w:tc>
          <w:tcPr>
            <w:tcW w:w="9360" w:type="dxa"/>
            <w:shd w:val="clear" w:color="auto" w:fill="auto"/>
            <w:noWrap/>
            <w:vAlign w:val="bottom"/>
            <w:hideMark/>
          </w:tcPr>
          <w:p w14:paraId="075D87CC" w14:textId="2F7A4C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 xml:space="preserve">ENROLLMENT, School </w:t>
            </w:r>
            <w:r w:rsidR="00944F99" w:rsidRPr="00483441">
              <w:rPr>
                <w:rFonts w:ascii="Calibri" w:eastAsia="Times New Roman" w:hAnsi="Calibri" w:cs="Calibri"/>
                <w:color w:val="000000"/>
                <w:lang w:eastAsia="en-IE"/>
              </w:rPr>
              <w:t>enrolment</w:t>
            </w:r>
            <w:r w:rsidRPr="00483441">
              <w:rPr>
                <w:rFonts w:ascii="Calibri" w:eastAsia="Times New Roman" w:hAnsi="Calibri" w:cs="Calibri"/>
                <w:color w:val="000000"/>
                <w:lang w:eastAsia="en-IE"/>
              </w:rPr>
              <w:t>, secondary (gross), gender parity index (GPI), Annual, 1986-2012, From World Bank WDI.</w:t>
            </w:r>
          </w:p>
        </w:tc>
      </w:tr>
      <w:tr w:rsidR="00ED02A4" w:rsidRPr="00483441" w14:paraId="49979D11" w14:textId="77777777" w:rsidTr="00367A87">
        <w:trPr>
          <w:trHeight w:val="288"/>
        </w:trPr>
        <w:tc>
          <w:tcPr>
            <w:tcW w:w="9360" w:type="dxa"/>
            <w:shd w:val="clear" w:color="auto" w:fill="auto"/>
            <w:noWrap/>
            <w:vAlign w:val="bottom"/>
            <w:hideMark/>
          </w:tcPr>
          <w:p w14:paraId="75333C27"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HOSPITAL, hospital beds/1000 people, Annual, 1986-2012, From World Bank WDI.</w:t>
            </w:r>
          </w:p>
        </w:tc>
      </w:tr>
      <w:tr w:rsidR="00ED02A4" w:rsidRPr="00483441" w14:paraId="104FDA10" w14:textId="77777777" w:rsidTr="00367A87">
        <w:trPr>
          <w:trHeight w:val="288"/>
        </w:trPr>
        <w:tc>
          <w:tcPr>
            <w:tcW w:w="9360" w:type="dxa"/>
            <w:shd w:val="clear" w:color="auto" w:fill="auto"/>
            <w:noWrap/>
            <w:vAlign w:val="bottom"/>
            <w:hideMark/>
          </w:tcPr>
          <w:p w14:paraId="58715ED4"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PHYSICIANS, physicians/1000 people, Annual, 1986-2012, From World Bank WDI.</w:t>
            </w:r>
          </w:p>
        </w:tc>
      </w:tr>
      <w:tr w:rsidR="00ED02A4" w:rsidRPr="00483441" w14:paraId="1707DAE2" w14:textId="77777777" w:rsidTr="00367A87">
        <w:trPr>
          <w:trHeight w:val="288"/>
        </w:trPr>
        <w:tc>
          <w:tcPr>
            <w:tcW w:w="9360" w:type="dxa"/>
            <w:shd w:val="clear" w:color="auto" w:fill="auto"/>
            <w:noWrap/>
            <w:vAlign w:val="bottom"/>
            <w:hideMark/>
          </w:tcPr>
          <w:p w14:paraId="626D52A1" w14:textId="01D434D2"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MORTALITY, Maternal mortality ratio (</w:t>
            </w:r>
            <w:r w:rsidR="00944F99" w:rsidRPr="00483441">
              <w:rPr>
                <w:rFonts w:ascii="Calibri" w:eastAsia="Times New Roman" w:hAnsi="Calibri" w:cs="Calibri"/>
                <w:color w:val="000000"/>
                <w:lang w:eastAsia="en-IE"/>
              </w:rPr>
              <w:t>modelled</w:t>
            </w:r>
            <w:r w:rsidRPr="00483441">
              <w:rPr>
                <w:rFonts w:ascii="Calibri" w:eastAsia="Times New Roman" w:hAnsi="Calibri" w:cs="Calibri"/>
                <w:color w:val="000000"/>
                <w:lang w:eastAsia="en-IE"/>
              </w:rPr>
              <w:t xml:space="preserve"> estimate, per 100,000 live births), Annual, 1986-2012, From World Bank WDI.</w:t>
            </w:r>
          </w:p>
        </w:tc>
      </w:tr>
      <w:tr w:rsidR="00ED02A4" w:rsidRPr="00483441" w14:paraId="6E5637EA" w14:textId="77777777" w:rsidTr="00367A87">
        <w:trPr>
          <w:trHeight w:val="288"/>
        </w:trPr>
        <w:tc>
          <w:tcPr>
            <w:tcW w:w="9360" w:type="dxa"/>
            <w:shd w:val="clear" w:color="auto" w:fill="auto"/>
            <w:noWrap/>
            <w:vAlign w:val="bottom"/>
            <w:hideMark/>
          </w:tcPr>
          <w:p w14:paraId="2364D543"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 xml:space="preserve">RESEARCH, </w:t>
            </w:r>
            <w:proofErr w:type="gramStart"/>
            <w:r w:rsidRPr="00483441">
              <w:rPr>
                <w:rFonts w:ascii="Calibri" w:eastAsia="Times New Roman" w:hAnsi="Calibri" w:cs="Calibri"/>
                <w:color w:val="000000"/>
                <w:lang w:eastAsia="en-IE"/>
              </w:rPr>
              <w:t>Research</w:t>
            </w:r>
            <w:proofErr w:type="gramEnd"/>
            <w:r w:rsidRPr="00483441">
              <w:rPr>
                <w:rFonts w:ascii="Calibri" w:eastAsia="Times New Roman" w:hAnsi="Calibri" w:cs="Calibri"/>
                <w:color w:val="000000"/>
                <w:lang w:eastAsia="en-IE"/>
              </w:rPr>
              <w:t xml:space="preserve"> and development expenditure (% of GDP), Annual, 1986-2012, From World Bank WDI.</w:t>
            </w:r>
          </w:p>
        </w:tc>
      </w:tr>
      <w:tr w:rsidR="00ED02A4" w:rsidRPr="00483441" w14:paraId="6D469D6B" w14:textId="77777777" w:rsidTr="00367A87">
        <w:trPr>
          <w:trHeight w:val="288"/>
        </w:trPr>
        <w:tc>
          <w:tcPr>
            <w:tcW w:w="9360" w:type="dxa"/>
            <w:shd w:val="clear" w:color="auto" w:fill="auto"/>
            <w:noWrap/>
            <w:vAlign w:val="bottom"/>
            <w:hideMark/>
          </w:tcPr>
          <w:p w14:paraId="7CABFE45"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INTERNET, Percentage of Individual Using the Internet, Country level, Annual, 1986-2012, From World Bank WDI.</w:t>
            </w:r>
          </w:p>
        </w:tc>
      </w:tr>
      <w:tr w:rsidR="00ED02A4" w:rsidRPr="00483441" w14:paraId="506CACC7" w14:textId="77777777" w:rsidTr="00367A87">
        <w:trPr>
          <w:trHeight w:val="288"/>
        </w:trPr>
        <w:tc>
          <w:tcPr>
            <w:tcW w:w="9360" w:type="dxa"/>
            <w:shd w:val="clear" w:color="auto" w:fill="auto"/>
            <w:noWrap/>
            <w:vAlign w:val="bottom"/>
            <w:hideMark/>
          </w:tcPr>
          <w:p w14:paraId="4911F18E" w14:textId="4DC51845"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DEVPC1, The first Principal Component of a set of 13 individual developmental factors from World Bank WDI, Annual, 1986-2012, From authors calculations</w:t>
            </w:r>
          </w:p>
        </w:tc>
      </w:tr>
      <w:tr w:rsidR="00ED02A4" w:rsidRPr="00483441" w14:paraId="0235DFDE" w14:textId="77777777" w:rsidTr="00367A87">
        <w:trPr>
          <w:trHeight w:val="288"/>
        </w:trPr>
        <w:tc>
          <w:tcPr>
            <w:tcW w:w="9360" w:type="dxa"/>
            <w:shd w:val="clear" w:color="auto" w:fill="auto"/>
            <w:noWrap/>
            <w:vAlign w:val="bottom"/>
            <w:hideMark/>
          </w:tcPr>
          <w:p w14:paraId="742D201D"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1992- ERM crises dummy, 1 for year and 0 for other years</w:t>
            </w:r>
          </w:p>
        </w:tc>
      </w:tr>
      <w:tr w:rsidR="00ED02A4" w:rsidRPr="00483441" w14:paraId="2D8CEE71" w14:textId="77777777" w:rsidTr="00367A87">
        <w:trPr>
          <w:trHeight w:val="288"/>
        </w:trPr>
        <w:tc>
          <w:tcPr>
            <w:tcW w:w="9360" w:type="dxa"/>
            <w:shd w:val="clear" w:color="auto" w:fill="auto"/>
            <w:noWrap/>
            <w:vAlign w:val="bottom"/>
            <w:hideMark/>
          </w:tcPr>
          <w:p w14:paraId="67D9E757" w14:textId="77777777" w:rsidR="00ED02A4" w:rsidRPr="00483441" w:rsidRDefault="00ED02A4" w:rsidP="00367A87">
            <w:pPr>
              <w:spacing w:after="0" w:line="240" w:lineRule="auto"/>
              <w:rPr>
                <w:rFonts w:ascii="Calibri" w:eastAsia="Times New Roman" w:hAnsi="Calibri" w:cs="Calibri"/>
                <w:color w:val="000000"/>
                <w:lang w:eastAsia="en-IE"/>
              </w:rPr>
            </w:pPr>
            <w:r w:rsidRPr="00483441">
              <w:rPr>
                <w:rFonts w:ascii="Calibri" w:eastAsia="Times New Roman" w:hAnsi="Calibri" w:cs="Calibri"/>
                <w:color w:val="000000"/>
                <w:lang w:eastAsia="en-IE"/>
              </w:rPr>
              <w:t>2009-10 - Eurozone bond crises dummy, 1 for years and 0 for other years</w:t>
            </w:r>
          </w:p>
        </w:tc>
      </w:tr>
    </w:tbl>
    <w:p w14:paraId="12A43CDF" w14:textId="77777777" w:rsidR="00ED02A4" w:rsidRPr="00D14720" w:rsidRDefault="00ED02A4" w:rsidP="00ED02A4">
      <w:pPr>
        <w:spacing w:after="0" w:line="240" w:lineRule="auto"/>
        <w:jc w:val="both"/>
        <w:rPr>
          <w:rFonts w:ascii="Calibri" w:eastAsia="Times New Roman" w:hAnsi="Calibri" w:cs="Times New Roman"/>
          <w:color w:val="000000"/>
          <w:lang w:eastAsia="en-IE"/>
        </w:rPr>
      </w:pPr>
    </w:p>
    <w:p w14:paraId="41BFE5FE" w14:textId="34A6033F" w:rsidR="00ED02A4" w:rsidRPr="00D14720" w:rsidRDefault="00ED02A4" w:rsidP="00ED02A4">
      <w:pPr>
        <w:spacing w:after="0" w:line="240" w:lineRule="auto"/>
        <w:jc w:val="both"/>
        <w:rPr>
          <w:rFonts w:eastAsia="Times New Roman" w:cs="Times New Roman"/>
          <w:color w:val="000000"/>
          <w:lang w:eastAsia="en-IE"/>
        </w:rPr>
      </w:pPr>
      <w:r w:rsidRPr="00D14720">
        <w:rPr>
          <w:rFonts w:eastAsia="Times New Roman" w:cs="Times New Roman"/>
          <w:color w:val="000000"/>
          <w:lang w:eastAsia="en-IE"/>
        </w:rPr>
        <w:t xml:space="preserve">Notes: The table defines the independent variables considered for the panel regressions and their data sources.  The variables are both macro-financial (TED Spread, </w:t>
      </w:r>
      <w:r>
        <w:rPr>
          <w:rFonts w:eastAsia="Times New Roman" w:cs="Times New Roman"/>
          <w:color w:val="000000"/>
          <w:lang w:eastAsia="en-IE"/>
        </w:rPr>
        <w:t xml:space="preserve">VIX, </w:t>
      </w:r>
      <w:r w:rsidRPr="00D14720">
        <w:rPr>
          <w:rFonts w:eastAsia="Times New Roman" w:cs="Times New Roman"/>
          <w:color w:val="000000"/>
          <w:lang w:eastAsia="en-IE"/>
        </w:rPr>
        <w:t>SENT, FEDFUNDS</w:t>
      </w:r>
      <w:r>
        <w:rPr>
          <w:rFonts w:eastAsia="Times New Roman" w:cs="Times New Roman"/>
          <w:color w:val="000000"/>
          <w:lang w:eastAsia="en-IE"/>
        </w:rPr>
        <w:t>, ECONOMIC, POLITICAL, FINANCIAL and LIQUIDITY</w:t>
      </w:r>
      <w:r w:rsidRPr="00D14720">
        <w:rPr>
          <w:rFonts w:eastAsia="Times New Roman" w:cs="Times New Roman"/>
          <w:color w:val="000000"/>
          <w:lang w:eastAsia="en-IE"/>
        </w:rPr>
        <w:t>)</w:t>
      </w:r>
      <w:r>
        <w:rPr>
          <w:rFonts w:eastAsia="Times New Roman" w:cs="Times New Roman"/>
          <w:color w:val="000000"/>
          <w:lang w:eastAsia="en-IE"/>
        </w:rPr>
        <w:t xml:space="preserve"> and </w:t>
      </w:r>
      <w:r w:rsidRPr="00D14720">
        <w:rPr>
          <w:rFonts w:eastAsia="Times New Roman" w:cs="Times New Roman"/>
          <w:color w:val="000000"/>
          <w:lang w:eastAsia="en-IE"/>
        </w:rPr>
        <w:t>developmental proxies (</w:t>
      </w:r>
      <w:r w:rsidRPr="00FB7BDE">
        <w:rPr>
          <w:rFonts w:eastAsia="Times New Roman" w:cs="Times New Roman"/>
          <w:color w:val="000000"/>
          <w:lang w:eastAsia="en-IE"/>
        </w:rPr>
        <w:t>EDUCATION, LITERACY, ATM, EXPECTANCY,</w:t>
      </w:r>
      <w:r>
        <w:rPr>
          <w:rFonts w:eastAsia="Times New Roman" w:cs="Times New Roman"/>
          <w:color w:val="000000"/>
          <w:lang w:eastAsia="en-IE"/>
        </w:rPr>
        <w:t xml:space="preserve"> </w:t>
      </w:r>
      <w:r w:rsidRPr="00FB7BDE">
        <w:rPr>
          <w:rFonts w:eastAsia="Times New Roman" w:cs="Times New Roman"/>
          <w:color w:val="000000"/>
          <w:lang w:eastAsia="en-IE"/>
        </w:rPr>
        <w:t>BROADBAND, CELL,</w:t>
      </w:r>
      <w:r>
        <w:rPr>
          <w:rFonts w:eastAsia="Times New Roman" w:cs="Times New Roman"/>
          <w:color w:val="000000"/>
          <w:lang w:eastAsia="en-IE"/>
        </w:rPr>
        <w:t xml:space="preserve"> </w:t>
      </w:r>
      <w:r w:rsidRPr="00FB7BDE">
        <w:rPr>
          <w:rFonts w:eastAsia="Times New Roman" w:cs="Times New Roman"/>
          <w:color w:val="000000"/>
          <w:lang w:eastAsia="en-IE"/>
        </w:rPr>
        <w:t>SERVERS,</w:t>
      </w:r>
      <w:r>
        <w:rPr>
          <w:rFonts w:eastAsia="Times New Roman" w:cs="Times New Roman"/>
          <w:color w:val="000000"/>
          <w:lang w:eastAsia="en-IE"/>
        </w:rPr>
        <w:t xml:space="preserve"> </w:t>
      </w:r>
      <w:r w:rsidRPr="00FB7BDE">
        <w:rPr>
          <w:rFonts w:eastAsia="Times New Roman" w:cs="Times New Roman"/>
          <w:color w:val="000000"/>
          <w:lang w:eastAsia="en-IE"/>
        </w:rPr>
        <w:t>ENROLLMENT,</w:t>
      </w:r>
      <w:r>
        <w:rPr>
          <w:rFonts w:eastAsia="Times New Roman" w:cs="Times New Roman"/>
          <w:color w:val="000000"/>
          <w:lang w:eastAsia="en-IE"/>
        </w:rPr>
        <w:t xml:space="preserve"> </w:t>
      </w:r>
      <w:r w:rsidRPr="00FB7BDE">
        <w:rPr>
          <w:rFonts w:eastAsia="Times New Roman" w:cs="Times New Roman"/>
          <w:color w:val="000000"/>
          <w:lang w:eastAsia="en-IE"/>
        </w:rPr>
        <w:t>HOSPITAL,</w:t>
      </w:r>
      <w:r>
        <w:rPr>
          <w:rFonts w:eastAsia="Times New Roman" w:cs="Times New Roman"/>
          <w:color w:val="000000"/>
          <w:lang w:eastAsia="en-IE"/>
        </w:rPr>
        <w:t xml:space="preserve"> </w:t>
      </w:r>
      <w:r w:rsidRPr="00FB7BDE">
        <w:rPr>
          <w:rFonts w:eastAsia="Times New Roman" w:cs="Times New Roman"/>
          <w:color w:val="000000"/>
          <w:lang w:eastAsia="en-IE"/>
        </w:rPr>
        <w:t>PHYSICIANS,</w:t>
      </w:r>
      <w:r>
        <w:rPr>
          <w:rFonts w:eastAsia="Times New Roman" w:cs="Times New Roman"/>
          <w:color w:val="000000"/>
          <w:lang w:eastAsia="en-IE"/>
        </w:rPr>
        <w:t xml:space="preserve"> </w:t>
      </w:r>
      <w:r w:rsidRPr="00FB7BDE">
        <w:rPr>
          <w:rFonts w:eastAsia="Times New Roman" w:cs="Times New Roman"/>
          <w:color w:val="000000"/>
          <w:lang w:eastAsia="en-IE"/>
        </w:rPr>
        <w:t>MORTALITY, RESEARCH,</w:t>
      </w:r>
      <w:r>
        <w:rPr>
          <w:rFonts w:eastAsia="Times New Roman" w:cs="Times New Roman"/>
          <w:color w:val="000000"/>
          <w:lang w:eastAsia="en-IE"/>
        </w:rPr>
        <w:t xml:space="preserve"> </w:t>
      </w:r>
      <w:r w:rsidRPr="00FB7BDE">
        <w:rPr>
          <w:rFonts w:eastAsia="Times New Roman" w:cs="Times New Roman"/>
          <w:color w:val="000000"/>
          <w:lang w:eastAsia="en-IE"/>
        </w:rPr>
        <w:t>INTERNET</w:t>
      </w:r>
      <w:r>
        <w:rPr>
          <w:rFonts w:eastAsia="Times New Roman" w:cs="Times New Roman"/>
          <w:color w:val="000000"/>
          <w:lang w:eastAsia="en-IE"/>
        </w:rPr>
        <w:t xml:space="preserve"> and PCDEV1</w:t>
      </w:r>
      <w:r w:rsidRPr="00D14720">
        <w:rPr>
          <w:rFonts w:eastAsia="Times New Roman" w:cs="Times New Roman"/>
          <w:color w:val="000000"/>
          <w:lang w:eastAsia="en-IE"/>
        </w:rPr>
        <w:t xml:space="preserve">). </w:t>
      </w:r>
      <w:r>
        <w:rPr>
          <w:rFonts w:eastAsia="Times New Roman" w:cs="Times New Roman"/>
          <w:color w:val="000000"/>
          <w:lang w:eastAsia="en-IE"/>
        </w:rPr>
        <w:t>Given very high correlations (</w:t>
      </w:r>
      <w:proofErr w:type="gramStart"/>
      <w:r>
        <w:rPr>
          <w:rFonts w:eastAsia="Times New Roman" w:cs="Times New Roman"/>
          <w:color w:val="000000"/>
          <w:lang w:eastAsia="en-IE"/>
        </w:rPr>
        <w:t>in excess of</w:t>
      </w:r>
      <w:proofErr w:type="gramEnd"/>
      <w:r>
        <w:rPr>
          <w:rFonts w:eastAsia="Times New Roman" w:cs="Times New Roman"/>
          <w:color w:val="000000"/>
          <w:lang w:eastAsia="en-IE"/>
        </w:rPr>
        <w:t xml:space="preserve"> 0.9) between developmental variables a further developmental variable, </w:t>
      </w:r>
      <w:r w:rsidRPr="00D9622C">
        <w:rPr>
          <w:rFonts w:eastAsia="Times New Roman" w:cs="Times New Roman"/>
          <w:color w:val="000000"/>
          <w:lang w:eastAsia="en-IE"/>
        </w:rPr>
        <w:t xml:space="preserve">DEVPC1, is also included separately as a </w:t>
      </w:r>
      <w:r w:rsidRPr="00D9622C">
        <w:rPr>
          <w:rFonts w:eastAsia="Times New Roman" w:cs="Times New Roman"/>
          <w:color w:val="000000"/>
          <w:lang w:eastAsia="en-IE"/>
        </w:rPr>
        <w:lastRenderedPageBreak/>
        <w:t>developmental factor</w:t>
      </w:r>
      <w:r>
        <w:rPr>
          <w:rFonts w:eastAsia="Times New Roman" w:cs="Times New Roman"/>
          <w:color w:val="000000"/>
          <w:lang w:eastAsia="en-IE"/>
        </w:rPr>
        <w:t>.  PCDEV1 is t</w:t>
      </w:r>
      <w:r w:rsidRPr="00D9622C">
        <w:rPr>
          <w:rFonts w:eastAsia="Times New Roman" w:cs="Times New Roman"/>
          <w:color w:val="000000"/>
          <w:lang w:eastAsia="en-IE"/>
        </w:rPr>
        <w:t xml:space="preserve">he first Principal Component of a set of </w:t>
      </w:r>
      <w:r>
        <w:rPr>
          <w:rFonts w:eastAsia="Times New Roman" w:cs="Times New Roman"/>
          <w:color w:val="000000"/>
          <w:lang w:eastAsia="en-IE"/>
        </w:rPr>
        <w:t xml:space="preserve">13 </w:t>
      </w:r>
      <w:r w:rsidRPr="00D9622C">
        <w:rPr>
          <w:rFonts w:eastAsia="Times New Roman" w:cs="Times New Roman"/>
          <w:color w:val="000000"/>
          <w:lang w:eastAsia="en-IE"/>
        </w:rPr>
        <w:t>developmental factors</w:t>
      </w:r>
      <w:r>
        <w:rPr>
          <w:rFonts w:eastAsia="Times New Roman" w:cs="Times New Roman"/>
          <w:color w:val="000000"/>
          <w:lang w:eastAsia="en-IE"/>
        </w:rPr>
        <w:t xml:space="preserve">. </w:t>
      </w:r>
      <w:r w:rsidRPr="00D14720">
        <w:rPr>
          <w:rFonts w:eastAsia="Times New Roman" w:cs="Times New Roman"/>
          <w:color w:val="000000"/>
          <w:lang w:eastAsia="en-IE"/>
        </w:rPr>
        <w:t xml:space="preserve">All variables are annual for the timeframe 1986-2012 inclusive, except VIX which is from 1990-2012, and SENT which is from 1986-2010.  </w:t>
      </w:r>
      <w:r>
        <w:rPr>
          <w:rFonts w:eastAsia="Times New Roman" w:cs="Times New Roman"/>
          <w:color w:val="000000"/>
          <w:lang w:eastAsia="en-IE"/>
        </w:rPr>
        <w:t xml:space="preserve">There are a set of Global and World Factors, aggregates of individual country level or individual series (TED, VIX, SENT, FED FUNDS, and GLOBAL INTERNET). All other series are obtained at country level.  </w:t>
      </w:r>
      <w:r w:rsidRPr="00D14720">
        <w:rPr>
          <w:rFonts w:eastAsia="Times New Roman" w:cs="Times New Roman"/>
          <w:color w:val="000000"/>
          <w:lang w:eastAsia="en-IE"/>
        </w:rPr>
        <w:t xml:space="preserve">TED Spread is the annual TED spread obtained from FRED.  VIX is the option volatility index from the Chicago Board Options Exchange obtained from FRED.  SENT is investor sentiment described in Baker and </w:t>
      </w:r>
      <w:proofErr w:type="spellStart"/>
      <w:r w:rsidRPr="00D14720">
        <w:rPr>
          <w:rFonts w:eastAsia="Times New Roman" w:cs="Times New Roman"/>
          <w:color w:val="000000"/>
          <w:lang w:eastAsia="en-IE"/>
        </w:rPr>
        <w:t>Wurgler</w:t>
      </w:r>
      <w:proofErr w:type="spellEnd"/>
      <w:r w:rsidRPr="00D14720">
        <w:rPr>
          <w:rFonts w:eastAsia="Times New Roman" w:cs="Times New Roman"/>
          <w:color w:val="000000"/>
          <w:lang w:eastAsia="en-IE"/>
        </w:rPr>
        <w:t xml:space="preserve"> (2006) obtained from Jeffrey </w:t>
      </w:r>
      <w:proofErr w:type="spellStart"/>
      <w:r w:rsidRPr="00D14720">
        <w:rPr>
          <w:rFonts w:eastAsia="Times New Roman" w:cs="Times New Roman"/>
          <w:color w:val="000000"/>
          <w:lang w:eastAsia="en-IE"/>
        </w:rPr>
        <w:t>Wurgler</w:t>
      </w:r>
      <w:proofErr w:type="spellEnd"/>
      <w:r w:rsidRPr="00D14720">
        <w:rPr>
          <w:rFonts w:eastAsia="Times New Roman" w:cs="Times New Roman"/>
          <w:color w:val="000000"/>
          <w:lang w:eastAsia="en-IE"/>
        </w:rPr>
        <w:t xml:space="preserve">. FEDFUNDS is the US Federal Funds Rate obtained from DataStream. </w:t>
      </w:r>
      <w:r>
        <w:rPr>
          <w:rFonts w:eastAsia="Times New Roman" w:cs="Times New Roman"/>
          <w:color w:val="000000"/>
          <w:lang w:eastAsia="en-IE"/>
        </w:rPr>
        <w:t xml:space="preserve">Country level data is </w:t>
      </w:r>
      <w:r w:rsidRPr="00D14720">
        <w:rPr>
          <w:rFonts w:eastAsia="Times New Roman" w:cs="Times New Roman"/>
          <w:color w:val="000000"/>
          <w:lang w:eastAsia="en-IE"/>
        </w:rPr>
        <w:t xml:space="preserve">for countries only with available data in </w:t>
      </w:r>
      <w:r>
        <w:rPr>
          <w:rFonts w:eastAsia="Times New Roman" w:cs="Times New Roman"/>
          <w:color w:val="000000"/>
          <w:lang w:eastAsia="en-IE"/>
        </w:rPr>
        <w:t xml:space="preserve">any </w:t>
      </w:r>
      <w:r w:rsidRPr="00D14720">
        <w:rPr>
          <w:rFonts w:eastAsia="Times New Roman" w:cs="Times New Roman"/>
          <w:color w:val="000000"/>
          <w:lang w:eastAsia="en-IE"/>
        </w:rPr>
        <w:t xml:space="preserve">given year.  </w:t>
      </w:r>
      <w:r w:rsidR="00586033" w:rsidRPr="00586033">
        <w:rPr>
          <w:rFonts w:eastAsia="Times New Roman" w:cs="Times New Roman"/>
          <w:color w:val="000000"/>
          <w:lang w:eastAsia="en-IE"/>
        </w:rPr>
        <w:t>L</w:t>
      </w:r>
      <w:r w:rsidR="00586033">
        <w:rPr>
          <w:rFonts w:eastAsia="Times New Roman" w:cs="Times New Roman"/>
          <w:color w:val="000000"/>
          <w:lang w:eastAsia="en-IE"/>
        </w:rPr>
        <w:t>IQUIDITY</w:t>
      </w:r>
      <w:r w:rsidR="00586033" w:rsidRPr="00586033">
        <w:rPr>
          <w:rFonts w:eastAsia="Times New Roman" w:cs="Times New Roman"/>
          <w:color w:val="000000"/>
          <w:lang w:eastAsia="en-IE"/>
        </w:rPr>
        <w:t xml:space="preserve"> is obtained for each year and each asset by counting the capitalisation weighted proportional incidence of observed zero daily returns suggested by </w:t>
      </w:r>
      <w:proofErr w:type="spellStart"/>
      <w:r w:rsidR="00586033" w:rsidRPr="00586033">
        <w:rPr>
          <w:rFonts w:eastAsia="Times New Roman" w:cs="Times New Roman"/>
          <w:color w:val="000000"/>
          <w:lang w:eastAsia="en-IE"/>
        </w:rPr>
        <w:t>Lesmond</w:t>
      </w:r>
      <w:proofErr w:type="spellEnd"/>
      <w:r w:rsidR="00586033" w:rsidRPr="00586033">
        <w:rPr>
          <w:rFonts w:eastAsia="Times New Roman" w:cs="Times New Roman"/>
          <w:color w:val="000000"/>
          <w:lang w:eastAsia="en-IE"/>
        </w:rPr>
        <w:t xml:space="preserve">, Ogden, and </w:t>
      </w:r>
      <w:proofErr w:type="spellStart"/>
      <w:r w:rsidR="00586033" w:rsidRPr="00586033">
        <w:rPr>
          <w:rFonts w:eastAsia="Times New Roman" w:cs="Times New Roman"/>
          <w:color w:val="000000"/>
          <w:lang w:eastAsia="en-IE"/>
        </w:rPr>
        <w:t>Trzcinka</w:t>
      </w:r>
      <w:proofErr w:type="spellEnd"/>
      <w:r w:rsidR="00586033" w:rsidRPr="00586033">
        <w:rPr>
          <w:rFonts w:eastAsia="Times New Roman" w:cs="Times New Roman"/>
          <w:color w:val="000000"/>
          <w:lang w:eastAsia="en-IE"/>
        </w:rPr>
        <w:t xml:space="preserve"> (1999)</w:t>
      </w:r>
      <w:r w:rsidR="00586033">
        <w:rPr>
          <w:rFonts w:eastAsia="Times New Roman" w:cs="Times New Roman"/>
          <w:color w:val="000000"/>
          <w:lang w:eastAsia="en-IE"/>
        </w:rPr>
        <w:t xml:space="preserve">. </w:t>
      </w:r>
      <w:r>
        <w:rPr>
          <w:rFonts w:eastAsia="Times New Roman" w:cs="Times New Roman"/>
          <w:color w:val="000000"/>
          <w:lang w:eastAsia="en-IE"/>
        </w:rPr>
        <w:t>ECONOMIC</w:t>
      </w:r>
      <w:r w:rsidRPr="00C13F04">
        <w:rPr>
          <w:rFonts w:eastAsia="Times New Roman" w:cs="Times New Roman"/>
          <w:color w:val="000000"/>
          <w:lang w:eastAsia="en-IE"/>
        </w:rPr>
        <w:t xml:space="preserve"> is the aggregate </w:t>
      </w:r>
      <w:r>
        <w:rPr>
          <w:rFonts w:eastAsia="Times New Roman" w:cs="Times New Roman"/>
          <w:color w:val="000000"/>
          <w:lang w:eastAsia="en-IE"/>
        </w:rPr>
        <w:t>economic</w:t>
      </w:r>
      <w:r w:rsidRPr="00C13F04">
        <w:rPr>
          <w:rFonts w:eastAsia="Times New Roman" w:cs="Times New Roman"/>
          <w:color w:val="000000"/>
          <w:lang w:eastAsia="en-IE"/>
        </w:rPr>
        <w:t xml:space="preserve"> risk index composed of </w:t>
      </w:r>
      <w:r>
        <w:rPr>
          <w:rFonts w:eastAsia="Times New Roman" w:cs="Times New Roman"/>
          <w:color w:val="000000"/>
          <w:lang w:eastAsia="en-IE"/>
        </w:rPr>
        <w:t>5</w:t>
      </w:r>
      <w:r w:rsidRPr="00C13F04">
        <w:rPr>
          <w:rFonts w:eastAsia="Times New Roman" w:cs="Times New Roman"/>
          <w:color w:val="000000"/>
          <w:lang w:eastAsia="en-IE"/>
        </w:rPr>
        <w:t xml:space="preserve"> sub-indexes (GDP per Head, Real GDP Growth,</w:t>
      </w:r>
      <w:r>
        <w:rPr>
          <w:rFonts w:eastAsia="Times New Roman" w:cs="Times New Roman"/>
          <w:color w:val="000000"/>
          <w:lang w:eastAsia="en-IE"/>
        </w:rPr>
        <w:t xml:space="preserve"> </w:t>
      </w:r>
      <w:r w:rsidRPr="00C13F04">
        <w:rPr>
          <w:rFonts w:eastAsia="Times New Roman" w:cs="Times New Roman"/>
          <w:color w:val="000000"/>
          <w:lang w:eastAsia="en-IE"/>
        </w:rPr>
        <w:t>Annual Inflation Rate, Budget Balance as a Percentage of GDP,</w:t>
      </w:r>
      <w:r>
        <w:rPr>
          <w:rFonts w:eastAsia="Times New Roman" w:cs="Times New Roman"/>
          <w:color w:val="000000"/>
          <w:lang w:eastAsia="en-IE"/>
        </w:rPr>
        <w:t xml:space="preserve"> and </w:t>
      </w:r>
      <w:r w:rsidRPr="00C13F04">
        <w:rPr>
          <w:rFonts w:eastAsia="Times New Roman" w:cs="Times New Roman"/>
          <w:color w:val="000000"/>
          <w:lang w:eastAsia="en-IE"/>
        </w:rPr>
        <w:t>Current Account as a Percentage of GDP)</w:t>
      </w:r>
      <w:r>
        <w:rPr>
          <w:rFonts w:eastAsia="Times New Roman" w:cs="Times New Roman"/>
          <w:color w:val="000000"/>
          <w:lang w:eastAsia="en-IE"/>
        </w:rPr>
        <w:t xml:space="preserve">. FINANCIAL is the aggregate financial </w:t>
      </w:r>
      <w:r w:rsidRPr="00C13F04">
        <w:rPr>
          <w:rFonts w:eastAsia="Times New Roman" w:cs="Times New Roman"/>
          <w:color w:val="000000"/>
          <w:lang w:eastAsia="en-IE"/>
        </w:rPr>
        <w:t>risk index composed of 5 sub-indexes (Foreign Debt as a Percentage of GDP, Foreign Debt Service as a Percentage of Exports of Goods and Services, Current Account as a Percentage of Exports of Goods and Services, Net International Liquidity as Months of Import Cover, Exchange Rate Stability).</w:t>
      </w:r>
      <w:r>
        <w:rPr>
          <w:rFonts w:eastAsia="Times New Roman" w:cs="Times New Roman"/>
          <w:color w:val="000000"/>
          <w:lang w:eastAsia="en-IE"/>
        </w:rPr>
        <w:t xml:space="preserve"> POLITICAL is the aggregate political risk index composed of 12 sub-indexes (</w:t>
      </w:r>
      <w:r w:rsidRPr="003361B0">
        <w:rPr>
          <w:rFonts w:eastAsia="Times New Roman" w:cs="Times New Roman"/>
          <w:color w:val="000000"/>
          <w:lang w:eastAsia="en-IE"/>
        </w:rPr>
        <w:t>Government Stability,</w:t>
      </w:r>
      <w:r>
        <w:rPr>
          <w:rFonts w:eastAsia="Times New Roman" w:cs="Times New Roman"/>
          <w:color w:val="000000"/>
          <w:lang w:eastAsia="en-IE"/>
        </w:rPr>
        <w:t xml:space="preserve"> </w:t>
      </w:r>
      <w:r w:rsidRPr="003361B0">
        <w:rPr>
          <w:rFonts w:eastAsia="Times New Roman" w:cs="Times New Roman"/>
          <w:color w:val="000000"/>
          <w:lang w:eastAsia="en-IE"/>
        </w:rPr>
        <w:t>Socioeconomic Conditions, Investment Profile,</w:t>
      </w:r>
      <w:r>
        <w:rPr>
          <w:rFonts w:eastAsia="Times New Roman" w:cs="Times New Roman"/>
          <w:color w:val="000000"/>
          <w:lang w:eastAsia="en-IE"/>
        </w:rPr>
        <w:t xml:space="preserve"> </w:t>
      </w:r>
      <w:r w:rsidRPr="003361B0">
        <w:rPr>
          <w:rFonts w:eastAsia="Times New Roman" w:cs="Times New Roman"/>
          <w:color w:val="000000"/>
          <w:lang w:eastAsia="en-IE"/>
        </w:rPr>
        <w:t>Internal Conflict, External Conflict,</w:t>
      </w:r>
      <w:r>
        <w:rPr>
          <w:rFonts w:eastAsia="Times New Roman" w:cs="Times New Roman"/>
          <w:color w:val="000000"/>
          <w:lang w:eastAsia="en-IE"/>
        </w:rPr>
        <w:t xml:space="preserve"> </w:t>
      </w:r>
      <w:r w:rsidRPr="003361B0">
        <w:rPr>
          <w:rFonts w:eastAsia="Times New Roman" w:cs="Times New Roman"/>
          <w:color w:val="000000"/>
          <w:lang w:eastAsia="en-IE"/>
        </w:rPr>
        <w:t>Corruption, Military in Politics,</w:t>
      </w:r>
      <w:r>
        <w:rPr>
          <w:rFonts w:eastAsia="Times New Roman" w:cs="Times New Roman"/>
          <w:color w:val="000000"/>
          <w:lang w:eastAsia="en-IE"/>
        </w:rPr>
        <w:t xml:space="preserve"> </w:t>
      </w:r>
      <w:r w:rsidRPr="003361B0">
        <w:rPr>
          <w:rFonts w:eastAsia="Times New Roman" w:cs="Times New Roman"/>
          <w:color w:val="000000"/>
          <w:lang w:eastAsia="en-IE"/>
        </w:rPr>
        <w:t>Religious Tensions,</w:t>
      </w:r>
      <w:r>
        <w:rPr>
          <w:rFonts w:eastAsia="Times New Roman" w:cs="Times New Roman"/>
          <w:color w:val="000000"/>
          <w:lang w:eastAsia="en-IE"/>
        </w:rPr>
        <w:t xml:space="preserve"> </w:t>
      </w:r>
      <w:r w:rsidRPr="003361B0">
        <w:rPr>
          <w:rFonts w:eastAsia="Times New Roman" w:cs="Times New Roman"/>
          <w:color w:val="000000"/>
          <w:lang w:eastAsia="en-IE"/>
        </w:rPr>
        <w:t>Law and Order, Ethnic Tensions,</w:t>
      </w:r>
      <w:r>
        <w:rPr>
          <w:rFonts w:eastAsia="Times New Roman" w:cs="Times New Roman"/>
          <w:color w:val="000000"/>
          <w:lang w:eastAsia="en-IE"/>
        </w:rPr>
        <w:t xml:space="preserve"> </w:t>
      </w:r>
      <w:r w:rsidRPr="003361B0">
        <w:rPr>
          <w:rFonts w:eastAsia="Times New Roman" w:cs="Times New Roman"/>
          <w:color w:val="000000"/>
          <w:lang w:eastAsia="en-IE"/>
        </w:rPr>
        <w:t>Democratic Accountability,</w:t>
      </w:r>
      <w:r>
        <w:rPr>
          <w:rFonts w:eastAsia="Times New Roman" w:cs="Times New Roman"/>
          <w:color w:val="000000"/>
          <w:lang w:eastAsia="en-IE"/>
        </w:rPr>
        <w:t xml:space="preserve"> and </w:t>
      </w:r>
      <w:r w:rsidRPr="003361B0">
        <w:rPr>
          <w:rFonts w:eastAsia="Times New Roman" w:cs="Times New Roman"/>
          <w:color w:val="000000"/>
          <w:lang w:eastAsia="en-IE"/>
        </w:rPr>
        <w:t>Bureaucracy Quality</w:t>
      </w:r>
      <w:r>
        <w:rPr>
          <w:rFonts w:eastAsia="Times New Roman" w:cs="Times New Roman"/>
          <w:color w:val="000000"/>
          <w:lang w:eastAsia="en-IE"/>
        </w:rPr>
        <w:t>)</w:t>
      </w:r>
      <w:r>
        <w:t xml:space="preserve">. </w:t>
      </w:r>
      <w:r w:rsidRPr="00D14720">
        <w:rPr>
          <w:rFonts w:eastAsia="Times New Roman" w:cs="Times New Roman"/>
          <w:color w:val="000000"/>
          <w:lang w:eastAsia="en-IE"/>
        </w:rPr>
        <w:t>1992 is an ERM crises dummy, 1 for year and 0 for other years.  2009-10 is a Eurozone bond crises dummy, 1 for years and 0 for other years.</w:t>
      </w:r>
    </w:p>
    <w:p w14:paraId="79E716D7" w14:textId="77777777" w:rsidR="00ED02A4" w:rsidRPr="00D14720" w:rsidRDefault="00ED02A4" w:rsidP="00ED02A4">
      <w:pPr>
        <w:rPr>
          <w:rFonts w:eastAsia="Times New Roman" w:cs="Times New Roman"/>
          <w:color w:val="000000"/>
          <w:lang w:eastAsia="en-IE"/>
        </w:rPr>
      </w:pPr>
      <w:r w:rsidRPr="00D14720">
        <w:rPr>
          <w:rFonts w:eastAsia="Times New Roman" w:cs="Times New Roman"/>
          <w:color w:val="000000"/>
          <w:lang w:eastAsia="en-IE"/>
        </w:rPr>
        <w:br w:type="page"/>
      </w:r>
    </w:p>
    <w:p w14:paraId="31642094" w14:textId="77777777" w:rsidR="00ED02A4" w:rsidRPr="00D14720" w:rsidRDefault="00ED02A4" w:rsidP="00ED02A4">
      <w:pPr>
        <w:spacing w:after="0" w:line="240" w:lineRule="auto"/>
        <w:jc w:val="center"/>
        <w:rPr>
          <w:rFonts w:ascii="Calibri" w:eastAsia="Times New Roman" w:hAnsi="Calibri" w:cs="Times New Roman"/>
          <w:b/>
          <w:bCs/>
          <w:color w:val="000000"/>
          <w:sz w:val="24"/>
          <w:szCs w:val="24"/>
          <w:lang w:eastAsia="en-IE"/>
        </w:rPr>
      </w:pPr>
      <w:r w:rsidRPr="00D14720">
        <w:rPr>
          <w:rFonts w:ascii="Calibri" w:eastAsia="Times New Roman" w:hAnsi="Calibri" w:cs="Times New Roman"/>
          <w:b/>
          <w:bCs/>
          <w:color w:val="000000"/>
          <w:sz w:val="24"/>
          <w:szCs w:val="24"/>
          <w:lang w:eastAsia="en-IE"/>
        </w:rPr>
        <w:lastRenderedPageBreak/>
        <w:t>Table 6</w:t>
      </w:r>
    </w:p>
    <w:p w14:paraId="6942ABF3" w14:textId="77777777" w:rsidR="00ED02A4" w:rsidRPr="00D14720" w:rsidRDefault="00ED02A4" w:rsidP="00ED02A4">
      <w:pPr>
        <w:spacing w:after="0" w:line="240" w:lineRule="auto"/>
        <w:jc w:val="center"/>
        <w:rPr>
          <w:rFonts w:ascii="Calibri" w:eastAsia="Times New Roman" w:hAnsi="Calibri" w:cs="Times New Roman"/>
          <w:b/>
          <w:bCs/>
          <w:color w:val="000000"/>
          <w:sz w:val="24"/>
          <w:szCs w:val="24"/>
          <w:lang w:eastAsia="en-IE"/>
        </w:rPr>
      </w:pPr>
    </w:p>
    <w:p w14:paraId="3DCB6F7B" w14:textId="77777777" w:rsidR="00ED02A4" w:rsidRDefault="00ED02A4" w:rsidP="00ED02A4">
      <w:pPr>
        <w:jc w:val="center"/>
        <w:rPr>
          <w:rFonts w:ascii="Calibri" w:eastAsia="Times New Roman" w:hAnsi="Calibri" w:cs="Times New Roman"/>
          <w:b/>
          <w:bCs/>
          <w:color w:val="000000"/>
          <w:sz w:val="24"/>
          <w:szCs w:val="24"/>
          <w:lang w:eastAsia="en-IE"/>
        </w:rPr>
      </w:pPr>
      <w:r w:rsidRPr="00D14720">
        <w:rPr>
          <w:rFonts w:ascii="Calibri" w:eastAsia="Times New Roman" w:hAnsi="Calibri" w:cs="Times New Roman"/>
          <w:b/>
          <w:bCs/>
          <w:color w:val="000000"/>
          <w:sz w:val="24"/>
          <w:szCs w:val="24"/>
          <w:lang w:eastAsia="en-IE"/>
        </w:rPr>
        <w:t>Correlations of Variables Associated with Diversification Indexes</w:t>
      </w:r>
    </w:p>
    <w:tbl>
      <w:tblPr>
        <w:tblW w:w="9346" w:type="dxa"/>
        <w:tblInd w:w="103" w:type="dxa"/>
        <w:tblLook w:val="04A0" w:firstRow="1" w:lastRow="0" w:firstColumn="1" w:lastColumn="0" w:noHBand="0" w:noVBand="1"/>
      </w:tblPr>
      <w:tblGrid>
        <w:gridCol w:w="1139"/>
        <w:gridCol w:w="682"/>
        <w:gridCol w:w="682"/>
        <w:gridCol w:w="682"/>
        <w:gridCol w:w="724"/>
        <w:gridCol w:w="943"/>
        <w:gridCol w:w="682"/>
        <w:gridCol w:w="682"/>
        <w:gridCol w:w="1002"/>
        <w:gridCol w:w="1050"/>
        <w:gridCol w:w="959"/>
        <w:gridCol w:w="797"/>
      </w:tblGrid>
      <w:tr w:rsidR="00ED02A4" w:rsidRPr="00AC0EE7" w14:paraId="766073F4" w14:textId="77777777" w:rsidTr="00367A87">
        <w:trPr>
          <w:trHeight w:val="288"/>
        </w:trPr>
        <w:tc>
          <w:tcPr>
            <w:tcW w:w="1139" w:type="dxa"/>
            <w:tcBorders>
              <w:top w:val="single" w:sz="4" w:space="0" w:color="auto"/>
              <w:left w:val="single" w:sz="4" w:space="0" w:color="auto"/>
              <w:bottom w:val="nil"/>
              <w:right w:val="nil"/>
            </w:tcBorders>
            <w:shd w:val="clear" w:color="auto" w:fill="auto"/>
            <w:noWrap/>
            <w:vAlign w:val="bottom"/>
            <w:hideMark/>
          </w:tcPr>
          <w:p w14:paraId="4080923B"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 </w:t>
            </w:r>
          </w:p>
        </w:tc>
        <w:tc>
          <w:tcPr>
            <w:tcW w:w="0" w:type="auto"/>
            <w:tcBorders>
              <w:top w:val="single" w:sz="4" w:space="0" w:color="auto"/>
              <w:left w:val="nil"/>
              <w:bottom w:val="nil"/>
              <w:right w:val="nil"/>
            </w:tcBorders>
            <w:shd w:val="clear" w:color="auto" w:fill="auto"/>
            <w:noWrap/>
            <w:vAlign w:val="bottom"/>
            <w:hideMark/>
          </w:tcPr>
          <w:p w14:paraId="1F76C564"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TED</w:t>
            </w:r>
          </w:p>
        </w:tc>
        <w:tc>
          <w:tcPr>
            <w:tcW w:w="0" w:type="auto"/>
            <w:tcBorders>
              <w:top w:val="single" w:sz="4" w:space="0" w:color="auto"/>
              <w:left w:val="nil"/>
              <w:bottom w:val="nil"/>
              <w:right w:val="nil"/>
            </w:tcBorders>
            <w:shd w:val="clear" w:color="auto" w:fill="auto"/>
            <w:noWrap/>
            <w:vAlign w:val="bottom"/>
            <w:hideMark/>
          </w:tcPr>
          <w:p w14:paraId="2A7F4CA5"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VIX</w:t>
            </w:r>
          </w:p>
        </w:tc>
        <w:tc>
          <w:tcPr>
            <w:tcW w:w="0" w:type="auto"/>
            <w:tcBorders>
              <w:top w:val="single" w:sz="4" w:space="0" w:color="auto"/>
              <w:left w:val="nil"/>
              <w:bottom w:val="nil"/>
              <w:right w:val="nil"/>
            </w:tcBorders>
            <w:shd w:val="clear" w:color="auto" w:fill="auto"/>
            <w:noWrap/>
            <w:vAlign w:val="bottom"/>
            <w:hideMark/>
          </w:tcPr>
          <w:p w14:paraId="70AC1C12"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SENT</w:t>
            </w:r>
          </w:p>
        </w:tc>
        <w:tc>
          <w:tcPr>
            <w:tcW w:w="0" w:type="auto"/>
            <w:tcBorders>
              <w:top w:val="single" w:sz="4" w:space="0" w:color="auto"/>
              <w:left w:val="nil"/>
              <w:bottom w:val="nil"/>
              <w:right w:val="nil"/>
            </w:tcBorders>
            <w:shd w:val="clear" w:color="auto" w:fill="auto"/>
            <w:noWrap/>
            <w:vAlign w:val="bottom"/>
            <w:hideMark/>
          </w:tcPr>
          <w:p w14:paraId="15BDDF58" w14:textId="77777777" w:rsidR="00ED02A4"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FED</w:t>
            </w:r>
          </w:p>
          <w:p w14:paraId="302DEFBD"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FUNDS</w:t>
            </w:r>
          </w:p>
        </w:tc>
        <w:tc>
          <w:tcPr>
            <w:tcW w:w="0" w:type="auto"/>
            <w:tcBorders>
              <w:top w:val="single" w:sz="4" w:space="0" w:color="auto"/>
              <w:left w:val="nil"/>
              <w:bottom w:val="nil"/>
              <w:right w:val="nil"/>
            </w:tcBorders>
            <w:shd w:val="clear" w:color="auto" w:fill="auto"/>
            <w:noWrap/>
            <w:vAlign w:val="bottom"/>
            <w:hideMark/>
          </w:tcPr>
          <w:p w14:paraId="6D52E50C"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INTERNET</w:t>
            </w:r>
          </w:p>
        </w:tc>
        <w:tc>
          <w:tcPr>
            <w:tcW w:w="0" w:type="auto"/>
            <w:tcBorders>
              <w:top w:val="single" w:sz="4" w:space="0" w:color="auto"/>
              <w:left w:val="nil"/>
              <w:bottom w:val="nil"/>
              <w:right w:val="nil"/>
            </w:tcBorders>
            <w:shd w:val="clear" w:color="auto" w:fill="auto"/>
            <w:noWrap/>
            <w:vAlign w:val="bottom"/>
            <w:hideMark/>
          </w:tcPr>
          <w:p w14:paraId="2029F0D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ERM</w:t>
            </w:r>
          </w:p>
        </w:tc>
        <w:tc>
          <w:tcPr>
            <w:tcW w:w="0" w:type="auto"/>
            <w:tcBorders>
              <w:top w:val="single" w:sz="4" w:space="0" w:color="auto"/>
              <w:left w:val="nil"/>
              <w:bottom w:val="nil"/>
              <w:right w:val="nil"/>
            </w:tcBorders>
            <w:shd w:val="clear" w:color="auto" w:fill="auto"/>
            <w:noWrap/>
            <w:vAlign w:val="bottom"/>
            <w:hideMark/>
          </w:tcPr>
          <w:p w14:paraId="0408A50C"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Euro</w:t>
            </w:r>
          </w:p>
        </w:tc>
        <w:tc>
          <w:tcPr>
            <w:tcW w:w="0" w:type="auto"/>
            <w:tcBorders>
              <w:top w:val="single" w:sz="4" w:space="0" w:color="auto"/>
              <w:left w:val="nil"/>
              <w:bottom w:val="nil"/>
              <w:right w:val="nil"/>
            </w:tcBorders>
            <w:shd w:val="clear" w:color="auto" w:fill="auto"/>
            <w:noWrap/>
            <w:vAlign w:val="bottom"/>
            <w:hideMark/>
          </w:tcPr>
          <w:p w14:paraId="5AB08165"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FINANCIAL</w:t>
            </w:r>
          </w:p>
        </w:tc>
        <w:tc>
          <w:tcPr>
            <w:tcW w:w="0" w:type="auto"/>
            <w:tcBorders>
              <w:top w:val="single" w:sz="4" w:space="0" w:color="auto"/>
              <w:left w:val="nil"/>
              <w:bottom w:val="nil"/>
              <w:right w:val="nil"/>
            </w:tcBorders>
            <w:shd w:val="clear" w:color="auto" w:fill="auto"/>
            <w:noWrap/>
            <w:vAlign w:val="bottom"/>
            <w:hideMark/>
          </w:tcPr>
          <w:p w14:paraId="4060D6D5"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ECONOMIC</w:t>
            </w:r>
          </w:p>
        </w:tc>
        <w:tc>
          <w:tcPr>
            <w:tcW w:w="0" w:type="auto"/>
            <w:tcBorders>
              <w:top w:val="single" w:sz="4" w:space="0" w:color="auto"/>
              <w:left w:val="nil"/>
              <w:bottom w:val="nil"/>
              <w:right w:val="nil"/>
            </w:tcBorders>
            <w:shd w:val="clear" w:color="auto" w:fill="auto"/>
            <w:noWrap/>
            <w:vAlign w:val="bottom"/>
            <w:hideMark/>
          </w:tcPr>
          <w:p w14:paraId="5E1E8CB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POLITICAL</w:t>
            </w:r>
          </w:p>
        </w:tc>
        <w:tc>
          <w:tcPr>
            <w:tcW w:w="0" w:type="auto"/>
            <w:tcBorders>
              <w:top w:val="single" w:sz="4" w:space="0" w:color="auto"/>
              <w:left w:val="nil"/>
              <w:bottom w:val="nil"/>
              <w:right w:val="single" w:sz="4" w:space="0" w:color="auto"/>
            </w:tcBorders>
            <w:shd w:val="clear" w:color="auto" w:fill="auto"/>
            <w:noWrap/>
            <w:vAlign w:val="bottom"/>
            <w:hideMark/>
          </w:tcPr>
          <w:p w14:paraId="5509DC97"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DEVPC1</w:t>
            </w:r>
          </w:p>
        </w:tc>
      </w:tr>
      <w:tr w:rsidR="00ED02A4" w:rsidRPr="00AC0EE7" w14:paraId="550BE24D" w14:textId="77777777" w:rsidTr="00367A87">
        <w:trPr>
          <w:trHeight w:val="288"/>
        </w:trPr>
        <w:tc>
          <w:tcPr>
            <w:tcW w:w="1139" w:type="dxa"/>
            <w:tcBorders>
              <w:top w:val="nil"/>
              <w:left w:val="single" w:sz="4" w:space="0" w:color="auto"/>
              <w:bottom w:val="nil"/>
              <w:right w:val="nil"/>
            </w:tcBorders>
            <w:shd w:val="clear" w:color="auto" w:fill="auto"/>
            <w:noWrap/>
            <w:vAlign w:val="bottom"/>
            <w:hideMark/>
          </w:tcPr>
          <w:p w14:paraId="6D4D5571"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TED</w:t>
            </w:r>
          </w:p>
        </w:tc>
        <w:tc>
          <w:tcPr>
            <w:tcW w:w="0" w:type="auto"/>
            <w:tcBorders>
              <w:top w:val="nil"/>
              <w:left w:val="nil"/>
              <w:bottom w:val="nil"/>
              <w:right w:val="nil"/>
            </w:tcBorders>
            <w:shd w:val="clear" w:color="auto" w:fill="auto"/>
            <w:noWrap/>
            <w:vAlign w:val="bottom"/>
            <w:hideMark/>
          </w:tcPr>
          <w:p w14:paraId="4AD3CF5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1.000</w:t>
            </w:r>
          </w:p>
        </w:tc>
        <w:tc>
          <w:tcPr>
            <w:tcW w:w="0" w:type="auto"/>
            <w:tcBorders>
              <w:top w:val="nil"/>
              <w:left w:val="nil"/>
              <w:bottom w:val="nil"/>
              <w:right w:val="nil"/>
            </w:tcBorders>
            <w:shd w:val="clear" w:color="auto" w:fill="auto"/>
            <w:noWrap/>
            <w:vAlign w:val="bottom"/>
            <w:hideMark/>
          </w:tcPr>
          <w:p w14:paraId="3AC6A0EA"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0.424</w:t>
            </w:r>
          </w:p>
        </w:tc>
        <w:tc>
          <w:tcPr>
            <w:tcW w:w="0" w:type="auto"/>
            <w:tcBorders>
              <w:top w:val="nil"/>
              <w:left w:val="nil"/>
              <w:bottom w:val="nil"/>
              <w:right w:val="nil"/>
            </w:tcBorders>
            <w:shd w:val="clear" w:color="auto" w:fill="auto"/>
            <w:noWrap/>
            <w:vAlign w:val="bottom"/>
            <w:hideMark/>
          </w:tcPr>
          <w:p w14:paraId="7117F617"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0.063</w:t>
            </w:r>
          </w:p>
        </w:tc>
        <w:tc>
          <w:tcPr>
            <w:tcW w:w="0" w:type="auto"/>
            <w:tcBorders>
              <w:top w:val="nil"/>
              <w:left w:val="nil"/>
              <w:bottom w:val="nil"/>
              <w:right w:val="nil"/>
            </w:tcBorders>
            <w:shd w:val="clear" w:color="auto" w:fill="auto"/>
            <w:noWrap/>
            <w:vAlign w:val="bottom"/>
            <w:hideMark/>
          </w:tcPr>
          <w:p w14:paraId="3F48BC54"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0.308</w:t>
            </w:r>
          </w:p>
        </w:tc>
        <w:tc>
          <w:tcPr>
            <w:tcW w:w="0" w:type="auto"/>
            <w:tcBorders>
              <w:top w:val="nil"/>
              <w:left w:val="nil"/>
              <w:bottom w:val="nil"/>
              <w:right w:val="nil"/>
            </w:tcBorders>
            <w:shd w:val="clear" w:color="auto" w:fill="auto"/>
            <w:noWrap/>
            <w:vAlign w:val="bottom"/>
            <w:hideMark/>
          </w:tcPr>
          <w:p w14:paraId="646DB29D"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0.118</w:t>
            </w:r>
          </w:p>
        </w:tc>
        <w:tc>
          <w:tcPr>
            <w:tcW w:w="0" w:type="auto"/>
            <w:tcBorders>
              <w:top w:val="nil"/>
              <w:left w:val="nil"/>
              <w:bottom w:val="nil"/>
              <w:right w:val="nil"/>
            </w:tcBorders>
            <w:shd w:val="clear" w:color="auto" w:fill="auto"/>
            <w:noWrap/>
            <w:vAlign w:val="bottom"/>
            <w:hideMark/>
          </w:tcPr>
          <w:p w14:paraId="5F6A118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-0.109</w:t>
            </w:r>
          </w:p>
        </w:tc>
        <w:tc>
          <w:tcPr>
            <w:tcW w:w="0" w:type="auto"/>
            <w:tcBorders>
              <w:top w:val="nil"/>
              <w:left w:val="nil"/>
              <w:bottom w:val="nil"/>
              <w:right w:val="nil"/>
            </w:tcBorders>
            <w:shd w:val="clear" w:color="auto" w:fill="auto"/>
            <w:noWrap/>
            <w:vAlign w:val="bottom"/>
            <w:hideMark/>
          </w:tcPr>
          <w:p w14:paraId="032FD98A"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-0.198</w:t>
            </w:r>
          </w:p>
        </w:tc>
        <w:tc>
          <w:tcPr>
            <w:tcW w:w="0" w:type="auto"/>
            <w:tcBorders>
              <w:top w:val="nil"/>
              <w:left w:val="nil"/>
              <w:bottom w:val="nil"/>
              <w:right w:val="nil"/>
            </w:tcBorders>
            <w:shd w:val="clear" w:color="auto" w:fill="auto"/>
            <w:noWrap/>
            <w:vAlign w:val="bottom"/>
            <w:hideMark/>
          </w:tcPr>
          <w:p w14:paraId="5DB94704"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-0.036</w:t>
            </w:r>
          </w:p>
        </w:tc>
        <w:tc>
          <w:tcPr>
            <w:tcW w:w="0" w:type="auto"/>
            <w:tcBorders>
              <w:top w:val="nil"/>
              <w:left w:val="nil"/>
              <w:bottom w:val="nil"/>
              <w:right w:val="nil"/>
            </w:tcBorders>
            <w:shd w:val="clear" w:color="auto" w:fill="auto"/>
            <w:noWrap/>
            <w:vAlign w:val="bottom"/>
            <w:hideMark/>
          </w:tcPr>
          <w:p w14:paraId="27E65407"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0.123</w:t>
            </w:r>
          </w:p>
        </w:tc>
        <w:tc>
          <w:tcPr>
            <w:tcW w:w="0" w:type="auto"/>
            <w:tcBorders>
              <w:top w:val="nil"/>
              <w:left w:val="nil"/>
              <w:bottom w:val="nil"/>
              <w:right w:val="nil"/>
            </w:tcBorders>
            <w:shd w:val="clear" w:color="auto" w:fill="auto"/>
            <w:noWrap/>
            <w:vAlign w:val="bottom"/>
            <w:hideMark/>
          </w:tcPr>
          <w:p w14:paraId="4A32466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-0.065</w:t>
            </w:r>
          </w:p>
        </w:tc>
        <w:tc>
          <w:tcPr>
            <w:tcW w:w="0" w:type="auto"/>
            <w:tcBorders>
              <w:top w:val="nil"/>
              <w:left w:val="nil"/>
              <w:bottom w:val="nil"/>
              <w:right w:val="single" w:sz="4" w:space="0" w:color="auto"/>
            </w:tcBorders>
            <w:shd w:val="clear" w:color="auto" w:fill="auto"/>
            <w:noWrap/>
            <w:vAlign w:val="bottom"/>
            <w:hideMark/>
          </w:tcPr>
          <w:p w14:paraId="05C4415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0.067</w:t>
            </w:r>
          </w:p>
        </w:tc>
      </w:tr>
      <w:tr w:rsidR="00ED02A4" w:rsidRPr="00AC0EE7" w14:paraId="44F45A1E" w14:textId="77777777" w:rsidTr="00367A87">
        <w:trPr>
          <w:trHeight w:val="288"/>
        </w:trPr>
        <w:tc>
          <w:tcPr>
            <w:tcW w:w="1139" w:type="dxa"/>
            <w:tcBorders>
              <w:top w:val="nil"/>
              <w:left w:val="single" w:sz="4" w:space="0" w:color="auto"/>
              <w:bottom w:val="nil"/>
              <w:right w:val="nil"/>
            </w:tcBorders>
            <w:shd w:val="clear" w:color="auto" w:fill="auto"/>
            <w:noWrap/>
            <w:vAlign w:val="bottom"/>
            <w:hideMark/>
          </w:tcPr>
          <w:p w14:paraId="43F57E30"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VIX</w:t>
            </w:r>
          </w:p>
        </w:tc>
        <w:tc>
          <w:tcPr>
            <w:tcW w:w="0" w:type="auto"/>
            <w:tcBorders>
              <w:top w:val="nil"/>
              <w:left w:val="nil"/>
              <w:bottom w:val="nil"/>
              <w:right w:val="nil"/>
            </w:tcBorders>
            <w:shd w:val="clear" w:color="auto" w:fill="auto"/>
            <w:noWrap/>
            <w:vAlign w:val="bottom"/>
            <w:hideMark/>
          </w:tcPr>
          <w:p w14:paraId="3BF6C597"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0.424</w:t>
            </w:r>
          </w:p>
        </w:tc>
        <w:tc>
          <w:tcPr>
            <w:tcW w:w="0" w:type="auto"/>
            <w:tcBorders>
              <w:top w:val="nil"/>
              <w:left w:val="nil"/>
              <w:bottom w:val="nil"/>
              <w:right w:val="nil"/>
            </w:tcBorders>
            <w:shd w:val="clear" w:color="auto" w:fill="auto"/>
            <w:noWrap/>
            <w:vAlign w:val="bottom"/>
            <w:hideMark/>
          </w:tcPr>
          <w:p w14:paraId="0506F6A5"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1.000</w:t>
            </w:r>
          </w:p>
        </w:tc>
        <w:tc>
          <w:tcPr>
            <w:tcW w:w="0" w:type="auto"/>
            <w:tcBorders>
              <w:top w:val="nil"/>
              <w:left w:val="nil"/>
              <w:bottom w:val="nil"/>
              <w:right w:val="nil"/>
            </w:tcBorders>
            <w:shd w:val="clear" w:color="auto" w:fill="auto"/>
            <w:noWrap/>
            <w:vAlign w:val="bottom"/>
            <w:hideMark/>
          </w:tcPr>
          <w:p w14:paraId="7730C1AC"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-0.007</w:t>
            </w:r>
          </w:p>
        </w:tc>
        <w:tc>
          <w:tcPr>
            <w:tcW w:w="0" w:type="auto"/>
            <w:tcBorders>
              <w:top w:val="nil"/>
              <w:left w:val="nil"/>
              <w:bottom w:val="nil"/>
              <w:right w:val="nil"/>
            </w:tcBorders>
            <w:shd w:val="clear" w:color="auto" w:fill="auto"/>
            <w:noWrap/>
            <w:vAlign w:val="bottom"/>
            <w:hideMark/>
          </w:tcPr>
          <w:p w14:paraId="2482EA5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-0.308</w:t>
            </w:r>
          </w:p>
        </w:tc>
        <w:tc>
          <w:tcPr>
            <w:tcW w:w="0" w:type="auto"/>
            <w:tcBorders>
              <w:top w:val="nil"/>
              <w:left w:val="nil"/>
              <w:bottom w:val="nil"/>
              <w:right w:val="nil"/>
            </w:tcBorders>
            <w:shd w:val="clear" w:color="auto" w:fill="auto"/>
            <w:noWrap/>
            <w:vAlign w:val="bottom"/>
            <w:hideMark/>
          </w:tcPr>
          <w:p w14:paraId="4D657D19"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0.382</w:t>
            </w:r>
          </w:p>
        </w:tc>
        <w:tc>
          <w:tcPr>
            <w:tcW w:w="0" w:type="auto"/>
            <w:tcBorders>
              <w:top w:val="nil"/>
              <w:left w:val="nil"/>
              <w:bottom w:val="nil"/>
              <w:right w:val="nil"/>
            </w:tcBorders>
            <w:shd w:val="clear" w:color="auto" w:fill="auto"/>
            <w:noWrap/>
            <w:vAlign w:val="bottom"/>
            <w:hideMark/>
          </w:tcPr>
          <w:p w14:paraId="497D1255"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-0.169</w:t>
            </w:r>
          </w:p>
        </w:tc>
        <w:tc>
          <w:tcPr>
            <w:tcW w:w="0" w:type="auto"/>
            <w:tcBorders>
              <w:top w:val="nil"/>
              <w:left w:val="nil"/>
              <w:bottom w:val="nil"/>
              <w:right w:val="nil"/>
            </w:tcBorders>
            <w:shd w:val="clear" w:color="auto" w:fill="auto"/>
            <w:noWrap/>
            <w:vAlign w:val="bottom"/>
            <w:hideMark/>
          </w:tcPr>
          <w:p w14:paraId="5E351015"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0.358</w:t>
            </w:r>
          </w:p>
        </w:tc>
        <w:tc>
          <w:tcPr>
            <w:tcW w:w="0" w:type="auto"/>
            <w:tcBorders>
              <w:top w:val="nil"/>
              <w:left w:val="nil"/>
              <w:bottom w:val="nil"/>
              <w:right w:val="nil"/>
            </w:tcBorders>
            <w:shd w:val="clear" w:color="auto" w:fill="auto"/>
            <w:noWrap/>
            <w:vAlign w:val="bottom"/>
            <w:hideMark/>
          </w:tcPr>
          <w:p w14:paraId="34B6E13A"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0.049</w:t>
            </w:r>
          </w:p>
        </w:tc>
        <w:tc>
          <w:tcPr>
            <w:tcW w:w="0" w:type="auto"/>
            <w:tcBorders>
              <w:top w:val="nil"/>
              <w:left w:val="nil"/>
              <w:bottom w:val="nil"/>
              <w:right w:val="nil"/>
            </w:tcBorders>
            <w:shd w:val="clear" w:color="auto" w:fill="auto"/>
            <w:noWrap/>
            <w:vAlign w:val="bottom"/>
            <w:hideMark/>
          </w:tcPr>
          <w:p w14:paraId="66EB419D"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0.328</w:t>
            </w:r>
          </w:p>
        </w:tc>
        <w:tc>
          <w:tcPr>
            <w:tcW w:w="0" w:type="auto"/>
            <w:tcBorders>
              <w:top w:val="nil"/>
              <w:left w:val="nil"/>
              <w:bottom w:val="nil"/>
              <w:right w:val="nil"/>
            </w:tcBorders>
            <w:shd w:val="clear" w:color="auto" w:fill="auto"/>
            <w:noWrap/>
            <w:vAlign w:val="bottom"/>
            <w:hideMark/>
          </w:tcPr>
          <w:p w14:paraId="6A41122D"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0.045</w:t>
            </w:r>
          </w:p>
        </w:tc>
        <w:tc>
          <w:tcPr>
            <w:tcW w:w="0" w:type="auto"/>
            <w:tcBorders>
              <w:top w:val="nil"/>
              <w:left w:val="nil"/>
              <w:bottom w:val="nil"/>
              <w:right w:val="single" w:sz="4" w:space="0" w:color="auto"/>
            </w:tcBorders>
            <w:shd w:val="clear" w:color="auto" w:fill="auto"/>
            <w:noWrap/>
            <w:vAlign w:val="bottom"/>
            <w:hideMark/>
          </w:tcPr>
          <w:p w14:paraId="5D634900"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0.347</w:t>
            </w:r>
          </w:p>
        </w:tc>
      </w:tr>
      <w:tr w:rsidR="00ED02A4" w:rsidRPr="00AC0EE7" w14:paraId="0E38B996" w14:textId="77777777" w:rsidTr="00367A87">
        <w:trPr>
          <w:trHeight w:val="288"/>
        </w:trPr>
        <w:tc>
          <w:tcPr>
            <w:tcW w:w="1139" w:type="dxa"/>
            <w:tcBorders>
              <w:top w:val="nil"/>
              <w:left w:val="single" w:sz="4" w:space="0" w:color="auto"/>
              <w:bottom w:val="nil"/>
              <w:right w:val="nil"/>
            </w:tcBorders>
            <w:shd w:val="clear" w:color="auto" w:fill="auto"/>
            <w:noWrap/>
            <w:vAlign w:val="bottom"/>
            <w:hideMark/>
          </w:tcPr>
          <w:p w14:paraId="6D3217EC"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SENT</w:t>
            </w:r>
          </w:p>
        </w:tc>
        <w:tc>
          <w:tcPr>
            <w:tcW w:w="0" w:type="auto"/>
            <w:tcBorders>
              <w:top w:val="nil"/>
              <w:left w:val="nil"/>
              <w:bottom w:val="nil"/>
              <w:right w:val="nil"/>
            </w:tcBorders>
            <w:shd w:val="clear" w:color="auto" w:fill="auto"/>
            <w:noWrap/>
            <w:vAlign w:val="bottom"/>
            <w:hideMark/>
          </w:tcPr>
          <w:p w14:paraId="35CCAF92"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0.063</w:t>
            </w:r>
          </w:p>
        </w:tc>
        <w:tc>
          <w:tcPr>
            <w:tcW w:w="0" w:type="auto"/>
            <w:tcBorders>
              <w:top w:val="nil"/>
              <w:left w:val="nil"/>
              <w:bottom w:val="nil"/>
              <w:right w:val="nil"/>
            </w:tcBorders>
            <w:shd w:val="clear" w:color="auto" w:fill="auto"/>
            <w:noWrap/>
            <w:vAlign w:val="bottom"/>
            <w:hideMark/>
          </w:tcPr>
          <w:p w14:paraId="08785107"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-0.007</w:t>
            </w:r>
          </w:p>
        </w:tc>
        <w:tc>
          <w:tcPr>
            <w:tcW w:w="0" w:type="auto"/>
            <w:tcBorders>
              <w:top w:val="nil"/>
              <w:left w:val="nil"/>
              <w:bottom w:val="nil"/>
              <w:right w:val="nil"/>
            </w:tcBorders>
            <w:shd w:val="clear" w:color="auto" w:fill="auto"/>
            <w:noWrap/>
            <w:vAlign w:val="bottom"/>
            <w:hideMark/>
          </w:tcPr>
          <w:p w14:paraId="0AC93CF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1.000</w:t>
            </w:r>
          </w:p>
        </w:tc>
        <w:tc>
          <w:tcPr>
            <w:tcW w:w="0" w:type="auto"/>
            <w:tcBorders>
              <w:top w:val="nil"/>
              <w:left w:val="nil"/>
              <w:bottom w:val="nil"/>
              <w:right w:val="nil"/>
            </w:tcBorders>
            <w:shd w:val="clear" w:color="auto" w:fill="auto"/>
            <w:noWrap/>
            <w:vAlign w:val="bottom"/>
            <w:hideMark/>
          </w:tcPr>
          <w:p w14:paraId="65352EF1"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0.293</w:t>
            </w:r>
          </w:p>
        </w:tc>
        <w:tc>
          <w:tcPr>
            <w:tcW w:w="0" w:type="auto"/>
            <w:tcBorders>
              <w:top w:val="nil"/>
              <w:left w:val="nil"/>
              <w:bottom w:val="nil"/>
              <w:right w:val="nil"/>
            </w:tcBorders>
            <w:shd w:val="clear" w:color="auto" w:fill="auto"/>
            <w:noWrap/>
            <w:vAlign w:val="bottom"/>
            <w:hideMark/>
          </w:tcPr>
          <w:p w14:paraId="4456B18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-0.113</w:t>
            </w:r>
          </w:p>
        </w:tc>
        <w:tc>
          <w:tcPr>
            <w:tcW w:w="0" w:type="auto"/>
            <w:tcBorders>
              <w:top w:val="nil"/>
              <w:left w:val="nil"/>
              <w:bottom w:val="nil"/>
              <w:right w:val="nil"/>
            </w:tcBorders>
            <w:shd w:val="clear" w:color="auto" w:fill="auto"/>
            <w:noWrap/>
            <w:vAlign w:val="bottom"/>
            <w:hideMark/>
          </w:tcPr>
          <w:p w14:paraId="4CE4BFE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-0.016</w:t>
            </w:r>
          </w:p>
        </w:tc>
        <w:tc>
          <w:tcPr>
            <w:tcW w:w="0" w:type="auto"/>
            <w:tcBorders>
              <w:top w:val="nil"/>
              <w:left w:val="nil"/>
              <w:bottom w:val="nil"/>
              <w:right w:val="nil"/>
            </w:tcBorders>
            <w:shd w:val="clear" w:color="auto" w:fill="auto"/>
            <w:noWrap/>
            <w:vAlign w:val="bottom"/>
            <w:hideMark/>
          </w:tcPr>
          <w:p w14:paraId="7EA2445F"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-0.083</w:t>
            </w:r>
          </w:p>
        </w:tc>
        <w:tc>
          <w:tcPr>
            <w:tcW w:w="0" w:type="auto"/>
            <w:tcBorders>
              <w:top w:val="nil"/>
              <w:left w:val="nil"/>
              <w:bottom w:val="nil"/>
              <w:right w:val="nil"/>
            </w:tcBorders>
            <w:shd w:val="clear" w:color="auto" w:fill="auto"/>
            <w:noWrap/>
            <w:vAlign w:val="bottom"/>
            <w:hideMark/>
          </w:tcPr>
          <w:p w14:paraId="3225F9B5"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-0.016</w:t>
            </w:r>
          </w:p>
        </w:tc>
        <w:tc>
          <w:tcPr>
            <w:tcW w:w="0" w:type="auto"/>
            <w:tcBorders>
              <w:top w:val="nil"/>
              <w:left w:val="nil"/>
              <w:bottom w:val="nil"/>
              <w:right w:val="nil"/>
            </w:tcBorders>
            <w:shd w:val="clear" w:color="auto" w:fill="auto"/>
            <w:noWrap/>
            <w:vAlign w:val="bottom"/>
            <w:hideMark/>
          </w:tcPr>
          <w:p w14:paraId="75E95EB5"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0.135</w:t>
            </w:r>
          </w:p>
        </w:tc>
        <w:tc>
          <w:tcPr>
            <w:tcW w:w="0" w:type="auto"/>
            <w:tcBorders>
              <w:top w:val="nil"/>
              <w:left w:val="nil"/>
              <w:bottom w:val="nil"/>
              <w:right w:val="nil"/>
            </w:tcBorders>
            <w:shd w:val="clear" w:color="auto" w:fill="auto"/>
            <w:noWrap/>
            <w:vAlign w:val="bottom"/>
            <w:hideMark/>
          </w:tcPr>
          <w:p w14:paraId="14E32A50"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0.003</w:t>
            </w:r>
          </w:p>
        </w:tc>
        <w:tc>
          <w:tcPr>
            <w:tcW w:w="0" w:type="auto"/>
            <w:tcBorders>
              <w:top w:val="nil"/>
              <w:left w:val="nil"/>
              <w:bottom w:val="nil"/>
              <w:right w:val="single" w:sz="4" w:space="0" w:color="auto"/>
            </w:tcBorders>
            <w:shd w:val="clear" w:color="auto" w:fill="auto"/>
            <w:noWrap/>
            <w:vAlign w:val="bottom"/>
            <w:hideMark/>
          </w:tcPr>
          <w:p w14:paraId="69DAE965"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-0.055</w:t>
            </w:r>
          </w:p>
        </w:tc>
      </w:tr>
      <w:tr w:rsidR="00ED02A4" w:rsidRPr="00AC0EE7" w14:paraId="57711F23" w14:textId="77777777" w:rsidTr="00367A87">
        <w:trPr>
          <w:trHeight w:val="288"/>
        </w:trPr>
        <w:tc>
          <w:tcPr>
            <w:tcW w:w="1139" w:type="dxa"/>
            <w:tcBorders>
              <w:top w:val="nil"/>
              <w:left w:val="single" w:sz="4" w:space="0" w:color="auto"/>
              <w:bottom w:val="nil"/>
              <w:right w:val="nil"/>
            </w:tcBorders>
            <w:shd w:val="clear" w:color="auto" w:fill="auto"/>
            <w:noWrap/>
            <w:vAlign w:val="bottom"/>
            <w:hideMark/>
          </w:tcPr>
          <w:p w14:paraId="31346691"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FEDFUNDS</w:t>
            </w:r>
          </w:p>
        </w:tc>
        <w:tc>
          <w:tcPr>
            <w:tcW w:w="0" w:type="auto"/>
            <w:tcBorders>
              <w:top w:val="nil"/>
              <w:left w:val="nil"/>
              <w:bottom w:val="nil"/>
              <w:right w:val="nil"/>
            </w:tcBorders>
            <w:shd w:val="clear" w:color="auto" w:fill="auto"/>
            <w:noWrap/>
            <w:vAlign w:val="bottom"/>
            <w:hideMark/>
          </w:tcPr>
          <w:p w14:paraId="424F8F8F"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0.308</w:t>
            </w:r>
          </w:p>
        </w:tc>
        <w:tc>
          <w:tcPr>
            <w:tcW w:w="0" w:type="auto"/>
            <w:tcBorders>
              <w:top w:val="nil"/>
              <w:left w:val="nil"/>
              <w:bottom w:val="nil"/>
              <w:right w:val="nil"/>
            </w:tcBorders>
            <w:shd w:val="clear" w:color="auto" w:fill="auto"/>
            <w:noWrap/>
            <w:vAlign w:val="bottom"/>
            <w:hideMark/>
          </w:tcPr>
          <w:p w14:paraId="01433459"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-0.308</w:t>
            </w:r>
          </w:p>
        </w:tc>
        <w:tc>
          <w:tcPr>
            <w:tcW w:w="0" w:type="auto"/>
            <w:tcBorders>
              <w:top w:val="nil"/>
              <w:left w:val="nil"/>
              <w:bottom w:val="nil"/>
              <w:right w:val="nil"/>
            </w:tcBorders>
            <w:shd w:val="clear" w:color="auto" w:fill="auto"/>
            <w:noWrap/>
            <w:vAlign w:val="bottom"/>
            <w:hideMark/>
          </w:tcPr>
          <w:p w14:paraId="0A3BF42E"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0.293</w:t>
            </w:r>
          </w:p>
        </w:tc>
        <w:tc>
          <w:tcPr>
            <w:tcW w:w="0" w:type="auto"/>
            <w:tcBorders>
              <w:top w:val="nil"/>
              <w:left w:val="nil"/>
              <w:bottom w:val="nil"/>
              <w:right w:val="nil"/>
            </w:tcBorders>
            <w:shd w:val="clear" w:color="auto" w:fill="auto"/>
            <w:noWrap/>
            <w:vAlign w:val="bottom"/>
            <w:hideMark/>
          </w:tcPr>
          <w:p w14:paraId="391344E1"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1.000</w:t>
            </w:r>
          </w:p>
        </w:tc>
        <w:tc>
          <w:tcPr>
            <w:tcW w:w="0" w:type="auto"/>
            <w:tcBorders>
              <w:top w:val="nil"/>
              <w:left w:val="nil"/>
              <w:bottom w:val="nil"/>
              <w:right w:val="nil"/>
            </w:tcBorders>
            <w:shd w:val="clear" w:color="auto" w:fill="auto"/>
            <w:noWrap/>
            <w:vAlign w:val="bottom"/>
            <w:hideMark/>
          </w:tcPr>
          <w:p w14:paraId="33464B9C"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-0.676</w:t>
            </w:r>
          </w:p>
        </w:tc>
        <w:tc>
          <w:tcPr>
            <w:tcW w:w="0" w:type="auto"/>
            <w:tcBorders>
              <w:top w:val="nil"/>
              <w:left w:val="nil"/>
              <w:bottom w:val="nil"/>
              <w:right w:val="nil"/>
            </w:tcBorders>
            <w:shd w:val="clear" w:color="auto" w:fill="auto"/>
            <w:noWrap/>
            <w:vAlign w:val="bottom"/>
            <w:hideMark/>
          </w:tcPr>
          <w:p w14:paraId="2ACF7611"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-0.024</w:t>
            </w:r>
          </w:p>
        </w:tc>
        <w:tc>
          <w:tcPr>
            <w:tcW w:w="0" w:type="auto"/>
            <w:tcBorders>
              <w:top w:val="nil"/>
              <w:left w:val="nil"/>
              <w:bottom w:val="nil"/>
              <w:right w:val="nil"/>
            </w:tcBorders>
            <w:shd w:val="clear" w:color="auto" w:fill="auto"/>
            <w:noWrap/>
            <w:vAlign w:val="bottom"/>
            <w:hideMark/>
          </w:tcPr>
          <w:p w14:paraId="73F12E35"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-0.582</w:t>
            </w:r>
          </w:p>
        </w:tc>
        <w:tc>
          <w:tcPr>
            <w:tcW w:w="0" w:type="auto"/>
            <w:tcBorders>
              <w:top w:val="nil"/>
              <w:left w:val="nil"/>
              <w:bottom w:val="nil"/>
              <w:right w:val="nil"/>
            </w:tcBorders>
            <w:shd w:val="clear" w:color="auto" w:fill="auto"/>
            <w:noWrap/>
            <w:vAlign w:val="bottom"/>
            <w:hideMark/>
          </w:tcPr>
          <w:p w14:paraId="0686A4C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-0.167</w:t>
            </w:r>
          </w:p>
        </w:tc>
        <w:tc>
          <w:tcPr>
            <w:tcW w:w="0" w:type="auto"/>
            <w:tcBorders>
              <w:top w:val="nil"/>
              <w:left w:val="nil"/>
              <w:bottom w:val="nil"/>
              <w:right w:val="nil"/>
            </w:tcBorders>
            <w:shd w:val="clear" w:color="auto" w:fill="auto"/>
            <w:noWrap/>
            <w:vAlign w:val="bottom"/>
            <w:hideMark/>
          </w:tcPr>
          <w:p w14:paraId="766B89E7"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-0.198</w:t>
            </w:r>
          </w:p>
        </w:tc>
        <w:tc>
          <w:tcPr>
            <w:tcW w:w="0" w:type="auto"/>
            <w:tcBorders>
              <w:top w:val="nil"/>
              <w:left w:val="nil"/>
              <w:bottom w:val="nil"/>
              <w:right w:val="nil"/>
            </w:tcBorders>
            <w:shd w:val="clear" w:color="auto" w:fill="auto"/>
            <w:noWrap/>
            <w:vAlign w:val="bottom"/>
            <w:hideMark/>
          </w:tcPr>
          <w:p w14:paraId="1696648C"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0.035</w:t>
            </w:r>
          </w:p>
        </w:tc>
        <w:tc>
          <w:tcPr>
            <w:tcW w:w="0" w:type="auto"/>
            <w:tcBorders>
              <w:top w:val="nil"/>
              <w:left w:val="nil"/>
              <w:bottom w:val="nil"/>
              <w:right w:val="single" w:sz="4" w:space="0" w:color="auto"/>
            </w:tcBorders>
            <w:shd w:val="clear" w:color="auto" w:fill="auto"/>
            <w:noWrap/>
            <w:vAlign w:val="bottom"/>
            <w:hideMark/>
          </w:tcPr>
          <w:p w14:paraId="229C0B7A"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-0.634</w:t>
            </w:r>
          </w:p>
        </w:tc>
      </w:tr>
      <w:tr w:rsidR="00ED02A4" w:rsidRPr="00AC0EE7" w14:paraId="48F17B33" w14:textId="77777777" w:rsidTr="00367A87">
        <w:trPr>
          <w:trHeight w:val="288"/>
        </w:trPr>
        <w:tc>
          <w:tcPr>
            <w:tcW w:w="1139" w:type="dxa"/>
            <w:tcBorders>
              <w:top w:val="nil"/>
              <w:left w:val="single" w:sz="4" w:space="0" w:color="auto"/>
              <w:bottom w:val="nil"/>
              <w:right w:val="nil"/>
            </w:tcBorders>
            <w:shd w:val="clear" w:color="auto" w:fill="auto"/>
            <w:noWrap/>
            <w:vAlign w:val="bottom"/>
            <w:hideMark/>
          </w:tcPr>
          <w:p w14:paraId="29C4570F"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INTERNET</w:t>
            </w:r>
          </w:p>
        </w:tc>
        <w:tc>
          <w:tcPr>
            <w:tcW w:w="0" w:type="auto"/>
            <w:tcBorders>
              <w:top w:val="nil"/>
              <w:left w:val="nil"/>
              <w:bottom w:val="nil"/>
              <w:right w:val="nil"/>
            </w:tcBorders>
            <w:shd w:val="clear" w:color="auto" w:fill="auto"/>
            <w:noWrap/>
            <w:vAlign w:val="bottom"/>
            <w:hideMark/>
          </w:tcPr>
          <w:p w14:paraId="6C4CB004"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0.118</w:t>
            </w:r>
          </w:p>
        </w:tc>
        <w:tc>
          <w:tcPr>
            <w:tcW w:w="0" w:type="auto"/>
            <w:tcBorders>
              <w:top w:val="nil"/>
              <w:left w:val="nil"/>
              <w:bottom w:val="nil"/>
              <w:right w:val="nil"/>
            </w:tcBorders>
            <w:shd w:val="clear" w:color="auto" w:fill="auto"/>
            <w:noWrap/>
            <w:vAlign w:val="bottom"/>
            <w:hideMark/>
          </w:tcPr>
          <w:p w14:paraId="550973ED"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0.382</w:t>
            </w:r>
          </w:p>
        </w:tc>
        <w:tc>
          <w:tcPr>
            <w:tcW w:w="0" w:type="auto"/>
            <w:tcBorders>
              <w:top w:val="nil"/>
              <w:left w:val="nil"/>
              <w:bottom w:val="nil"/>
              <w:right w:val="nil"/>
            </w:tcBorders>
            <w:shd w:val="clear" w:color="auto" w:fill="auto"/>
            <w:noWrap/>
            <w:vAlign w:val="bottom"/>
            <w:hideMark/>
          </w:tcPr>
          <w:p w14:paraId="66B12948"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-0.113</w:t>
            </w:r>
          </w:p>
        </w:tc>
        <w:tc>
          <w:tcPr>
            <w:tcW w:w="0" w:type="auto"/>
            <w:tcBorders>
              <w:top w:val="nil"/>
              <w:left w:val="nil"/>
              <w:bottom w:val="nil"/>
              <w:right w:val="nil"/>
            </w:tcBorders>
            <w:shd w:val="clear" w:color="auto" w:fill="auto"/>
            <w:noWrap/>
            <w:vAlign w:val="bottom"/>
            <w:hideMark/>
          </w:tcPr>
          <w:p w14:paraId="3589955C"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-0.676</w:t>
            </w:r>
          </w:p>
        </w:tc>
        <w:tc>
          <w:tcPr>
            <w:tcW w:w="0" w:type="auto"/>
            <w:tcBorders>
              <w:top w:val="nil"/>
              <w:left w:val="nil"/>
              <w:bottom w:val="nil"/>
              <w:right w:val="nil"/>
            </w:tcBorders>
            <w:shd w:val="clear" w:color="auto" w:fill="auto"/>
            <w:noWrap/>
            <w:vAlign w:val="bottom"/>
            <w:hideMark/>
          </w:tcPr>
          <w:p w14:paraId="7A33BAF7"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1.000</w:t>
            </w:r>
          </w:p>
        </w:tc>
        <w:tc>
          <w:tcPr>
            <w:tcW w:w="0" w:type="auto"/>
            <w:tcBorders>
              <w:top w:val="nil"/>
              <w:left w:val="nil"/>
              <w:bottom w:val="nil"/>
              <w:right w:val="nil"/>
            </w:tcBorders>
            <w:shd w:val="clear" w:color="auto" w:fill="auto"/>
            <w:noWrap/>
            <w:vAlign w:val="bottom"/>
            <w:hideMark/>
          </w:tcPr>
          <w:p w14:paraId="2D98A00D"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-0.219</w:t>
            </w:r>
          </w:p>
        </w:tc>
        <w:tc>
          <w:tcPr>
            <w:tcW w:w="0" w:type="auto"/>
            <w:tcBorders>
              <w:top w:val="nil"/>
              <w:left w:val="nil"/>
              <w:bottom w:val="nil"/>
              <w:right w:val="nil"/>
            </w:tcBorders>
            <w:shd w:val="clear" w:color="auto" w:fill="auto"/>
            <w:noWrap/>
            <w:vAlign w:val="bottom"/>
            <w:hideMark/>
          </w:tcPr>
          <w:p w14:paraId="5340D209"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0.632</w:t>
            </w:r>
          </w:p>
        </w:tc>
        <w:tc>
          <w:tcPr>
            <w:tcW w:w="0" w:type="auto"/>
            <w:tcBorders>
              <w:top w:val="nil"/>
              <w:left w:val="nil"/>
              <w:bottom w:val="nil"/>
              <w:right w:val="nil"/>
            </w:tcBorders>
            <w:shd w:val="clear" w:color="auto" w:fill="auto"/>
            <w:noWrap/>
            <w:vAlign w:val="bottom"/>
            <w:hideMark/>
          </w:tcPr>
          <w:p w14:paraId="78C68FC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0.233</w:t>
            </w:r>
          </w:p>
        </w:tc>
        <w:tc>
          <w:tcPr>
            <w:tcW w:w="0" w:type="auto"/>
            <w:tcBorders>
              <w:top w:val="nil"/>
              <w:left w:val="nil"/>
              <w:bottom w:val="nil"/>
              <w:right w:val="nil"/>
            </w:tcBorders>
            <w:shd w:val="clear" w:color="auto" w:fill="auto"/>
            <w:noWrap/>
            <w:vAlign w:val="bottom"/>
            <w:hideMark/>
          </w:tcPr>
          <w:p w14:paraId="74862CA4"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0.463</w:t>
            </w:r>
          </w:p>
        </w:tc>
        <w:tc>
          <w:tcPr>
            <w:tcW w:w="0" w:type="auto"/>
            <w:tcBorders>
              <w:top w:val="nil"/>
              <w:left w:val="nil"/>
              <w:bottom w:val="nil"/>
              <w:right w:val="nil"/>
            </w:tcBorders>
            <w:shd w:val="clear" w:color="auto" w:fill="auto"/>
            <w:noWrap/>
            <w:vAlign w:val="bottom"/>
            <w:hideMark/>
          </w:tcPr>
          <w:p w14:paraId="5A6B72B5"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-0.105</w:t>
            </w:r>
          </w:p>
        </w:tc>
        <w:tc>
          <w:tcPr>
            <w:tcW w:w="0" w:type="auto"/>
            <w:tcBorders>
              <w:top w:val="nil"/>
              <w:left w:val="nil"/>
              <w:bottom w:val="nil"/>
              <w:right w:val="single" w:sz="4" w:space="0" w:color="auto"/>
            </w:tcBorders>
            <w:shd w:val="clear" w:color="auto" w:fill="auto"/>
            <w:noWrap/>
            <w:vAlign w:val="bottom"/>
            <w:hideMark/>
          </w:tcPr>
          <w:p w14:paraId="671C6F94"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0.916</w:t>
            </w:r>
          </w:p>
        </w:tc>
      </w:tr>
      <w:tr w:rsidR="00ED02A4" w:rsidRPr="00AC0EE7" w14:paraId="17100C49" w14:textId="77777777" w:rsidTr="00367A87">
        <w:trPr>
          <w:trHeight w:val="288"/>
        </w:trPr>
        <w:tc>
          <w:tcPr>
            <w:tcW w:w="1139" w:type="dxa"/>
            <w:tcBorders>
              <w:top w:val="nil"/>
              <w:left w:val="single" w:sz="4" w:space="0" w:color="auto"/>
              <w:bottom w:val="nil"/>
              <w:right w:val="nil"/>
            </w:tcBorders>
            <w:shd w:val="clear" w:color="auto" w:fill="auto"/>
            <w:noWrap/>
            <w:vAlign w:val="bottom"/>
            <w:hideMark/>
          </w:tcPr>
          <w:p w14:paraId="731025B9"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ERM</w:t>
            </w:r>
          </w:p>
        </w:tc>
        <w:tc>
          <w:tcPr>
            <w:tcW w:w="0" w:type="auto"/>
            <w:tcBorders>
              <w:top w:val="nil"/>
              <w:left w:val="nil"/>
              <w:bottom w:val="nil"/>
              <w:right w:val="nil"/>
            </w:tcBorders>
            <w:shd w:val="clear" w:color="auto" w:fill="auto"/>
            <w:noWrap/>
            <w:vAlign w:val="bottom"/>
            <w:hideMark/>
          </w:tcPr>
          <w:p w14:paraId="4D840E0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-0.109</w:t>
            </w:r>
          </w:p>
        </w:tc>
        <w:tc>
          <w:tcPr>
            <w:tcW w:w="0" w:type="auto"/>
            <w:tcBorders>
              <w:top w:val="nil"/>
              <w:left w:val="nil"/>
              <w:bottom w:val="nil"/>
              <w:right w:val="nil"/>
            </w:tcBorders>
            <w:shd w:val="clear" w:color="auto" w:fill="auto"/>
            <w:noWrap/>
            <w:vAlign w:val="bottom"/>
            <w:hideMark/>
          </w:tcPr>
          <w:p w14:paraId="5E1A60D4"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-0.169</w:t>
            </w:r>
          </w:p>
        </w:tc>
        <w:tc>
          <w:tcPr>
            <w:tcW w:w="0" w:type="auto"/>
            <w:tcBorders>
              <w:top w:val="nil"/>
              <w:left w:val="nil"/>
              <w:bottom w:val="nil"/>
              <w:right w:val="nil"/>
            </w:tcBorders>
            <w:shd w:val="clear" w:color="auto" w:fill="auto"/>
            <w:noWrap/>
            <w:vAlign w:val="bottom"/>
            <w:hideMark/>
          </w:tcPr>
          <w:p w14:paraId="350199C1"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-0.016</w:t>
            </w:r>
          </w:p>
        </w:tc>
        <w:tc>
          <w:tcPr>
            <w:tcW w:w="0" w:type="auto"/>
            <w:tcBorders>
              <w:top w:val="nil"/>
              <w:left w:val="nil"/>
              <w:bottom w:val="nil"/>
              <w:right w:val="nil"/>
            </w:tcBorders>
            <w:shd w:val="clear" w:color="auto" w:fill="auto"/>
            <w:noWrap/>
            <w:vAlign w:val="bottom"/>
            <w:hideMark/>
          </w:tcPr>
          <w:p w14:paraId="19745ACE"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-0.024</w:t>
            </w:r>
          </w:p>
        </w:tc>
        <w:tc>
          <w:tcPr>
            <w:tcW w:w="0" w:type="auto"/>
            <w:tcBorders>
              <w:top w:val="nil"/>
              <w:left w:val="nil"/>
              <w:bottom w:val="nil"/>
              <w:right w:val="nil"/>
            </w:tcBorders>
            <w:shd w:val="clear" w:color="auto" w:fill="auto"/>
            <w:noWrap/>
            <w:vAlign w:val="bottom"/>
            <w:hideMark/>
          </w:tcPr>
          <w:p w14:paraId="1FCC549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-0.219</w:t>
            </w:r>
          </w:p>
        </w:tc>
        <w:tc>
          <w:tcPr>
            <w:tcW w:w="0" w:type="auto"/>
            <w:tcBorders>
              <w:top w:val="nil"/>
              <w:left w:val="nil"/>
              <w:bottom w:val="nil"/>
              <w:right w:val="nil"/>
            </w:tcBorders>
            <w:shd w:val="clear" w:color="auto" w:fill="auto"/>
            <w:noWrap/>
            <w:vAlign w:val="bottom"/>
            <w:hideMark/>
          </w:tcPr>
          <w:p w14:paraId="7CD546A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1.000</w:t>
            </w:r>
          </w:p>
        </w:tc>
        <w:tc>
          <w:tcPr>
            <w:tcW w:w="0" w:type="auto"/>
            <w:tcBorders>
              <w:top w:val="nil"/>
              <w:left w:val="nil"/>
              <w:bottom w:val="nil"/>
              <w:right w:val="nil"/>
            </w:tcBorders>
            <w:shd w:val="clear" w:color="auto" w:fill="auto"/>
            <w:noWrap/>
            <w:vAlign w:val="bottom"/>
            <w:hideMark/>
          </w:tcPr>
          <w:p w14:paraId="1D0501F6"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-0.073</w:t>
            </w:r>
          </w:p>
        </w:tc>
        <w:tc>
          <w:tcPr>
            <w:tcW w:w="0" w:type="auto"/>
            <w:tcBorders>
              <w:top w:val="nil"/>
              <w:left w:val="nil"/>
              <w:bottom w:val="nil"/>
              <w:right w:val="nil"/>
            </w:tcBorders>
            <w:shd w:val="clear" w:color="auto" w:fill="auto"/>
            <w:noWrap/>
            <w:vAlign w:val="bottom"/>
            <w:hideMark/>
          </w:tcPr>
          <w:p w14:paraId="64290D29"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-0.060</w:t>
            </w:r>
          </w:p>
        </w:tc>
        <w:tc>
          <w:tcPr>
            <w:tcW w:w="0" w:type="auto"/>
            <w:tcBorders>
              <w:top w:val="nil"/>
              <w:left w:val="nil"/>
              <w:bottom w:val="nil"/>
              <w:right w:val="nil"/>
            </w:tcBorders>
            <w:shd w:val="clear" w:color="auto" w:fill="auto"/>
            <w:noWrap/>
            <w:vAlign w:val="bottom"/>
            <w:hideMark/>
          </w:tcPr>
          <w:p w14:paraId="15EAD316"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-0.211</w:t>
            </w:r>
          </w:p>
        </w:tc>
        <w:tc>
          <w:tcPr>
            <w:tcW w:w="0" w:type="auto"/>
            <w:tcBorders>
              <w:top w:val="nil"/>
              <w:left w:val="nil"/>
              <w:bottom w:val="nil"/>
              <w:right w:val="nil"/>
            </w:tcBorders>
            <w:shd w:val="clear" w:color="auto" w:fill="auto"/>
            <w:noWrap/>
            <w:vAlign w:val="bottom"/>
            <w:hideMark/>
          </w:tcPr>
          <w:p w14:paraId="6CB0A9C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-0.006</w:t>
            </w:r>
          </w:p>
        </w:tc>
        <w:tc>
          <w:tcPr>
            <w:tcW w:w="0" w:type="auto"/>
            <w:tcBorders>
              <w:top w:val="nil"/>
              <w:left w:val="nil"/>
              <w:bottom w:val="nil"/>
              <w:right w:val="single" w:sz="4" w:space="0" w:color="auto"/>
            </w:tcBorders>
            <w:shd w:val="clear" w:color="auto" w:fill="auto"/>
            <w:noWrap/>
            <w:vAlign w:val="bottom"/>
            <w:hideMark/>
          </w:tcPr>
          <w:p w14:paraId="506D959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-0.242</w:t>
            </w:r>
          </w:p>
        </w:tc>
      </w:tr>
      <w:tr w:rsidR="00ED02A4" w:rsidRPr="00AC0EE7" w14:paraId="5362646D" w14:textId="77777777" w:rsidTr="00367A87">
        <w:trPr>
          <w:trHeight w:val="288"/>
        </w:trPr>
        <w:tc>
          <w:tcPr>
            <w:tcW w:w="1139" w:type="dxa"/>
            <w:tcBorders>
              <w:top w:val="nil"/>
              <w:left w:val="single" w:sz="4" w:space="0" w:color="auto"/>
              <w:bottom w:val="nil"/>
              <w:right w:val="nil"/>
            </w:tcBorders>
            <w:shd w:val="clear" w:color="auto" w:fill="auto"/>
            <w:noWrap/>
            <w:vAlign w:val="bottom"/>
            <w:hideMark/>
          </w:tcPr>
          <w:p w14:paraId="5DB404DD"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Euro</w:t>
            </w:r>
          </w:p>
        </w:tc>
        <w:tc>
          <w:tcPr>
            <w:tcW w:w="0" w:type="auto"/>
            <w:tcBorders>
              <w:top w:val="nil"/>
              <w:left w:val="nil"/>
              <w:bottom w:val="nil"/>
              <w:right w:val="nil"/>
            </w:tcBorders>
            <w:shd w:val="clear" w:color="auto" w:fill="auto"/>
            <w:noWrap/>
            <w:vAlign w:val="bottom"/>
            <w:hideMark/>
          </w:tcPr>
          <w:p w14:paraId="5E2B82E7"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-0.198</w:t>
            </w:r>
          </w:p>
        </w:tc>
        <w:tc>
          <w:tcPr>
            <w:tcW w:w="0" w:type="auto"/>
            <w:tcBorders>
              <w:top w:val="nil"/>
              <w:left w:val="nil"/>
              <w:bottom w:val="nil"/>
              <w:right w:val="nil"/>
            </w:tcBorders>
            <w:shd w:val="clear" w:color="auto" w:fill="auto"/>
            <w:noWrap/>
            <w:vAlign w:val="bottom"/>
            <w:hideMark/>
          </w:tcPr>
          <w:p w14:paraId="4649B1F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0.358</w:t>
            </w:r>
          </w:p>
        </w:tc>
        <w:tc>
          <w:tcPr>
            <w:tcW w:w="0" w:type="auto"/>
            <w:tcBorders>
              <w:top w:val="nil"/>
              <w:left w:val="nil"/>
              <w:bottom w:val="nil"/>
              <w:right w:val="nil"/>
            </w:tcBorders>
            <w:shd w:val="clear" w:color="auto" w:fill="auto"/>
            <w:noWrap/>
            <w:vAlign w:val="bottom"/>
            <w:hideMark/>
          </w:tcPr>
          <w:p w14:paraId="143DD0C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-0.083</w:t>
            </w:r>
          </w:p>
        </w:tc>
        <w:tc>
          <w:tcPr>
            <w:tcW w:w="0" w:type="auto"/>
            <w:tcBorders>
              <w:top w:val="nil"/>
              <w:left w:val="nil"/>
              <w:bottom w:val="nil"/>
              <w:right w:val="nil"/>
            </w:tcBorders>
            <w:shd w:val="clear" w:color="auto" w:fill="auto"/>
            <w:noWrap/>
            <w:vAlign w:val="bottom"/>
            <w:hideMark/>
          </w:tcPr>
          <w:p w14:paraId="227E95DE"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-0.582</w:t>
            </w:r>
          </w:p>
        </w:tc>
        <w:tc>
          <w:tcPr>
            <w:tcW w:w="0" w:type="auto"/>
            <w:tcBorders>
              <w:top w:val="nil"/>
              <w:left w:val="nil"/>
              <w:bottom w:val="nil"/>
              <w:right w:val="nil"/>
            </w:tcBorders>
            <w:shd w:val="clear" w:color="auto" w:fill="auto"/>
            <w:noWrap/>
            <w:vAlign w:val="bottom"/>
            <w:hideMark/>
          </w:tcPr>
          <w:p w14:paraId="6D4834FF"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0.632</w:t>
            </w:r>
          </w:p>
        </w:tc>
        <w:tc>
          <w:tcPr>
            <w:tcW w:w="0" w:type="auto"/>
            <w:tcBorders>
              <w:top w:val="nil"/>
              <w:left w:val="nil"/>
              <w:bottom w:val="nil"/>
              <w:right w:val="nil"/>
            </w:tcBorders>
            <w:shd w:val="clear" w:color="auto" w:fill="auto"/>
            <w:noWrap/>
            <w:vAlign w:val="bottom"/>
            <w:hideMark/>
          </w:tcPr>
          <w:p w14:paraId="06260231"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-0.073</w:t>
            </w:r>
          </w:p>
        </w:tc>
        <w:tc>
          <w:tcPr>
            <w:tcW w:w="0" w:type="auto"/>
            <w:tcBorders>
              <w:top w:val="nil"/>
              <w:left w:val="nil"/>
              <w:bottom w:val="nil"/>
              <w:right w:val="nil"/>
            </w:tcBorders>
            <w:shd w:val="clear" w:color="auto" w:fill="auto"/>
            <w:noWrap/>
            <w:vAlign w:val="bottom"/>
            <w:hideMark/>
          </w:tcPr>
          <w:p w14:paraId="7B2EC652"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1.000</w:t>
            </w:r>
          </w:p>
        </w:tc>
        <w:tc>
          <w:tcPr>
            <w:tcW w:w="0" w:type="auto"/>
            <w:tcBorders>
              <w:top w:val="nil"/>
              <w:left w:val="nil"/>
              <w:bottom w:val="nil"/>
              <w:right w:val="nil"/>
            </w:tcBorders>
            <w:shd w:val="clear" w:color="auto" w:fill="auto"/>
            <w:noWrap/>
            <w:vAlign w:val="bottom"/>
            <w:hideMark/>
          </w:tcPr>
          <w:p w14:paraId="4C7B44A7"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0.078</w:t>
            </w:r>
          </w:p>
        </w:tc>
        <w:tc>
          <w:tcPr>
            <w:tcW w:w="0" w:type="auto"/>
            <w:tcBorders>
              <w:top w:val="nil"/>
              <w:left w:val="nil"/>
              <w:bottom w:val="nil"/>
              <w:right w:val="nil"/>
            </w:tcBorders>
            <w:shd w:val="clear" w:color="auto" w:fill="auto"/>
            <w:noWrap/>
            <w:vAlign w:val="bottom"/>
            <w:hideMark/>
          </w:tcPr>
          <w:p w14:paraId="3005A717"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-0.023</w:t>
            </w:r>
          </w:p>
        </w:tc>
        <w:tc>
          <w:tcPr>
            <w:tcW w:w="0" w:type="auto"/>
            <w:tcBorders>
              <w:top w:val="nil"/>
              <w:left w:val="nil"/>
              <w:bottom w:val="nil"/>
              <w:right w:val="nil"/>
            </w:tcBorders>
            <w:shd w:val="clear" w:color="auto" w:fill="auto"/>
            <w:noWrap/>
            <w:vAlign w:val="bottom"/>
            <w:hideMark/>
          </w:tcPr>
          <w:p w14:paraId="63E7F0D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-0.117</w:t>
            </w:r>
          </w:p>
        </w:tc>
        <w:tc>
          <w:tcPr>
            <w:tcW w:w="0" w:type="auto"/>
            <w:tcBorders>
              <w:top w:val="nil"/>
              <w:left w:val="nil"/>
              <w:bottom w:val="nil"/>
              <w:right w:val="single" w:sz="4" w:space="0" w:color="auto"/>
            </w:tcBorders>
            <w:shd w:val="clear" w:color="auto" w:fill="auto"/>
            <w:noWrap/>
            <w:vAlign w:val="bottom"/>
            <w:hideMark/>
          </w:tcPr>
          <w:p w14:paraId="540EB5D4"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0.510</w:t>
            </w:r>
          </w:p>
        </w:tc>
      </w:tr>
      <w:tr w:rsidR="00ED02A4" w:rsidRPr="00AC0EE7" w14:paraId="64313684" w14:textId="77777777" w:rsidTr="00367A87">
        <w:trPr>
          <w:trHeight w:val="288"/>
        </w:trPr>
        <w:tc>
          <w:tcPr>
            <w:tcW w:w="1139" w:type="dxa"/>
            <w:tcBorders>
              <w:top w:val="nil"/>
              <w:left w:val="single" w:sz="4" w:space="0" w:color="auto"/>
              <w:bottom w:val="nil"/>
              <w:right w:val="nil"/>
            </w:tcBorders>
            <w:shd w:val="clear" w:color="auto" w:fill="auto"/>
            <w:noWrap/>
            <w:vAlign w:val="bottom"/>
            <w:hideMark/>
          </w:tcPr>
          <w:p w14:paraId="00B37E59"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FINANCIAL</w:t>
            </w:r>
          </w:p>
        </w:tc>
        <w:tc>
          <w:tcPr>
            <w:tcW w:w="0" w:type="auto"/>
            <w:tcBorders>
              <w:top w:val="nil"/>
              <w:left w:val="nil"/>
              <w:bottom w:val="nil"/>
              <w:right w:val="nil"/>
            </w:tcBorders>
            <w:shd w:val="clear" w:color="auto" w:fill="auto"/>
            <w:noWrap/>
            <w:vAlign w:val="bottom"/>
            <w:hideMark/>
          </w:tcPr>
          <w:p w14:paraId="0102BA28"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-0.036</w:t>
            </w:r>
          </w:p>
        </w:tc>
        <w:tc>
          <w:tcPr>
            <w:tcW w:w="0" w:type="auto"/>
            <w:tcBorders>
              <w:top w:val="nil"/>
              <w:left w:val="nil"/>
              <w:bottom w:val="nil"/>
              <w:right w:val="nil"/>
            </w:tcBorders>
            <w:shd w:val="clear" w:color="auto" w:fill="auto"/>
            <w:noWrap/>
            <w:vAlign w:val="bottom"/>
            <w:hideMark/>
          </w:tcPr>
          <w:p w14:paraId="60AC4F3F"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0.049</w:t>
            </w:r>
          </w:p>
        </w:tc>
        <w:tc>
          <w:tcPr>
            <w:tcW w:w="0" w:type="auto"/>
            <w:tcBorders>
              <w:top w:val="nil"/>
              <w:left w:val="nil"/>
              <w:bottom w:val="nil"/>
              <w:right w:val="nil"/>
            </w:tcBorders>
            <w:shd w:val="clear" w:color="auto" w:fill="auto"/>
            <w:noWrap/>
            <w:vAlign w:val="bottom"/>
            <w:hideMark/>
          </w:tcPr>
          <w:p w14:paraId="4D690A80"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-0.016</w:t>
            </w:r>
          </w:p>
        </w:tc>
        <w:tc>
          <w:tcPr>
            <w:tcW w:w="0" w:type="auto"/>
            <w:tcBorders>
              <w:top w:val="nil"/>
              <w:left w:val="nil"/>
              <w:bottom w:val="nil"/>
              <w:right w:val="nil"/>
            </w:tcBorders>
            <w:shd w:val="clear" w:color="auto" w:fill="auto"/>
            <w:noWrap/>
            <w:vAlign w:val="bottom"/>
            <w:hideMark/>
          </w:tcPr>
          <w:p w14:paraId="51C49D3A"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-0.167</w:t>
            </w:r>
          </w:p>
        </w:tc>
        <w:tc>
          <w:tcPr>
            <w:tcW w:w="0" w:type="auto"/>
            <w:tcBorders>
              <w:top w:val="nil"/>
              <w:left w:val="nil"/>
              <w:bottom w:val="nil"/>
              <w:right w:val="nil"/>
            </w:tcBorders>
            <w:shd w:val="clear" w:color="auto" w:fill="auto"/>
            <w:noWrap/>
            <w:vAlign w:val="bottom"/>
            <w:hideMark/>
          </w:tcPr>
          <w:p w14:paraId="7ED093E8"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0.233</w:t>
            </w:r>
          </w:p>
        </w:tc>
        <w:tc>
          <w:tcPr>
            <w:tcW w:w="0" w:type="auto"/>
            <w:tcBorders>
              <w:top w:val="nil"/>
              <w:left w:val="nil"/>
              <w:bottom w:val="nil"/>
              <w:right w:val="nil"/>
            </w:tcBorders>
            <w:shd w:val="clear" w:color="auto" w:fill="auto"/>
            <w:noWrap/>
            <w:vAlign w:val="bottom"/>
            <w:hideMark/>
          </w:tcPr>
          <w:p w14:paraId="22C72352"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-0.060</w:t>
            </w:r>
          </w:p>
        </w:tc>
        <w:tc>
          <w:tcPr>
            <w:tcW w:w="0" w:type="auto"/>
            <w:tcBorders>
              <w:top w:val="nil"/>
              <w:left w:val="nil"/>
              <w:bottom w:val="nil"/>
              <w:right w:val="nil"/>
            </w:tcBorders>
            <w:shd w:val="clear" w:color="auto" w:fill="auto"/>
            <w:noWrap/>
            <w:vAlign w:val="bottom"/>
            <w:hideMark/>
          </w:tcPr>
          <w:p w14:paraId="4CA2B3D1"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0.078</w:t>
            </w:r>
          </w:p>
        </w:tc>
        <w:tc>
          <w:tcPr>
            <w:tcW w:w="0" w:type="auto"/>
            <w:tcBorders>
              <w:top w:val="nil"/>
              <w:left w:val="nil"/>
              <w:bottom w:val="nil"/>
              <w:right w:val="nil"/>
            </w:tcBorders>
            <w:shd w:val="clear" w:color="auto" w:fill="auto"/>
            <w:noWrap/>
            <w:vAlign w:val="bottom"/>
            <w:hideMark/>
          </w:tcPr>
          <w:p w14:paraId="18D92727"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1.000</w:t>
            </w:r>
          </w:p>
        </w:tc>
        <w:tc>
          <w:tcPr>
            <w:tcW w:w="0" w:type="auto"/>
            <w:tcBorders>
              <w:top w:val="nil"/>
              <w:left w:val="nil"/>
              <w:bottom w:val="nil"/>
              <w:right w:val="nil"/>
            </w:tcBorders>
            <w:shd w:val="clear" w:color="auto" w:fill="auto"/>
            <w:noWrap/>
            <w:vAlign w:val="bottom"/>
            <w:hideMark/>
          </w:tcPr>
          <w:p w14:paraId="5DBFCEE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0.425</w:t>
            </w:r>
          </w:p>
        </w:tc>
        <w:tc>
          <w:tcPr>
            <w:tcW w:w="0" w:type="auto"/>
            <w:tcBorders>
              <w:top w:val="nil"/>
              <w:left w:val="nil"/>
              <w:bottom w:val="nil"/>
              <w:right w:val="nil"/>
            </w:tcBorders>
            <w:shd w:val="clear" w:color="auto" w:fill="auto"/>
            <w:noWrap/>
            <w:vAlign w:val="bottom"/>
            <w:hideMark/>
          </w:tcPr>
          <w:p w14:paraId="2271FFB7"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0.155</w:t>
            </w:r>
          </w:p>
        </w:tc>
        <w:tc>
          <w:tcPr>
            <w:tcW w:w="0" w:type="auto"/>
            <w:tcBorders>
              <w:top w:val="nil"/>
              <w:left w:val="nil"/>
              <w:bottom w:val="nil"/>
              <w:right w:val="single" w:sz="4" w:space="0" w:color="auto"/>
            </w:tcBorders>
            <w:shd w:val="clear" w:color="auto" w:fill="auto"/>
            <w:noWrap/>
            <w:vAlign w:val="bottom"/>
            <w:hideMark/>
          </w:tcPr>
          <w:p w14:paraId="0A6BCA01"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0.167</w:t>
            </w:r>
          </w:p>
        </w:tc>
      </w:tr>
      <w:tr w:rsidR="00ED02A4" w:rsidRPr="00AC0EE7" w14:paraId="015BA7CB" w14:textId="77777777" w:rsidTr="00367A87">
        <w:trPr>
          <w:trHeight w:val="288"/>
        </w:trPr>
        <w:tc>
          <w:tcPr>
            <w:tcW w:w="1139" w:type="dxa"/>
            <w:tcBorders>
              <w:top w:val="nil"/>
              <w:left w:val="single" w:sz="4" w:space="0" w:color="auto"/>
              <w:bottom w:val="nil"/>
              <w:right w:val="nil"/>
            </w:tcBorders>
            <w:shd w:val="clear" w:color="auto" w:fill="auto"/>
            <w:noWrap/>
            <w:vAlign w:val="bottom"/>
            <w:hideMark/>
          </w:tcPr>
          <w:p w14:paraId="4F0561F5"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ECONOMIC</w:t>
            </w:r>
          </w:p>
        </w:tc>
        <w:tc>
          <w:tcPr>
            <w:tcW w:w="0" w:type="auto"/>
            <w:tcBorders>
              <w:top w:val="nil"/>
              <w:left w:val="nil"/>
              <w:bottom w:val="nil"/>
              <w:right w:val="nil"/>
            </w:tcBorders>
            <w:shd w:val="clear" w:color="auto" w:fill="auto"/>
            <w:noWrap/>
            <w:vAlign w:val="bottom"/>
            <w:hideMark/>
          </w:tcPr>
          <w:p w14:paraId="1C8BE57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0.123</w:t>
            </w:r>
          </w:p>
        </w:tc>
        <w:tc>
          <w:tcPr>
            <w:tcW w:w="0" w:type="auto"/>
            <w:tcBorders>
              <w:top w:val="nil"/>
              <w:left w:val="nil"/>
              <w:bottom w:val="nil"/>
              <w:right w:val="nil"/>
            </w:tcBorders>
            <w:shd w:val="clear" w:color="auto" w:fill="auto"/>
            <w:noWrap/>
            <w:vAlign w:val="bottom"/>
            <w:hideMark/>
          </w:tcPr>
          <w:p w14:paraId="3DEE2067"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0.328</w:t>
            </w:r>
          </w:p>
        </w:tc>
        <w:tc>
          <w:tcPr>
            <w:tcW w:w="0" w:type="auto"/>
            <w:tcBorders>
              <w:top w:val="nil"/>
              <w:left w:val="nil"/>
              <w:bottom w:val="nil"/>
              <w:right w:val="nil"/>
            </w:tcBorders>
            <w:shd w:val="clear" w:color="auto" w:fill="auto"/>
            <w:noWrap/>
            <w:vAlign w:val="bottom"/>
            <w:hideMark/>
          </w:tcPr>
          <w:p w14:paraId="735DEF06"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0.135</w:t>
            </w:r>
          </w:p>
        </w:tc>
        <w:tc>
          <w:tcPr>
            <w:tcW w:w="0" w:type="auto"/>
            <w:tcBorders>
              <w:top w:val="nil"/>
              <w:left w:val="nil"/>
              <w:bottom w:val="nil"/>
              <w:right w:val="nil"/>
            </w:tcBorders>
            <w:shd w:val="clear" w:color="auto" w:fill="auto"/>
            <w:noWrap/>
            <w:vAlign w:val="bottom"/>
            <w:hideMark/>
          </w:tcPr>
          <w:p w14:paraId="75A7B0B0"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-0.198</w:t>
            </w:r>
          </w:p>
        </w:tc>
        <w:tc>
          <w:tcPr>
            <w:tcW w:w="0" w:type="auto"/>
            <w:tcBorders>
              <w:top w:val="nil"/>
              <w:left w:val="nil"/>
              <w:bottom w:val="nil"/>
              <w:right w:val="nil"/>
            </w:tcBorders>
            <w:shd w:val="clear" w:color="auto" w:fill="auto"/>
            <w:noWrap/>
            <w:vAlign w:val="bottom"/>
            <w:hideMark/>
          </w:tcPr>
          <w:p w14:paraId="3D32455A"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0.463</w:t>
            </w:r>
          </w:p>
        </w:tc>
        <w:tc>
          <w:tcPr>
            <w:tcW w:w="0" w:type="auto"/>
            <w:tcBorders>
              <w:top w:val="nil"/>
              <w:left w:val="nil"/>
              <w:bottom w:val="nil"/>
              <w:right w:val="nil"/>
            </w:tcBorders>
            <w:shd w:val="clear" w:color="auto" w:fill="auto"/>
            <w:noWrap/>
            <w:vAlign w:val="bottom"/>
            <w:hideMark/>
          </w:tcPr>
          <w:p w14:paraId="4C9B597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-0.211</w:t>
            </w:r>
          </w:p>
        </w:tc>
        <w:tc>
          <w:tcPr>
            <w:tcW w:w="0" w:type="auto"/>
            <w:tcBorders>
              <w:top w:val="nil"/>
              <w:left w:val="nil"/>
              <w:bottom w:val="nil"/>
              <w:right w:val="nil"/>
            </w:tcBorders>
            <w:shd w:val="clear" w:color="auto" w:fill="auto"/>
            <w:noWrap/>
            <w:vAlign w:val="bottom"/>
            <w:hideMark/>
          </w:tcPr>
          <w:p w14:paraId="7EC35CC0"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-0.023</w:t>
            </w:r>
          </w:p>
        </w:tc>
        <w:tc>
          <w:tcPr>
            <w:tcW w:w="0" w:type="auto"/>
            <w:tcBorders>
              <w:top w:val="nil"/>
              <w:left w:val="nil"/>
              <w:bottom w:val="nil"/>
              <w:right w:val="nil"/>
            </w:tcBorders>
            <w:shd w:val="clear" w:color="auto" w:fill="auto"/>
            <w:noWrap/>
            <w:vAlign w:val="bottom"/>
            <w:hideMark/>
          </w:tcPr>
          <w:p w14:paraId="27CA38FF"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0.425</w:t>
            </w:r>
          </w:p>
        </w:tc>
        <w:tc>
          <w:tcPr>
            <w:tcW w:w="0" w:type="auto"/>
            <w:tcBorders>
              <w:top w:val="nil"/>
              <w:left w:val="nil"/>
              <w:bottom w:val="nil"/>
              <w:right w:val="nil"/>
            </w:tcBorders>
            <w:shd w:val="clear" w:color="auto" w:fill="auto"/>
            <w:noWrap/>
            <w:vAlign w:val="bottom"/>
            <w:hideMark/>
          </w:tcPr>
          <w:p w14:paraId="13F9633C"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1.000</w:t>
            </w:r>
          </w:p>
        </w:tc>
        <w:tc>
          <w:tcPr>
            <w:tcW w:w="0" w:type="auto"/>
            <w:tcBorders>
              <w:top w:val="nil"/>
              <w:left w:val="nil"/>
              <w:bottom w:val="nil"/>
              <w:right w:val="nil"/>
            </w:tcBorders>
            <w:shd w:val="clear" w:color="auto" w:fill="auto"/>
            <w:noWrap/>
            <w:vAlign w:val="bottom"/>
            <w:hideMark/>
          </w:tcPr>
          <w:p w14:paraId="6160AB0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0.427</w:t>
            </w:r>
          </w:p>
        </w:tc>
        <w:tc>
          <w:tcPr>
            <w:tcW w:w="0" w:type="auto"/>
            <w:tcBorders>
              <w:top w:val="nil"/>
              <w:left w:val="nil"/>
              <w:bottom w:val="nil"/>
              <w:right w:val="single" w:sz="4" w:space="0" w:color="auto"/>
            </w:tcBorders>
            <w:shd w:val="clear" w:color="auto" w:fill="auto"/>
            <w:noWrap/>
            <w:vAlign w:val="bottom"/>
            <w:hideMark/>
          </w:tcPr>
          <w:p w14:paraId="548EB251"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0.497</w:t>
            </w:r>
          </w:p>
        </w:tc>
      </w:tr>
      <w:tr w:rsidR="00ED02A4" w:rsidRPr="00AC0EE7" w14:paraId="2641ACAC" w14:textId="77777777" w:rsidTr="00367A87">
        <w:trPr>
          <w:trHeight w:val="288"/>
        </w:trPr>
        <w:tc>
          <w:tcPr>
            <w:tcW w:w="1139" w:type="dxa"/>
            <w:tcBorders>
              <w:top w:val="nil"/>
              <w:left w:val="single" w:sz="4" w:space="0" w:color="auto"/>
              <w:bottom w:val="nil"/>
              <w:right w:val="nil"/>
            </w:tcBorders>
            <w:shd w:val="clear" w:color="auto" w:fill="auto"/>
            <w:noWrap/>
            <w:vAlign w:val="bottom"/>
            <w:hideMark/>
          </w:tcPr>
          <w:p w14:paraId="3440CC79"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POLITICAL</w:t>
            </w:r>
          </w:p>
        </w:tc>
        <w:tc>
          <w:tcPr>
            <w:tcW w:w="0" w:type="auto"/>
            <w:tcBorders>
              <w:top w:val="nil"/>
              <w:left w:val="nil"/>
              <w:bottom w:val="nil"/>
              <w:right w:val="nil"/>
            </w:tcBorders>
            <w:shd w:val="clear" w:color="auto" w:fill="auto"/>
            <w:noWrap/>
            <w:vAlign w:val="bottom"/>
            <w:hideMark/>
          </w:tcPr>
          <w:p w14:paraId="34F0FA80"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-0.065</w:t>
            </w:r>
          </w:p>
        </w:tc>
        <w:tc>
          <w:tcPr>
            <w:tcW w:w="0" w:type="auto"/>
            <w:tcBorders>
              <w:top w:val="nil"/>
              <w:left w:val="nil"/>
              <w:bottom w:val="nil"/>
              <w:right w:val="nil"/>
            </w:tcBorders>
            <w:shd w:val="clear" w:color="auto" w:fill="auto"/>
            <w:noWrap/>
            <w:vAlign w:val="bottom"/>
            <w:hideMark/>
          </w:tcPr>
          <w:p w14:paraId="1BC6DCDA"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0.045</w:t>
            </w:r>
          </w:p>
        </w:tc>
        <w:tc>
          <w:tcPr>
            <w:tcW w:w="0" w:type="auto"/>
            <w:tcBorders>
              <w:top w:val="nil"/>
              <w:left w:val="nil"/>
              <w:bottom w:val="nil"/>
              <w:right w:val="nil"/>
            </w:tcBorders>
            <w:shd w:val="clear" w:color="auto" w:fill="auto"/>
            <w:noWrap/>
            <w:vAlign w:val="bottom"/>
            <w:hideMark/>
          </w:tcPr>
          <w:p w14:paraId="371358F2"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0.003</w:t>
            </w:r>
          </w:p>
        </w:tc>
        <w:tc>
          <w:tcPr>
            <w:tcW w:w="0" w:type="auto"/>
            <w:tcBorders>
              <w:top w:val="nil"/>
              <w:left w:val="nil"/>
              <w:bottom w:val="nil"/>
              <w:right w:val="nil"/>
            </w:tcBorders>
            <w:shd w:val="clear" w:color="auto" w:fill="auto"/>
            <w:noWrap/>
            <w:vAlign w:val="bottom"/>
            <w:hideMark/>
          </w:tcPr>
          <w:p w14:paraId="7C481184"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0.035</w:t>
            </w:r>
          </w:p>
        </w:tc>
        <w:tc>
          <w:tcPr>
            <w:tcW w:w="0" w:type="auto"/>
            <w:tcBorders>
              <w:top w:val="nil"/>
              <w:left w:val="nil"/>
              <w:bottom w:val="nil"/>
              <w:right w:val="nil"/>
            </w:tcBorders>
            <w:shd w:val="clear" w:color="auto" w:fill="auto"/>
            <w:noWrap/>
            <w:vAlign w:val="bottom"/>
            <w:hideMark/>
          </w:tcPr>
          <w:p w14:paraId="73D4F620"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-0.105</w:t>
            </w:r>
          </w:p>
        </w:tc>
        <w:tc>
          <w:tcPr>
            <w:tcW w:w="0" w:type="auto"/>
            <w:tcBorders>
              <w:top w:val="nil"/>
              <w:left w:val="nil"/>
              <w:bottom w:val="nil"/>
              <w:right w:val="nil"/>
            </w:tcBorders>
            <w:shd w:val="clear" w:color="auto" w:fill="auto"/>
            <w:noWrap/>
            <w:vAlign w:val="bottom"/>
            <w:hideMark/>
          </w:tcPr>
          <w:p w14:paraId="4BF32F85"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-0.006</w:t>
            </w:r>
          </w:p>
        </w:tc>
        <w:tc>
          <w:tcPr>
            <w:tcW w:w="0" w:type="auto"/>
            <w:tcBorders>
              <w:top w:val="nil"/>
              <w:left w:val="nil"/>
              <w:bottom w:val="nil"/>
              <w:right w:val="nil"/>
            </w:tcBorders>
            <w:shd w:val="clear" w:color="auto" w:fill="auto"/>
            <w:noWrap/>
            <w:vAlign w:val="bottom"/>
            <w:hideMark/>
          </w:tcPr>
          <w:p w14:paraId="4B72F1EF"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-0.117</w:t>
            </w:r>
          </w:p>
        </w:tc>
        <w:tc>
          <w:tcPr>
            <w:tcW w:w="0" w:type="auto"/>
            <w:tcBorders>
              <w:top w:val="nil"/>
              <w:left w:val="nil"/>
              <w:bottom w:val="nil"/>
              <w:right w:val="nil"/>
            </w:tcBorders>
            <w:shd w:val="clear" w:color="auto" w:fill="auto"/>
            <w:noWrap/>
            <w:vAlign w:val="bottom"/>
            <w:hideMark/>
          </w:tcPr>
          <w:p w14:paraId="13B837E4"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0.155</w:t>
            </w:r>
          </w:p>
        </w:tc>
        <w:tc>
          <w:tcPr>
            <w:tcW w:w="0" w:type="auto"/>
            <w:tcBorders>
              <w:top w:val="nil"/>
              <w:left w:val="nil"/>
              <w:bottom w:val="nil"/>
              <w:right w:val="nil"/>
            </w:tcBorders>
            <w:shd w:val="clear" w:color="auto" w:fill="auto"/>
            <w:noWrap/>
            <w:vAlign w:val="bottom"/>
            <w:hideMark/>
          </w:tcPr>
          <w:p w14:paraId="1D44E60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0.427</w:t>
            </w:r>
          </w:p>
        </w:tc>
        <w:tc>
          <w:tcPr>
            <w:tcW w:w="0" w:type="auto"/>
            <w:tcBorders>
              <w:top w:val="nil"/>
              <w:left w:val="nil"/>
              <w:bottom w:val="nil"/>
              <w:right w:val="nil"/>
            </w:tcBorders>
            <w:shd w:val="clear" w:color="auto" w:fill="auto"/>
            <w:noWrap/>
            <w:vAlign w:val="bottom"/>
            <w:hideMark/>
          </w:tcPr>
          <w:p w14:paraId="773A0105"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1.000</w:t>
            </w:r>
          </w:p>
        </w:tc>
        <w:tc>
          <w:tcPr>
            <w:tcW w:w="0" w:type="auto"/>
            <w:tcBorders>
              <w:top w:val="nil"/>
              <w:left w:val="nil"/>
              <w:bottom w:val="nil"/>
              <w:right w:val="single" w:sz="4" w:space="0" w:color="auto"/>
            </w:tcBorders>
            <w:shd w:val="clear" w:color="auto" w:fill="auto"/>
            <w:noWrap/>
            <w:vAlign w:val="bottom"/>
            <w:hideMark/>
          </w:tcPr>
          <w:p w14:paraId="07461288"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-0.012</w:t>
            </w:r>
          </w:p>
        </w:tc>
      </w:tr>
      <w:tr w:rsidR="00ED02A4" w:rsidRPr="00AC0EE7" w14:paraId="33E1D9F2" w14:textId="77777777" w:rsidTr="00367A87">
        <w:trPr>
          <w:trHeight w:val="288"/>
        </w:trPr>
        <w:tc>
          <w:tcPr>
            <w:tcW w:w="1139" w:type="dxa"/>
            <w:tcBorders>
              <w:top w:val="nil"/>
              <w:left w:val="single" w:sz="4" w:space="0" w:color="auto"/>
              <w:bottom w:val="nil"/>
              <w:right w:val="nil"/>
            </w:tcBorders>
            <w:shd w:val="clear" w:color="auto" w:fill="auto"/>
            <w:noWrap/>
            <w:vAlign w:val="bottom"/>
            <w:hideMark/>
          </w:tcPr>
          <w:p w14:paraId="4089FDFA"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DEVPC1</w:t>
            </w:r>
          </w:p>
        </w:tc>
        <w:tc>
          <w:tcPr>
            <w:tcW w:w="0" w:type="auto"/>
            <w:tcBorders>
              <w:top w:val="nil"/>
              <w:left w:val="nil"/>
              <w:bottom w:val="nil"/>
              <w:right w:val="nil"/>
            </w:tcBorders>
            <w:shd w:val="clear" w:color="auto" w:fill="auto"/>
            <w:noWrap/>
            <w:vAlign w:val="bottom"/>
            <w:hideMark/>
          </w:tcPr>
          <w:p w14:paraId="08E14234"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0.067</w:t>
            </w:r>
          </w:p>
        </w:tc>
        <w:tc>
          <w:tcPr>
            <w:tcW w:w="0" w:type="auto"/>
            <w:tcBorders>
              <w:top w:val="nil"/>
              <w:left w:val="nil"/>
              <w:bottom w:val="nil"/>
              <w:right w:val="nil"/>
            </w:tcBorders>
            <w:shd w:val="clear" w:color="auto" w:fill="auto"/>
            <w:noWrap/>
            <w:vAlign w:val="bottom"/>
            <w:hideMark/>
          </w:tcPr>
          <w:p w14:paraId="44B58B5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0.347</w:t>
            </w:r>
          </w:p>
        </w:tc>
        <w:tc>
          <w:tcPr>
            <w:tcW w:w="0" w:type="auto"/>
            <w:tcBorders>
              <w:top w:val="nil"/>
              <w:left w:val="nil"/>
              <w:bottom w:val="nil"/>
              <w:right w:val="nil"/>
            </w:tcBorders>
            <w:shd w:val="clear" w:color="auto" w:fill="auto"/>
            <w:noWrap/>
            <w:vAlign w:val="bottom"/>
            <w:hideMark/>
          </w:tcPr>
          <w:p w14:paraId="03AEBF1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-0.055</w:t>
            </w:r>
          </w:p>
        </w:tc>
        <w:tc>
          <w:tcPr>
            <w:tcW w:w="0" w:type="auto"/>
            <w:tcBorders>
              <w:top w:val="nil"/>
              <w:left w:val="nil"/>
              <w:bottom w:val="nil"/>
              <w:right w:val="nil"/>
            </w:tcBorders>
            <w:shd w:val="clear" w:color="auto" w:fill="auto"/>
            <w:noWrap/>
            <w:vAlign w:val="bottom"/>
            <w:hideMark/>
          </w:tcPr>
          <w:p w14:paraId="61E61B04"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-0.634</w:t>
            </w:r>
          </w:p>
        </w:tc>
        <w:tc>
          <w:tcPr>
            <w:tcW w:w="0" w:type="auto"/>
            <w:tcBorders>
              <w:top w:val="nil"/>
              <w:left w:val="nil"/>
              <w:bottom w:val="nil"/>
              <w:right w:val="nil"/>
            </w:tcBorders>
            <w:shd w:val="clear" w:color="auto" w:fill="auto"/>
            <w:noWrap/>
            <w:vAlign w:val="bottom"/>
            <w:hideMark/>
          </w:tcPr>
          <w:p w14:paraId="53A748BC"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0.916</w:t>
            </w:r>
          </w:p>
        </w:tc>
        <w:tc>
          <w:tcPr>
            <w:tcW w:w="0" w:type="auto"/>
            <w:tcBorders>
              <w:top w:val="nil"/>
              <w:left w:val="nil"/>
              <w:bottom w:val="nil"/>
              <w:right w:val="nil"/>
            </w:tcBorders>
            <w:shd w:val="clear" w:color="auto" w:fill="auto"/>
            <w:noWrap/>
            <w:vAlign w:val="bottom"/>
            <w:hideMark/>
          </w:tcPr>
          <w:p w14:paraId="539E3DCC"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-0.242</w:t>
            </w:r>
          </w:p>
        </w:tc>
        <w:tc>
          <w:tcPr>
            <w:tcW w:w="0" w:type="auto"/>
            <w:tcBorders>
              <w:top w:val="nil"/>
              <w:left w:val="nil"/>
              <w:bottom w:val="nil"/>
              <w:right w:val="nil"/>
            </w:tcBorders>
            <w:shd w:val="clear" w:color="auto" w:fill="auto"/>
            <w:noWrap/>
            <w:vAlign w:val="bottom"/>
            <w:hideMark/>
          </w:tcPr>
          <w:p w14:paraId="78B58B5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0.510</w:t>
            </w:r>
          </w:p>
        </w:tc>
        <w:tc>
          <w:tcPr>
            <w:tcW w:w="0" w:type="auto"/>
            <w:tcBorders>
              <w:top w:val="nil"/>
              <w:left w:val="nil"/>
              <w:bottom w:val="nil"/>
              <w:right w:val="nil"/>
            </w:tcBorders>
            <w:shd w:val="clear" w:color="auto" w:fill="auto"/>
            <w:noWrap/>
            <w:vAlign w:val="bottom"/>
            <w:hideMark/>
          </w:tcPr>
          <w:p w14:paraId="67B01080"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0.167</w:t>
            </w:r>
          </w:p>
        </w:tc>
        <w:tc>
          <w:tcPr>
            <w:tcW w:w="0" w:type="auto"/>
            <w:tcBorders>
              <w:top w:val="nil"/>
              <w:left w:val="nil"/>
              <w:bottom w:val="nil"/>
              <w:right w:val="nil"/>
            </w:tcBorders>
            <w:shd w:val="clear" w:color="auto" w:fill="auto"/>
            <w:noWrap/>
            <w:vAlign w:val="bottom"/>
            <w:hideMark/>
          </w:tcPr>
          <w:p w14:paraId="6875F4A9"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0.497</w:t>
            </w:r>
          </w:p>
        </w:tc>
        <w:tc>
          <w:tcPr>
            <w:tcW w:w="0" w:type="auto"/>
            <w:tcBorders>
              <w:top w:val="nil"/>
              <w:left w:val="nil"/>
              <w:bottom w:val="nil"/>
              <w:right w:val="nil"/>
            </w:tcBorders>
            <w:shd w:val="clear" w:color="auto" w:fill="auto"/>
            <w:noWrap/>
            <w:vAlign w:val="bottom"/>
            <w:hideMark/>
          </w:tcPr>
          <w:p w14:paraId="1037E265"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-0.012</w:t>
            </w:r>
          </w:p>
        </w:tc>
        <w:tc>
          <w:tcPr>
            <w:tcW w:w="0" w:type="auto"/>
            <w:tcBorders>
              <w:top w:val="nil"/>
              <w:left w:val="nil"/>
              <w:bottom w:val="nil"/>
              <w:right w:val="single" w:sz="4" w:space="0" w:color="auto"/>
            </w:tcBorders>
            <w:shd w:val="clear" w:color="auto" w:fill="auto"/>
            <w:noWrap/>
            <w:vAlign w:val="bottom"/>
            <w:hideMark/>
          </w:tcPr>
          <w:p w14:paraId="4AF4FEDA"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1.000</w:t>
            </w:r>
          </w:p>
        </w:tc>
      </w:tr>
      <w:tr w:rsidR="00ED02A4" w:rsidRPr="00AC0EE7" w14:paraId="66F04F8D" w14:textId="77777777" w:rsidTr="00367A87">
        <w:trPr>
          <w:trHeight w:val="288"/>
        </w:trPr>
        <w:tc>
          <w:tcPr>
            <w:tcW w:w="1139" w:type="dxa"/>
            <w:tcBorders>
              <w:top w:val="nil"/>
              <w:left w:val="single" w:sz="4" w:space="0" w:color="auto"/>
              <w:bottom w:val="nil"/>
              <w:right w:val="nil"/>
            </w:tcBorders>
            <w:shd w:val="clear" w:color="auto" w:fill="auto"/>
            <w:noWrap/>
            <w:vAlign w:val="bottom"/>
            <w:hideMark/>
          </w:tcPr>
          <w:p w14:paraId="7A72F034"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 </w:t>
            </w:r>
          </w:p>
        </w:tc>
        <w:tc>
          <w:tcPr>
            <w:tcW w:w="0" w:type="auto"/>
            <w:tcBorders>
              <w:top w:val="nil"/>
              <w:left w:val="nil"/>
              <w:bottom w:val="nil"/>
              <w:right w:val="nil"/>
            </w:tcBorders>
            <w:shd w:val="clear" w:color="auto" w:fill="auto"/>
            <w:noWrap/>
            <w:vAlign w:val="bottom"/>
            <w:hideMark/>
          </w:tcPr>
          <w:p w14:paraId="2675EC2F"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p>
        </w:tc>
        <w:tc>
          <w:tcPr>
            <w:tcW w:w="0" w:type="auto"/>
            <w:tcBorders>
              <w:top w:val="nil"/>
              <w:left w:val="nil"/>
              <w:bottom w:val="nil"/>
              <w:right w:val="nil"/>
            </w:tcBorders>
            <w:shd w:val="clear" w:color="auto" w:fill="auto"/>
            <w:noWrap/>
            <w:vAlign w:val="bottom"/>
            <w:hideMark/>
          </w:tcPr>
          <w:p w14:paraId="14F29321"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p>
        </w:tc>
        <w:tc>
          <w:tcPr>
            <w:tcW w:w="0" w:type="auto"/>
            <w:tcBorders>
              <w:top w:val="nil"/>
              <w:left w:val="nil"/>
              <w:bottom w:val="nil"/>
              <w:right w:val="nil"/>
            </w:tcBorders>
            <w:shd w:val="clear" w:color="auto" w:fill="auto"/>
            <w:noWrap/>
            <w:vAlign w:val="bottom"/>
            <w:hideMark/>
          </w:tcPr>
          <w:p w14:paraId="39031A7A"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p>
        </w:tc>
        <w:tc>
          <w:tcPr>
            <w:tcW w:w="0" w:type="auto"/>
            <w:tcBorders>
              <w:top w:val="nil"/>
              <w:left w:val="nil"/>
              <w:bottom w:val="nil"/>
              <w:right w:val="nil"/>
            </w:tcBorders>
            <w:shd w:val="clear" w:color="auto" w:fill="auto"/>
            <w:noWrap/>
            <w:vAlign w:val="bottom"/>
            <w:hideMark/>
          </w:tcPr>
          <w:p w14:paraId="471B8AB8"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p>
        </w:tc>
        <w:tc>
          <w:tcPr>
            <w:tcW w:w="0" w:type="auto"/>
            <w:tcBorders>
              <w:top w:val="nil"/>
              <w:left w:val="nil"/>
              <w:bottom w:val="nil"/>
              <w:right w:val="nil"/>
            </w:tcBorders>
            <w:shd w:val="clear" w:color="auto" w:fill="auto"/>
            <w:noWrap/>
            <w:vAlign w:val="bottom"/>
            <w:hideMark/>
          </w:tcPr>
          <w:p w14:paraId="06A58ADE"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p>
        </w:tc>
        <w:tc>
          <w:tcPr>
            <w:tcW w:w="0" w:type="auto"/>
            <w:tcBorders>
              <w:top w:val="nil"/>
              <w:left w:val="nil"/>
              <w:bottom w:val="nil"/>
              <w:right w:val="nil"/>
            </w:tcBorders>
            <w:shd w:val="clear" w:color="auto" w:fill="auto"/>
            <w:noWrap/>
            <w:vAlign w:val="bottom"/>
            <w:hideMark/>
          </w:tcPr>
          <w:p w14:paraId="17CD07D8"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p>
        </w:tc>
        <w:tc>
          <w:tcPr>
            <w:tcW w:w="0" w:type="auto"/>
            <w:tcBorders>
              <w:top w:val="nil"/>
              <w:left w:val="nil"/>
              <w:bottom w:val="nil"/>
              <w:right w:val="nil"/>
            </w:tcBorders>
            <w:shd w:val="clear" w:color="auto" w:fill="auto"/>
            <w:noWrap/>
            <w:vAlign w:val="bottom"/>
            <w:hideMark/>
          </w:tcPr>
          <w:p w14:paraId="2FB2AED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p>
        </w:tc>
        <w:tc>
          <w:tcPr>
            <w:tcW w:w="0" w:type="auto"/>
            <w:tcBorders>
              <w:top w:val="nil"/>
              <w:left w:val="nil"/>
              <w:bottom w:val="nil"/>
              <w:right w:val="nil"/>
            </w:tcBorders>
            <w:shd w:val="clear" w:color="auto" w:fill="auto"/>
            <w:noWrap/>
            <w:vAlign w:val="bottom"/>
            <w:hideMark/>
          </w:tcPr>
          <w:p w14:paraId="74EAC2AD"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p>
        </w:tc>
        <w:tc>
          <w:tcPr>
            <w:tcW w:w="0" w:type="auto"/>
            <w:tcBorders>
              <w:top w:val="nil"/>
              <w:left w:val="nil"/>
              <w:bottom w:val="nil"/>
              <w:right w:val="nil"/>
            </w:tcBorders>
            <w:shd w:val="clear" w:color="auto" w:fill="auto"/>
            <w:noWrap/>
            <w:vAlign w:val="bottom"/>
            <w:hideMark/>
          </w:tcPr>
          <w:p w14:paraId="6D3B4CBF"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p>
        </w:tc>
        <w:tc>
          <w:tcPr>
            <w:tcW w:w="0" w:type="auto"/>
            <w:tcBorders>
              <w:top w:val="nil"/>
              <w:left w:val="nil"/>
              <w:bottom w:val="nil"/>
              <w:right w:val="nil"/>
            </w:tcBorders>
            <w:shd w:val="clear" w:color="auto" w:fill="auto"/>
            <w:noWrap/>
            <w:vAlign w:val="bottom"/>
            <w:hideMark/>
          </w:tcPr>
          <w:p w14:paraId="16FC3CCA"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p>
        </w:tc>
        <w:tc>
          <w:tcPr>
            <w:tcW w:w="0" w:type="auto"/>
            <w:tcBorders>
              <w:top w:val="nil"/>
              <w:left w:val="nil"/>
              <w:bottom w:val="nil"/>
              <w:right w:val="single" w:sz="4" w:space="0" w:color="auto"/>
            </w:tcBorders>
            <w:shd w:val="clear" w:color="auto" w:fill="auto"/>
            <w:noWrap/>
            <w:vAlign w:val="bottom"/>
            <w:hideMark/>
          </w:tcPr>
          <w:p w14:paraId="65B4DF88"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p>
        </w:tc>
      </w:tr>
      <w:tr w:rsidR="00ED02A4" w:rsidRPr="00AC0EE7" w14:paraId="611CADF8" w14:textId="77777777" w:rsidTr="00367A87">
        <w:trPr>
          <w:trHeight w:val="288"/>
        </w:trPr>
        <w:tc>
          <w:tcPr>
            <w:tcW w:w="1139" w:type="dxa"/>
            <w:tcBorders>
              <w:top w:val="nil"/>
              <w:left w:val="single" w:sz="4" w:space="0" w:color="auto"/>
              <w:bottom w:val="nil"/>
              <w:right w:val="nil"/>
            </w:tcBorders>
            <w:shd w:val="clear" w:color="auto" w:fill="auto"/>
            <w:noWrap/>
            <w:vAlign w:val="bottom"/>
            <w:hideMark/>
          </w:tcPr>
          <w:p w14:paraId="2C28CAB0"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LIQUIDITY</w:t>
            </w:r>
          </w:p>
          <w:p w14:paraId="33F47C15"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EQUITY</w:t>
            </w:r>
          </w:p>
        </w:tc>
        <w:tc>
          <w:tcPr>
            <w:tcW w:w="0" w:type="auto"/>
            <w:tcBorders>
              <w:top w:val="nil"/>
              <w:left w:val="nil"/>
              <w:bottom w:val="nil"/>
              <w:right w:val="nil"/>
            </w:tcBorders>
            <w:shd w:val="clear" w:color="auto" w:fill="auto"/>
            <w:noWrap/>
            <w:vAlign w:val="bottom"/>
            <w:hideMark/>
          </w:tcPr>
          <w:p w14:paraId="454909A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-0.104</w:t>
            </w:r>
          </w:p>
        </w:tc>
        <w:tc>
          <w:tcPr>
            <w:tcW w:w="0" w:type="auto"/>
            <w:tcBorders>
              <w:top w:val="nil"/>
              <w:left w:val="nil"/>
              <w:bottom w:val="nil"/>
              <w:right w:val="nil"/>
            </w:tcBorders>
            <w:shd w:val="clear" w:color="auto" w:fill="auto"/>
            <w:noWrap/>
            <w:vAlign w:val="bottom"/>
            <w:hideMark/>
          </w:tcPr>
          <w:p w14:paraId="1E04CF5F"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-0.056</w:t>
            </w:r>
          </w:p>
        </w:tc>
        <w:tc>
          <w:tcPr>
            <w:tcW w:w="0" w:type="auto"/>
            <w:tcBorders>
              <w:top w:val="nil"/>
              <w:left w:val="nil"/>
              <w:bottom w:val="nil"/>
              <w:right w:val="nil"/>
            </w:tcBorders>
            <w:shd w:val="clear" w:color="auto" w:fill="auto"/>
            <w:noWrap/>
            <w:vAlign w:val="bottom"/>
            <w:hideMark/>
          </w:tcPr>
          <w:p w14:paraId="399438B8"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-0.035</w:t>
            </w:r>
          </w:p>
        </w:tc>
        <w:tc>
          <w:tcPr>
            <w:tcW w:w="0" w:type="auto"/>
            <w:tcBorders>
              <w:top w:val="nil"/>
              <w:left w:val="nil"/>
              <w:bottom w:val="nil"/>
              <w:right w:val="nil"/>
            </w:tcBorders>
            <w:shd w:val="clear" w:color="auto" w:fill="auto"/>
            <w:noWrap/>
            <w:vAlign w:val="bottom"/>
            <w:hideMark/>
          </w:tcPr>
          <w:p w14:paraId="0650B015"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0.014</w:t>
            </w:r>
          </w:p>
        </w:tc>
        <w:tc>
          <w:tcPr>
            <w:tcW w:w="0" w:type="auto"/>
            <w:tcBorders>
              <w:top w:val="nil"/>
              <w:left w:val="nil"/>
              <w:bottom w:val="nil"/>
              <w:right w:val="nil"/>
            </w:tcBorders>
            <w:shd w:val="clear" w:color="auto" w:fill="auto"/>
            <w:noWrap/>
            <w:vAlign w:val="bottom"/>
            <w:hideMark/>
          </w:tcPr>
          <w:p w14:paraId="607FC2CF"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-0.136</w:t>
            </w:r>
          </w:p>
        </w:tc>
        <w:tc>
          <w:tcPr>
            <w:tcW w:w="0" w:type="auto"/>
            <w:tcBorders>
              <w:top w:val="nil"/>
              <w:left w:val="nil"/>
              <w:bottom w:val="nil"/>
              <w:right w:val="nil"/>
            </w:tcBorders>
            <w:shd w:val="clear" w:color="auto" w:fill="auto"/>
            <w:noWrap/>
            <w:vAlign w:val="bottom"/>
            <w:hideMark/>
          </w:tcPr>
          <w:p w14:paraId="20616D59"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0.057</w:t>
            </w:r>
          </w:p>
        </w:tc>
        <w:tc>
          <w:tcPr>
            <w:tcW w:w="0" w:type="auto"/>
            <w:tcBorders>
              <w:top w:val="nil"/>
              <w:left w:val="nil"/>
              <w:bottom w:val="nil"/>
              <w:right w:val="nil"/>
            </w:tcBorders>
            <w:shd w:val="clear" w:color="auto" w:fill="auto"/>
            <w:noWrap/>
            <w:vAlign w:val="bottom"/>
            <w:hideMark/>
          </w:tcPr>
          <w:p w14:paraId="54ACA342"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-0.052</w:t>
            </w:r>
          </w:p>
        </w:tc>
        <w:tc>
          <w:tcPr>
            <w:tcW w:w="0" w:type="auto"/>
            <w:tcBorders>
              <w:top w:val="nil"/>
              <w:left w:val="nil"/>
              <w:bottom w:val="nil"/>
              <w:right w:val="nil"/>
            </w:tcBorders>
            <w:shd w:val="clear" w:color="auto" w:fill="auto"/>
            <w:noWrap/>
            <w:vAlign w:val="bottom"/>
            <w:hideMark/>
          </w:tcPr>
          <w:p w14:paraId="7DFFF017"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0.015</w:t>
            </w:r>
          </w:p>
        </w:tc>
        <w:tc>
          <w:tcPr>
            <w:tcW w:w="0" w:type="auto"/>
            <w:tcBorders>
              <w:top w:val="nil"/>
              <w:left w:val="nil"/>
              <w:bottom w:val="nil"/>
              <w:right w:val="nil"/>
            </w:tcBorders>
            <w:shd w:val="clear" w:color="auto" w:fill="auto"/>
            <w:noWrap/>
            <w:vAlign w:val="bottom"/>
            <w:hideMark/>
          </w:tcPr>
          <w:p w14:paraId="5EAAAFBE"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-0.072</w:t>
            </w:r>
          </w:p>
        </w:tc>
        <w:tc>
          <w:tcPr>
            <w:tcW w:w="0" w:type="auto"/>
            <w:tcBorders>
              <w:top w:val="nil"/>
              <w:left w:val="nil"/>
              <w:bottom w:val="nil"/>
              <w:right w:val="nil"/>
            </w:tcBorders>
            <w:shd w:val="clear" w:color="auto" w:fill="auto"/>
            <w:noWrap/>
            <w:vAlign w:val="bottom"/>
            <w:hideMark/>
          </w:tcPr>
          <w:p w14:paraId="552502EF"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-0.073</w:t>
            </w:r>
          </w:p>
        </w:tc>
        <w:tc>
          <w:tcPr>
            <w:tcW w:w="0" w:type="auto"/>
            <w:tcBorders>
              <w:top w:val="nil"/>
              <w:left w:val="nil"/>
              <w:bottom w:val="nil"/>
              <w:right w:val="single" w:sz="4" w:space="0" w:color="auto"/>
            </w:tcBorders>
            <w:shd w:val="clear" w:color="auto" w:fill="auto"/>
            <w:noWrap/>
            <w:vAlign w:val="bottom"/>
            <w:hideMark/>
          </w:tcPr>
          <w:p w14:paraId="07EE6EC8"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-0.146</w:t>
            </w:r>
          </w:p>
        </w:tc>
      </w:tr>
      <w:tr w:rsidR="00ED02A4" w:rsidRPr="00AC0EE7" w14:paraId="1B56EE77" w14:textId="77777777" w:rsidTr="00367A87">
        <w:trPr>
          <w:trHeight w:val="288"/>
        </w:trPr>
        <w:tc>
          <w:tcPr>
            <w:tcW w:w="1139" w:type="dxa"/>
            <w:tcBorders>
              <w:top w:val="nil"/>
              <w:left w:val="single" w:sz="4" w:space="0" w:color="auto"/>
              <w:bottom w:val="nil"/>
              <w:right w:val="nil"/>
            </w:tcBorders>
            <w:shd w:val="clear" w:color="auto" w:fill="auto"/>
            <w:noWrap/>
            <w:vAlign w:val="bottom"/>
            <w:hideMark/>
          </w:tcPr>
          <w:p w14:paraId="244AEF98"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 xml:space="preserve">LIQUIDITY </w:t>
            </w:r>
          </w:p>
          <w:p w14:paraId="69D64E4B"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BOND</w:t>
            </w:r>
          </w:p>
        </w:tc>
        <w:tc>
          <w:tcPr>
            <w:tcW w:w="0" w:type="auto"/>
            <w:tcBorders>
              <w:top w:val="nil"/>
              <w:left w:val="nil"/>
              <w:bottom w:val="nil"/>
              <w:right w:val="nil"/>
            </w:tcBorders>
            <w:shd w:val="clear" w:color="auto" w:fill="auto"/>
            <w:noWrap/>
            <w:vAlign w:val="bottom"/>
            <w:hideMark/>
          </w:tcPr>
          <w:p w14:paraId="5D86764D"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0.004</w:t>
            </w:r>
          </w:p>
        </w:tc>
        <w:tc>
          <w:tcPr>
            <w:tcW w:w="0" w:type="auto"/>
            <w:tcBorders>
              <w:top w:val="nil"/>
              <w:left w:val="nil"/>
              <w:bottom w:val="nil"/>
              <w:right w:val="nil"/>
            </w:tcBorders>
            <w:shd w:val="clear" w:color="auto" w:fill="auto"/>
            <w:noWrap/>
            <w:vAlign w:val="bottom"/>
            <w:hideMark/>
          </w:tcPr>
          <w:p w14:paraId="0A7546C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-0.068</w:t>
            </w:r>
          </w:p>
        </w:tc>
        <w:tc>
          <w:tcPr>
            <w:tcW w:w="0" w:type="auto"/>
            <w:tcBorders>
              <w:top w:val="nil"/>
              <w:left w:val="nil"/>
              <w:bottom w:val="nil"/>
              <w:right w:val="nil"/>
            </w:tcBorders>
            <w:shd w:val="clear" w:color="auto" w:fill="auto"/>
            <w:noWrap/>
            <w:vAlign w:val="bottom"/>
            <w:hideMark/>
          </w:tcPr>
          <w:p w14:paraId="502851B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-0.065</w:t>
            </w:r>
          </w:p>
        </w:tc>
        <w:tc>
          <w:tcPr>
            <w:tcW w:w="0" w:type="auto"/>
            <w:tcBorders>
              <w:top w:val="nil"/>
              <w:left w:val="nil"/>
              <w:bottom w:val="nil"/>
              <w:right w:val="nil"/>
            </w:tcBorders>
            <w:shd w:val="clear" w:color="auto" w:fill="auto"/>
            <w:noWrap/>
            <w:vAlign w:val="bottom"/>
            <w:hideMark/>
          </w:tcPr>
          <w:p w14:paraId="35D315F9"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0.108</w:t>
            </w:r>
          </w:p>
        </w:tc>
        <w:tc>
          <w:tcPr>
            <w:tcW w:w="0" w:type="auto"/>
            <w:tcBorders>
              <w:top w:val="nil"/>
              <w:left w:val="nil"/>
              <w:bottom w:val="nil"/>
              <w:right w:val="nil"/>
            </w:tcBorders>
            <w:shd w:val="clear" w:color="auto" w:fill="auto"/>
            <w:noWrap/>
            <w:vAlign w:val="bottom"/>
            <w:hideMark/>
          </w:tcPr>
          <w:p w14:paraId="7DFEB20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-0.145</w:t>
            </w:r>
          </w:p>
        </w:tc>
        <w:tc>
          <w:tcPr>
            <w:tcW w:w="0" w:type="auto"/>
            <w:tcBorders>
              <w:top w:val="nil"/>
              <w:left w:val="nil"/>
              <w:bottom w:val="nil"/>
              <w:right w:val="nil"/>
            </w:tcBorders>
            <w:shd w:val="clear" w:color="auto" w:fill="auto"/>
            <w:noWrap/>
            <w:vAlign w:val="bottom"/>
            <w:hideMark/>
          </w:tcPr>
          <w:p w14:paraId="2F013FDE"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0.114</w:t>
            </w:r>
          </w:p>
        </w:tc>
        <w:tc>
          <w:tcPr>
            <w:tcW w:w="0" w:type="auto"/>
            <w:tcBorders>
              <w:top w:val="nil"/>
              <w:left w:val="nil"/>
              <w:bottom w:val="nil"/>
              <w:right w:val="nil"/>
            </w:tcBorders>
            <w:shd w:val="clear" w:color="auto" w:fill="auto"/>
            <w:noWrap/>
            <w:vAlign w:val="bottom"/>
            <w:hideMark/>
          </w:tcPr>
          <w:p w14:paraId="5DFBE277"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-0.042</w:t>
            </w:r>
          </w:p>
        </w:tc>
        <w:tc>
          <w:tcPr>
            <w:tcW w:w="0" w:type="auto"/>
            <w:tcBorders>
              <w:top w:val="nil"/>
              <w:left w:val="nil"/>
              <w:bottom w:val="nil"/>
              <w:right w:val="nil"/>
            </w:tcBorders>
            <w:shd w:val="clear" w:color="auto" w:fill="auto"/>
            <w:noWrap/>
            <w:vAlign w:val="bottom"/>
            <w:hideMark/>
          </w:tcPr>
          <w:p w14:paraId="232BDFA0"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0.062</w:t>
            </w:r>
          </w:p>
        </w:tc>
        <w:tc>
          <w:tcPr>
            <w:tcW w:w="0" w:type="auto"/>
            <w:tcBorders>
              <w:top w:val="nil"/>
              <w:left w:val="nil"/>
              <w:bottom w:val="nil"/>
              <w:right w:val="nil"/>
            </w:tcBorders>
            <w:shd w:val="clear" w:color="auto" w:fill="auto"/>
            <w:noWrap/>
            <w:vAlign w:val="bottom"/>
            <w:hideMark/>
          </w:tcPr>
          <w:p w14:paraId="652EC248"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-0.009</w:t>
            </w:r>
          </w:p>
        </w:tc>
        <w:tc>
          <w:tcPr>
            <w:tcW w:w="0" w:type="auto"/>
            <w:tcBorders>
              <w:top w:val="nil"/>
              <w:left w:val="nil"/>
              <w:bottom w:val="nil"/>
              <w:right w:val="nil"/>
            </w:tcBorders>
            <w:shd w:val="clear" w:color="auto" w:fill="auto"/>
            <w:noWrap/>
            <w:vAlign w:val="bottom"/>
            <w:hideMark/>
          </w:tcPr>
          <w:p w14:paraId="4DE03719"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0.090</w:t>
            </w:r>
          </w:p>
        </w:tc>
        <w:tc>
          <w:tcPr>
            <w:tcW w:w="0" w:type="auto"/>
            <w:tcBorders>
              <w:top w:val="nil"/>
              <w:left w:val="nil"/>
              <w:bottom w:val="nil"/>
              <w:right w:val="single" w:sz="4" w:space="0" w:color="auto"/>
            </w:tcBorders>
            <w:shd w:val="clear" w:color="auto" w:fill="auto"/>
            <w:noWrap/>
            <w:vAlign w:val="bottom"/>
            <w:hideMark/>
          </w:tcPr>
          <w:p w14:paraId="2DAE85FC"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-0.201</w:t>
            </w:r>
          </w:p>
        </w:tc>
      </w:tr>
      <w:tr w:rsidR="00ED02A4" w:rsidRPr="00AC0EE7" w14:paraId="56414543" w14:textId="77777777" w:rsidTr="00367A87">
        <w:trPr>
          <w:trHeight w:val="288"/>
        </w:trPr>
        <w:tc>
          <w:tcPr>
            <w:tcW w:w="1139" w:type="dxa"/>
            <w:tcBorders>
              <w:top w:val="nil"/>
              <w:left w:val="single" w:sz="4" w:space="0" w:color="auto"/>
              <w:bottom w:val="single" w:sz="4" w:space="0" w:color="auto"/>
              <w:right w:val="nil"/>
            </w:tcBorders>
            <w:shd w:val="clear" w:color="auto" w:fill="auto"/>
            <w:noWrap/>
            <w:vAlign w:val="bottom"/>
            <w:hideMark/>
          </w:tcPr>
          <w:p w14:paraId="7106FD81"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 xml:space="preserve">LIQUIDITY </w:t>
            </w:r>
          </w:p>
          <w:p w14:paraId="3438397F" w14:textId="77777777" w:rsidR="00ED02A4" w:rsidRPr="00FA08DF" w:rsidRDefault="00ED02A4" w:rsidP="00367A87">
            <w:pPr>
              <w:spacing w:after="0" w:line="240" w:lineRule="auto"/>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REIT</w:t>
            </w:r>
          </w:p>
        </w:tc>
        <w:tc>
          <w:tcPr>
            <w:tcW w:w="0" w:type="auto"/>
            <w:tcBorders>
              <w:top w:val="nil"/>
              <w:left w:val="nil"/>
              <w:bottom w:val="single" w:sz="4" w:space="0" w:color="auto"/>
              <w:right w:val="nil"/>
            </w:tcBorders>
            <w:shd w:val="clear" w:color="auto" w:fill="auto"/>
            <w:noWrap/>
            <w:vAlign w:val="bottom"/>
            <w:hideMark/>
          </w:tcPr>
          <w:p w14:paraId="6C028BBC"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-0.106</w:t>
            </w:r>
          </w:p>
        </w:tc>
        <w:tc>
          <w:tcPr>
            <w:tcW w:w="0" w:type="auto"/>
            <w:tcBorders>
              <w:top w:val="nil"/>
              <w:left w:val="nil"/>
              <w:bottom w:val="single" w:sz="4" w:space="0" w:color="auto"/>
              <w:right w:val="nil"/>
            </w:tcBorders>
            <w:shd w:val="clear" w:color="auto" w:fill="auto"/>
            <w:noWrap/>
            <w:vAlign w:val="bottom"/>
            <w:hideMark/>
          </w:tcPr>
          <w:p w14:paraId="38B799E4"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-0.091</w:t>
            </w:r>
          </w:p>
        </w:tc>
        <w:tc>
          <w:tcPr>
            <w:tcW w:w="0" w:type="auto"/>
            <w:tcBorders>
              <w:top w:val="nil"/>
              <w:left w:val="nil"/>
              <w:bottom w:val="single" w:sz="4" w:space="0" w:color="auto"/>
              <w:right w:val="nil"/>
            </w:tcBorders>
            <w:shd w:val="clear" w:color="auto" w:fill="auto"/>
            <w:noWrap/>
            <w:vAlign w:val="bottom"/>
            <w:hideMark/>
          </w:tcPr>
          <w:p w14:paraId="76979D8F"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0.054</w:t>
            </w:r>
          </w:p>
        </w:tc>
        <w:tc>
          <w:tcPr>
            <w:tcW w:w="0" w:type="auto"/>
            <w:tcBorders>
              <w:top w:val="nil"/>
              <w:left w:val="nil"/>
              <w:bottom w:val="single" w:sz="4" w:space="0" w:color="auto"/>
              <w:right w:val="nil"/>
            </w:tcBorders>
            <w:shd w:val="clear" w:color="auto" w:fill="auto"/>
            <w:noWrap/>
            <w:vAlign w:val="bottom"/>
            <w:hideMark/>
          </w:tcPr>
          <w:p w14:paraId="31848012"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0.274</w:t>
            </w:r>
          </w:p>
        </w:tc>
        <w:tc>
          <w:tcPr>
            <w:tcW w:w="0" w:type="auto"/>
            <w:tcBorders>
              <w:top w:val="nil"/>
              <w:left w:val="nil"/>
              <w:bottom w:val="single" w:sz="4" w:space="0" w:color="auto"/>
              <w:right w:val="nil"/>
            </w:tcBorders>
            <w:shd w:val="clear" w:color="auto" w:fill="auto"/>
            <w:noWrap/>
            <w:vAlign w:val="bottom"/>
            <w:hideMark/>
          </w:tcPr>
          <w:p w14:paraId="4331F57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-0.414</w:t>
            </w:r>
          </w:p>
        </w:tc>
        <w:tc>
          <w:tcPr>
            <w:tcW w:w="0" w:type="auto"/>
            <w:tcBorders>
              <w:top w:val="nil"/>
              <w:left w:val="nil"/>
              <w:bottom w:val="single" w:sz="4" w:space="0" w:color="auto"/>
              <w:right w:val="nil"/>
            </w:tcBorders>
            <w:shd w:val="clear" w:color="auto" w:fill="auto"/>
            <w:noWrap/>
            <w:vAlign w:val="bottom"/>
            <w:hideMark/>
          </w:tcPr>
          <w:p w14:paraId="6EA21E7B"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0.061</w:t>
            </w:r>
          </w:p>
        </w:tc>
        <w:tc>
          <w:tcPr>
            <w:tcW w:w="0" w:type="auto"/>
            <w:tcBorders>
              <w:top w:val="nil"/>
              <w:left w:val="nil"/>
              <w:bottom w:val="single" w:sz="4" w:space="0" w:color="auto"/>
              <w:right w:val="nil"/>
            </w:tcBorders>
            <w:shd w:val="clear" w:color="auto" w:fill="auto"/>
            <w:noWrap/>
            <w:vAlign w:val="bottom"/>
            <w:hideMark/>
          </w:tcPr>
          <w:p w14:paraId="5C784F7D"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-0.180</w:t>
            </w:r>
          </w:p>
        </w:tc>
        <w:tc>
          <w:tcPr>
            <w:tcW w:w="0" w:type="auto"/>
            <w:tcBorders>
              <w:top w:val="nil"/>
              <w:left w:val="nil"/>
              <w:bottom w:val="single" w:sz="4" w:space="0" w:color="auto"/>
              <w:right w:val="nil"/>
            </w:tcBorders>
            <w:shd w:val="clear" w:color="auto" w:fill="auto"/>
            <w:noWrap/>
            <w:vAlign w:val="bottom"/>
            <w:hideMark/>
          </w:tcPr>
          <w:p w14:paraId="0E8E6387"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-0.148</w:t>
            </w:r>
          </w:p>
        </w:tc>
        <w:tc>
          <w:tcPr>
            <w:tcW w:w="0" w:type="auto"/>
            <w:tcBorders>
              <w:top w:val="nil"/>
              <w:left w:val="nil"/>
              <w:bottom w:val="single" w:sz="4" w:space="0" w:color="auto"/>
              <w:right w:val="nil"/>
            </w:tcBorders>
            <w:shd w:val="clear" w:color="auto" w:fill="auto"/>
            <w:noWrap/>
            <w:vAlign w:val="bottom"/>
            <w:hideMark/>
          </w:tcPr>
          <w:p w14:paraId="078CE1DA"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-0.321</w:t>
            </w:r>
          </w:p>
        </w:tc>
        <w:tc>
          <w:tcPr>
            <w:tcW w:w="0" w:type="auto"/>
            <w:tcBorders>
              <w:top w:val="nil"/>
              <w:left w:val="nil"/>
              <w:bottom w:val="single" w:sz="4" w:space="0" w:color="auto"/>
              <w:right w:val="nil"/>
            </w:tcBorders>
            <w:shd w:val="clear" w:color="auto" w:fill="auto"/>
            <w:noWrap/>
            <w:vAlign w:val="bottom"/>
            <w:hideMark/>
          </w:tcPr>
          <w:p w14:paraId="42C11753"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-0.424</w:t>
            </w:r>
          </w:p>
        </w:tc>
        <w:tc>
          <w:tcPr>
            <w:tcW w:w="0" w:type="auto"/>
            <w:tcBorders>
              <w:top w:val="nil"/>
              <w:left w:val="nil"/>
              <w:bottom w:val="single" w:sz="4" w:space="0" w:color="auto"/>
              <w:right w:val="single" w:sz="4" w:space="0" w:color="auto"/>
            </w:tcBorders>
            <w:shd w:val="clear" w:color="auto" w:fill="auto"/>
            <w:noWrap/>
            <w:vAlign w:val="bottom"/>
            <w:hideMark/>
          </w:tcPr>
          <w:p w14:paraId="04A8AEA9" w14:textId="77777777" w:rsidR="00ED02A4" w:rsidRPr="00FA08DF" w:rsidRDefault="00ED02A4" w:rsidP="00367A87">
            <w:pPr>
              <w:spacing w:after="0" w:line="240" w:lineRule="auto"/>
              <w:jc w:val="center"/>
              <w:rPr>
                <w:rFonts w:ascii="Calibri" w:eastAsia="Times New Roman" w:hAnsi="Calibri" w:cs="Calibri"/>
                <w:color w:val="000000"/>
                <w:sz w:val="18"/>
                <w:szCs w:val="18"/>
                <w:lang w:eastAsia="en-IE"/>
              </w:rPr>
            </w:pPr>
            <w:r w:rsidRPr="00FA08DF">
              <w:rPr>
                <w:rFonts w:ascii="Calibri" w:eastAsia="Times New Roman" w:hAnsi="Calibri" w:cs="Calibri"/>
                <w:color w:val="000000"/>
                <w:sz w:val="18"/>
                <w:szCs w:val="18"/>
                <w:lang w:eastAsia="en-IE"/>
              </w:rPr>
              <w:t>-0.512</w:t>
            </w:r>
          </w:p>
        </w:tc>
      </w:tr>
    </w:tbl>
    <w:p w14:paraId="210AFA34" w14:textId="77777777" w:rsidR="00ED02A4" w:rsidRDefault="00ED02A4" w:rsidP="00ED02A4">
      <w:pPr>
        <w:jc w:val="both"/>
        <w:rPr>
          <w:rFonts w:eastAsia="Times New Roman" w:cs="Times New Roman"/>
          <w:color w:val="000000"/>
          <w:lang w:eastAsia="en-IE"/>
        </w:rPr>
      </w:pPr>
    </w:p>
    <w:p w14:paraId="3D2D4EB8" w14:textId="77777777" w:rsidR="00ED02A4" w:rsidRDefault="00ED02A4" w:rsidP="00380104">
      <w:pPr>
        <w:spacing w:line="240" w:lineRule="auto"/>
        <w:jc w:val="both"/>
        <w:rPr>
          <w:rFonts w:eastAsia="Times New Roman" w:cs="Times New Roman"/>
          <w:color w:val="000000"/>
          <w:lang w:eastAsia="en-IE"/>
        </w:rPr>
      </w:pPr>
      <w:r w:rsidRPr="00D14720">
        <w:rPr>
          <w:rFonts w:eastAsia="Times New Roman" w:cs="Times New Roman"/>
          <w:color w:val="000000"/>
          <w:lang w:eastAsia="en-IE"/>
        </w:rPr>
        <w:t xml:space="preserve">Notes: The table presents the correlations between the independent variables considered for the panel regressions. </w:t>
      </w:r>
      <w:r>
        <w:rPr>
          <w:rFonts w:eastAsia="Times New Roman" w:cs="Times New Roman"/>
          <w:color w:val="000000"/>
          <w:lang w:eastAsia="en-IE"/>
        </w:rPr>
        <w:t>D</w:t>
      </w:r>
      <w:r w:rsidRPr="006A4D13">
        <w:rPr>
          <w:rFonts w:eastAsia="Times New Roman" w:cs="Times New Roman"/>
          <w:color w:val="000000"/>
          <w:lang w:eastAsia="en-IE"/>
        </w:rPr>
        <w:t>efin</w:t>
      </w:r>
      <w:r>
        <w:rPr>
          <w:rFonts w:eastAsia="Times New Roman" w:cs="Times New Roman"/>
          <w:color w:val="000000"/>
          <w:lang w:eastAsia="en-IE"/>
        </w:rPr>
        <w:t xml:space="preserve">itions of the </w:t>
      </w:r>
      <w:r w:rsidRPr="006A4D13">
        <w:rPr>
          <w:rFonts w:eastAsia="Times New Roman" w:cs="Times New Roman"/>
          <w:color w:val="000000"/>
          <w:lang w:eastAsia="en-IE"/>
        </w:rPr>
        <w:t>independent variables considered for the regressions and their data sources</w:t>
      </w:r>
      <w:r>
        <w:rPr>
          <w:rFonts w:eastAsia="Times New Roman" w:cs="Times New Roman"/>
          <w:color w:val="000000"/>
          <w:lang w:eastAsia="en-IE"/>
        </w:rPr>
        <w:t xml:space="preserve"> are given in Table 5</w:t>
      </w:r>
      <w:r w:rsidRPr="006A4D13">
        <w:rPr>
          <w:rFonts w:eastAsia="Times New Roman" w:cs="Times New Roman"/>
          <w:color w:val="000000"/>
          <w:lang w:eastAsia="en-IE"/>
        </w:rPr>
        <w:t xml:space="preserve">.  </w:t>
      </w:r>
    </w:p>
    <w:p w14:paraId="0E31BAAB" w14:textId="77777777" w:rsidR="00ED02A4" w:rsidRDefault="00ED02A4" w:rsidP="00ED02A4">
      <w:pPr>
        <w:rPr>
          <w:rFonts w:eastAsia="Times New Roman" w:cs="Times New Roman"/>
          <w:color w:val="000000"/>
          <w:lang w:eastAsia="en-IE"/>
        </w:rPr>
      </w:pPr>
    </w:p>
    <w:p w14:paraId="24D2F316" w14:textId="77777777" w:rsidR="00ED02A4" w:rsidRDefault="00ED02A4" w:rsidP="00ED02A4">
      <w:pPr>
        <w:rPr>
          <w:rFonts w:ascii="Calibri" w:eastAsia="Times New Roman" w:hAnsi="Calibri" w:cs="Times New Roman"/>
          <w:b/>
          <w:bCs/>
          <w:color w:val="000000"/>
          <w:sz w:val="24"/>
          <w:szCs w:val="24"/>
          <w:lang w:eastAsia="en-IE"/>
        </w:rPr>
      </w:pPr>
      <w:r>
        <w:rPr>
          <w:rFonts w:ascii="Calibri" w:eastAsia="Times New Roman" w:hAnsi="Calibri" w:cs="Times New Roman"/>
          <w:b/>
          <w:bCs/>
          <w:color w:val="000000"/>
          <w:sz w:val="24"/>
          <w:szCs w:val="24"/>
          <w:lang w:eastAsia="en-IE"/>
        </w:rPr>
        <w:br w:type="page"/>
      </w:r>
    </w:p>
    <w:p w14:paraId="7A92BD08" w14:textId="77777777" w:rsidR="001C6945" w:rsidRDefault="001C6945" w:rsidP="001C6945">
      <w:pPr>
        <w:jc w:val="center"/>
        <w:rPr>
          <w:rFonts w:ascii="Calibri" w:eastAsia="Times New Roman" w:hAnsi="Calibri" w:cs="Times New Roman"/>
          <w:b/>
          <w:bCs/>
          <w:color w:val="000000"/>
          <w:sz w:val="24"/>
          <w:szCs w:val="24"/>
          <w:lang w:eastAsia="en-IE"/>
        </w:rPr>
      </w:pPr>
      <w:r>
        <w:rPr>
          <w:rFonts w:ascii="Calibri" w:eastAsia="Times New Roman" w:hAnsi="Calibri" w:cs="Times New Roman"/>
          <w:b/>
          <w:bCs/>
          <w:color w:val="000000"/>
          <w:sz w:val="24"/>
          <w:szCs w:val="24"/>
          <w:lang w:eastAsia="en-IE"/>
        </w:rPr>
        <w:lastRenderedPageBreak/>
        <w:t>Table 7</w:t>
      </w:r>
    </w:p>
    <w:p w14:paraId="6A6AD331" w14:textId="77777777" w:rsidR="001C6945" w:rsidRDefault="001C6945" w:rsidP="001C6945">
      <w:pPr>
        <w:jc w:val="center"/>
        <w:rPr>
          <w:rFonts w:ascii="Calibri" w:eastAsia="Times New Roman" w:hAnsi="Calibri" w:cs="Times New Roman"/>
          <w:b/>
          <w:bCs/>
          <w:color w:val="000000"/>
          <w:lang w:eastAsia="en-IE"/>
        </w:rPr>
      </w:pPr>
      <w:r>
        <w:rPr>
          <w:rFonts w:ascii="Calibri" w:eastAsia="Times New Roman" w:hAnsi="Calibri" w:cs="Times New Roman"/>
          <w:b/>
          <w:bCs/>
          <w:color w:val="000000"/>
          <w:lang w:eastAsia="en-IE"/>
        </w:rPr>
        <w:t xml:space="preserve">Global </w:t>
      </w:r>
      <w:r w:rsidRPr="00CC43D5">
        <w:rPr>
          <w:rFonts w:ascii="Calibri" w:eastAsia="Times New Roman" w:hAnsi="Calibri" w:cs="Times New Roman"/>
          <w:b/>
          <w:bCs/>
          <w:color w:val="000000"/>
          <w:lang w:eastAsia="en-IE"/>
        </w:rPr>
        <w:t>Regression Analysis of Diversification Indexes</w:t>
      </w:r>
    </w:p>
    <w:tbl>
      <w:tblPr>
        <w:tblW w:w="8775" w:type="dxa"/>
        <w:tblInd w:w="103" w:type="dxa"/>
        <w:tblLook w:val="04A0" w:firstRow="1" w:lastRow="0" w:firstColumn="1" w:lastColumn="0" w:noHBand="0" w:noVBand="1"/>
      </w:tblPr>
      <w:tblGrid>
        <w:gridCol w:w="1105"/>
        <w:gridCol w:w="103"/>
        <w:gridCol w:w="933"/>
        <w:gridCol w:w="75"/>
        <w:gridCol w:w="1241"/>
        <w:gridCol w:w="75"/>
        <w:gridCol w:w="1102"/>
        <w:gridCol w:w="75"/>
        <w:gridCol w:w="1017"/>
        <w:gridCol w:w="75"/>
        <w:gridCol w:w="963"/>
        <w:gridCol w:w="75"/>
        <w:gridCol w:w="961"/>
        <w:gridCol w:w="7"/>
        <w:gridCol w:w="968"/>
      </w:tblGrid>
      <w:tr w:rsidR="001C6945" w:rsidRPr="007256AA" w14:paraId="56FFF499" w14:textId="77777777" w:rsidTr="007272ED">
        <w:trPr>
          <w:trHeight w:val="288"/>
        </w:trPr>
        <w:tc>
          <w:tcPr>
            <w:tcW w:w="1208" w:type="dxa"/>
            <w:gridSpan w:val="2"/>
            <w:tcBorders>
              <w:top w:val="single" w:sz="4" w:space="0" w:color="auto"/>
              <w:left w:val="single" w:sz="4" w:space="0" w:color="auto"/>
              <w:bottom w:val="nil"/>
              <w:right w:val="nil"/>
            </w:tcBorders>
            <w:shd w:val="clear" w:color="auto" w:fill="auto"/>
            <w:noWrap/>
            <w:vAlign w:val="bottom"/>
            <w:hideMark/>
          </w:tcPr>
          <w:p w14:paraId="1F34DF3C"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c>
          <w:tcPr>
            <w:tcW w:w="1008" w:type="dxa"/>
            <w:gridSpan w:val="2"/>
            <w:tcBorders>
              <w:top w:val="single" w:sz="4" w:space="0" w:color="auto"/>
              <w:left w:val="nil"/>
              <w:bottom w:val="nil"/>
              <w:right w:val="nil"/>
            </w:tcBorders>
            <w:shd w:val="clear" w:color="auto" w:fill="auto"/>
            <w:noWrap/>
            <w:vAlign w:val="bottom"/>
            <w:hideMark/>
          </w:tcPr>
          <w:p w14:paraId="4A64D1DE" w14:textId="77777777" w:rsidR="001C6945" w:rsidRPr="007256AA" w:rsidRDefault="001C6945" w:rsidP="007272ED">
            <w:pPr>
              <w:spacing w:after="0" w:line="240" w:lineRule="auto"/>
              <w:jc w:val="both"/>
              <w:rPr>
                <w:rFonts w:ascii="Calibri" w:eastAsia="Times New Roman" w:hAnsi="Calibri" w:cs="Calibri"/>
                <w:color w:val="000000"/>
                <w:lang w:eastAsia="en-IE"/>
              </w:rPr>
            </w:pPr>
            <w:r w:rsidRPr="007256AA">
              <w:rPr>
                <w:rFonts w:ascii="Calibri" w:eastAsia="Times New Roman" w:hAnsi="Calibri" w:cs="Calibri"/>
                <w:color w:val="000000"/>
                <w:lang w:eastAsia="en-IE"/>
              </w:rPr>
              <w:t>All Assets</w:t>
            </w:r>
          </w:p>
        </w:tc>
        <w:tc>
          <w:tcPr>
            <w:tcW w:w="4623" w:type="dxa"/>
            <w:gridSpan w:val="8"/>
            <w:tcBorders>
              <w:top w:val="single" w:sz="4" w:space="0" w:color="auto"/>
              <w:left w:val="nil"/>
              <w:bottom w:val="nil"/>
              <w:right w:val="nil"/>
            </w:tcBorders>
            <w:shd w:val="clear" w:color="auto" w:fill="auto"/>
            <w:noWrap/>
            <w:vAlign w:val="bottom"/>
            <w:hideMark/>
          </w:tcPr>
          <w:p w14:paraId="18D42005" w14:textId="77777777" w:rsidR="001C6945" w:rsidRPr="007256AA" w:rsidRDefault="001C6945" w:rsidP="007272ED">
            <w:pPr>
              <w:spacing w:after="0" w:line="240" w:lineRule="auto"/>
              <w:jc w:val="center"/>
              <w:rPr>
                <w:rFonts w:ascii="Calibri" w:eastAsia="Times New Roman" w:hAnsi="Calibri" w:cs="Calibri"/>
                <w:color w:val="000000"/>
                <w:lang w:eastAsia="en-IE"/>
              </w:rPr>
            </w:pPr>
            <w:r w:rsidRPr="007256AA">
              <w:rPr>
                <w:rFonts w:ascii="Calibri" w:eastAsia="Times New Roman" w:hAnsi="Calibri" w:cs="Calibri"/>
                <w:color w:val="000000"/>
                <w:lang w:eastAsia="en-IE"/>
              </w:rPr>
              <w:t>Equity</w:t>
            </w:r>
          </w:p>
        </w:tc>
        <w:tc>
          <w:tcPr>
            <w:tcW w:w="968" w:type="dxa"/>
            <w:gridSpan w:val="2"/>
            <w:tcBorders>
              <w:top w:val="single" w:sz="4" w:space="0" w:color="auto"/>
              <w:left w:val="nil"/>
              <w:bottom w:val="nil"/>
              <w:right w:val="nil"/>
            </w:tcBorders>
            <w:shd w:val="clear" w:color="auto" w:fill="auto"/>
            <w:noWrap/>
            <w:vAlign w:val="bottom"/>
            <w:hideMark/>
          </w:tcPr>
          <w:p w14:paraId="1CDD28A6"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Bond</w:t>
            </w:r>
          </w:p>
        </w:tc>
        <w:tc>
          <w:tcPr>
            <w:tcW w:w="968" w:type="dxa"/>
            <w:tcBorders>
              <w:top w:val="single" w:sz="4" w:space="0" w:color="auto"/>
              <w:left w:val="nil"/>
              <w:bottom w:val="nil"/>
              <w:right w:val="single" w:sz="4" w:space="0" w:color="auto"/>
            </w:tcBorders>
            <w:shd w:val="clear" w:color="auto" w:fill="auto"/>
            <w:noWrap/>
            <w:vAlign w:val="bottom"/>
            <w:hideMark/>
          </w:tcPr>
          <w:p w14:paraId="6B6D310F"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REIT</w:t>
            </w:r>
          </w:p>
        </w:tc>
      </w:tr>
      <w:tr w:rsidR="001C6945" w:rsidRPr="007256AA" w14:paraId="257F617D"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34577E01"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c>
          <w:tcPr>
            <w:tcW w:w="1008" w:type="dxa"/>
            <w:gridSpan w:val="2"/>
            <w:tcBorders>
              <w:top w:val="nil"/>
              <w:left w:val="nil"/>
              <w:bottom w:val="nil"/>
              <w:right w:val="nil"/>
            </w:tcBorders>
            <w:shd w:val="clear" w:color="auto" w:fill="auto"/>
            <w:noWrap/>
            <w:vAlign w:val="bottom"/>
            <w:hideMark/>
          </w:tcPr>
          <w:p w14:paraId="1B89BFD6" w14:textId="77777777" w:rsidR="001C6945" w:rsidRPr="007256AA" w:rsidRDefault="001C6945" w:rsidP="007272ED">
            <w:pPr>
              <w:spacing w:after="0" w:line="240" w:lineRule="auto"/>
              <w:jc w:val="both"/>
              <w:rPr>
                <w:rFonts w:ascii="Calibri" w:eastAsia="Times New Roman" w:hAnsi="Calibri" w:cs="Calibri"/>
                <w:color w:val="000000"/>
                <w:lang w:eastAsia="en-IE"/>
              </w:rPr>
            </w:pPr>
          </w:p>
        </w:tc>
        <w:tc>
          <w:tcPr>
            <w:tcW w:w="1316" w:type="dxa"/>
            <w:gridSpan w:val="2"/>
            <w:tcBorders>
              <w:top w:val="nil"/>
              <w:left w:val="nil"/>
              <w:bottom w:val="nil"/>
              <w:right w:val="nil"/>
            </w:tcBorders>
            <w:shd w:val="clear" w:color="auto" w:fill="auto"/>
            <w:noWrap/>
            <w:vAlign w:val="bottom"/>
            <w:hideMark/>
          </w:tcPr>
          <w:p w14:paraId="0E91358F" w14:textId="77777777" w:rsidR="001C6945" w:rsidRPr="007256AA" w:rsidRDefault="001C6945" w:rsidP="007272ED">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All</w:t>
            </w:r>
          </w:p>
        </w:tc>
        <w:tc>
          <w:tcPr>
            <w:tcW w:w="1177" w:type="dxa"/>
            <w:gridSpan w:val="2"/>
            <w:tcBorders>
              <w:top w:val="nil"/>
              <w:left w:val="nil"/>
              <w:bottom w:val="nil"/>
              <w:right w:val="nil"/>
            </w:tcBorders>
            <w:shd w:val="clear" w:color="auto" w:fill="auto"/>
            <w:noWrap/>
            <w:vAlign w:val="bottom"/>
            <w:hideMark/>
          </w:tcPr>
          <w:p w14:paraId="73C066FE"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Developed</w:t>
            </w:r>
          </w:p>
        </w:tc>
        <w:tc>
          <w:tcPr>
            <w:tcW w:w="1092" w:type="dxa"/>
            <w:gridSpan w:val="2"/>
            <w:tcBorders>
              <w:top w:val="nil"/>
              <w:left w:val="nil"/>
              <w:bottom w:val="nil"/>
              <w:right w:val="nil"/>
            </w:tcBorders>
            <w:shd w:val="clear" w:color="auto" w:fill="auto"/>
            <w:noWrap/>
            <w:vAlign w:val="bottom"/>
            <w:hideMark/>
          </w:tcPr>
          <w:p w14:paraId="373C1962"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Emerging</w:t>
            </w:r>
          </w:p>
        </w:tc>
        <w:tc>
          <w:tcPr>
            <w:tcW w:w="1038" w:type="dxa"/>
            <w:gridSpan w:val="2"/>
            <w:tcBorders>
              <w:top w:val="nil"/>
              <w:left w:val="nil"/>
              <w:bottom w:val="nil"/>
              <w:right w:val="nil"/>
            </w:tcBorders>
            <w:shd w:val="clear" w:color="auto" w:fill="auto"/>
            <w:noWrap/>
            <w:vAlign w:val="bottom"/>
            <w:hideMark/>
          </w:tcPr>
          <w:p w14:paraId="17A688DD"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Frontier</w:t>
            </w:r>
          </w:p>
        </w:tc>
        <w:tc>
          <w:tcPr>
            <w:tcW w:w="968" w:type="dxa"/>
            <w:gridSpan w:val="2"/>
            <w:tcBorders>
              <w:top w:val="nil"/>
              <w:left w:val="nil"/>
              <w:bottom w:val="nil"/>
              <w:right w:val="nil"/>
            </w:tcBorders>
            <w:shd w:val="clear" w:color="auto" w:fill="auto"/>
            <w:noWrap/>
            <w:vAlign w:val="bottom"/>
            <w:hideMark/>
          </w:tcPr>
          <w:p w14:paraId="6ADD4BF7" w14:textId="77777777" w:rsidR="001C6945" w:rsidRPr="007256AA" w:rsidRDefault="001C6945" w:rsidP="007272ED">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All</w:t>
            </w:r>
          </w:p>
        </w:tc>
        <w:tc>
          <w:tcPr>
            <w:tcW w:w="968" w:type="dxa"/>
            <w:tcBorders>
              <w:top w:val="nil"/>
              <w:left w:val="nil"/>
              <w:bottom w:val="nil"/>
              <w:right w:val="single" w:sz="4" w:space="0" w:color="auto"/>
            </w:tcBorders>
            <w:shd w:val="clear" w:color="auto" w:fill="auto"/>
            <w:noWrap/>
            <w:vAlign w:val="bottom"/>
            <w:hideMark/>
          </w:tcPr>
          <w:p w14:paraId="46B84016"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r>
              <w:rPr>
                <w:rFonts w:ascii="Calibri" w:eastAsia="Times New Roman" w:hAnsi="Calibri" w:cs="Calibri"/>
                <w:color w:val="000000"/>
                <w:lang w:eastAsia="en-IE"/>
              </w:rPr>
              <w:t>All</w:t>
            </w:r>
          </w:p>
        </w:tc>
      </w:tr>
      <w:tr w:rsidR="001C6945" w:rsidRPr="007256AA" w14:paraId="3FB0B7EB"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22CBB58E"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Intercept</w:t>
            </w:r>
          </w:p>
        </w:tc>
        <w:tc>
          <w:tcPr>
            <w:tcW w:w="1008" w:type="dxa"/>
            <w:gridSpan w:val="2"/>
            <w:tcBorders>
              <w:top w:val="nil"/>
              <w:left w:val="nil"/>
              <w:bottom w:val="nil"/>
              <w:right w:val="nil"/>
            </w:tcBorders>
            <w:shd w:val="clear" w:color="auto" w:fill="auto"/>
            <w:noWrap/>
            <w:vAlign w:val="bottom"/>
            <w:hideMark/>
          </w:tcPr>
          <w:p w14:paraId="7C00C473" w14:textId="77777777" w:rsidR="001C6945" w:rsidRPr="007256AA" w:rsidRDefault="001C6945" w:rsidP="007272ED">
            <w:pPr>
              <w:spacing w:after="0" w:line="240" w:lineRule="auto"/>
              <w:jc w:val="both"/>
              <w:rPr>
                <w:rFonts w:ascii="Calibri" w:eastAsia="Times New Roman" w:hAnsi="Calibri" w:cs="Calibri"/>
                <w:color w:val="000000"/>
                <w:lang w:eastAsia="en-IE"/>
              </w:rPr>
            </w:pPr>
            <w:r w:rsidRPr="007256AA">
              <w:rPr>
                <w:rFonts w:ascii="Calibri" w:eastAsia="Times New Roman" w:hAnsi="Calibri" w:cs="Calibri"/>
                <w:color w:val="000000"/>
                <w:lang w:eastAsia="en-IE"/>
              </w:rPr>
              <w:t>95.718</w:t>
            </w:r>
          </w:p>
        </w:tc>
        <w:tc>
          <w:tcPr>
            <w:tcW w:w="1316" w:type="dxa"/>
            <w:gridSpan w:val="2"/>
            <w:tcBorders>
              <w:top w:val="nil"/>
              <w:left w:val="nil"/>
              <w:bottom w:val="nil"/>
              <w:right w:val="nil"/>
            </w:tcBorders>
            <w:shd w:val="clear" w:color="auto" w:fill="auto"/>
            <w:noWrap/>
            <w:vAlign w:val="bottom"/>
            <w:hideMark/>
          </w:tcPr>
          <w:p w14:paraId="447D7500"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100.221</w:t>
            </w:r>
          </w:p>
        </w:tc>
        <w:tc>
          <w:tcPr>
            <w:tcW w:w="1177" w:type="dxa"/>
            <w:gridSpan w:val="2"/>
            <w:tcBorders>
              <w:top w:val="nil"/>
              <w:left w:val="nil"/>
              <w:bottom w:val="nil"/>
              <w:right w:val="nil"/>
            </w:tcBorders>
            <w:shd w:val="clear" w:color="auto" w:fill="auto"/>
            <w:noWrap/>
            <w:vAlign w:val="bottom"/>
            <w:hideMark/>
          </w:tcPr>
          <w:p w14:paraId="1BFE5958"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103.151</w:t>
            </w:r>
          </w:p>
        </w:tc>
        <w:tc>
          <w:tcPr>
            <w:tcW w:w="1092" w:type="dxa"/>
            <w:gridSpan w:val="2"/>
            <w:tcBorders>
              <w:top w:val="nil"/>
              <w:left w:val="nil"/>
              <w:bottom w:val="nil"/>
              <w:right w:val="nil"/>
            </w:tcBorders>
            <w:shd w:val="clear" w:color="auto" w:fill="auto"/>
            <w:noWrap/>
            <w:vAlign w:val="bottom"/>
            <w:hideMark/>
          </w:tcPr>
          <w:p w14:paraId="07B63E5E"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102.441</w:t>
            </w:r>
          </w:p>
        </w:tc>
        <w:tc>
          <w:tcPr>
            <w:tcW w:w="1038" w:type="dxa"/>
            <w:gridSpan w:val="2"/>
            <w:tcBorders>
              <w:top w:val="nil"/>
              <w:left w:val="nil"/>
              <w:bottom w:val="nil"/>
              <w:right w:val="nil"/>
            </w:tcBorders>
            <w:shd w:val="clear" w:color="auto" w:fill="auto"/>
            <w:noWrap/>
            <w:vAlign w:val="bottom"/>
            <w:hideMark/>
          </w:tcPr>
          <w:p w14:paraId="758354DE"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96.413</w:t>
            </w:r>
          </w:p>
        </w:tc>
        <w:tc>
          <w:tcPr>
            <w:tcW w:w="968" w:type="dxa"/>
            <w:gridSpan w:val="2"/>
            <w:tcBorders>
              <w:top w:val="nil"/>
              <w:left w:val="nil"/>
              <w:bottom w:val="nil"/>
              <w:right w:val="nil"/>
            </w:tcBorders>
            <w:shd w:val="clear" w:color="auto" w:fill="auto"/>
            <w:noWrap/>
            <w:vAlign w:val="bottom"/>
            <w:hideMark/>
          </w:tcPr>
          <w:p w14:paraId="4A5BB5BE"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80.221</w:t>
            </w:r>
          </w:p>
        </w:tc>
        <w:tc>
          <w:tcPr>
            <w:tcW w:w="968" w:type="dxa"/>
            <w:tcBorders>
              <w:top w:val="nil"/>
              <w:left w:val="nil"/>
              <w:bottom w:val="nil"/>
              <w:right w:val="single" w:sz="4" w:space="0" w:color="auto"/>
            </w:tcBorders>
            <w:shd w:val="clear" w:color="auto" w:fill="auto"/>
            <w:noWrap/>
            <w:vAlign w:val="bottom"/>
            <w:hideMark/>
          </w:tcPr>
          <w:p w14:paraId="3B5825D9"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97.565</w:t>
            </w:r>
          </w:p>
        </w:tc>
      </w:tr>
      <w:tr w:rsidR="001C6945" w:rsidRPr="007256AA" w14:paraId="5845F928"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798C9426"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211C7795"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316" w:type="dxa"/>
            <w:gridSpan w:val="2"/>
            <w:tcBorders>
              <w:top w:val="nil"/>
              <w:left w:val="nil"/>
              <w:bottom w:val="nil"/>
              <w:right w:val="nil"/>
            </w:tcBorders>
            <w:shd w:val="clear" w:color="auto" w:fill="auto"/>
            <w:noWrap/>
            <w:vAlign w:val="bottom"/>
            <w:hideMark/>
          </w:tcPr>
          <w:p w14:paraId="5C2459AE"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177" w:type="dxa"/>
            <w:gridSpan w:val="2"/>
            <w:tcBorders>
              <w:top w:val="nil"/>
              <w:left w:val="nil"/>
              <w:bottom w:val="nil"/>
              <w:right w:val="nil"/>
            </w:tcBorders>
            <w:shd w:val="clear" w:color="auto" w:fill="auto"/>
            <w:noWrap/>
            <w:vAlign w:val="bottom"/>
            <w:hideMark/>
          </w:tcPr>
          <w:p w14:paraId="79915E25"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92" w:type="dxa"/>
            <w:gridSpan w:val="2"/>
            <w:tcBorders>
              <w:top w:val="nil"/>
              <w:left w:val="nil"/>
              <w:bottom w:val="nil"/>
              <w:right w:val="nil"/>
            </w:tcBorders>
            <w:shd w:val="clear" w:color="auto" w:fill="auto"/>
            <w:noWrap/>
            <w:vAlign w:val="bottom"/>
            <w:hideMark/>
          </w:tcPr>
          <w:p w14:paraId="58D5ADE5"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38" w:type="dxa"/>
            <w:gridSpan w:val="2"/>
            <w:tcBorders>
              <w:top w:val="nil"/>
              <w:left w:val="nil"/>
              <w:bottom w:val="nil"/>
              <w:right w:val="nil"/>
            </w:tcBorders>
            <w:shd w:val="clear" w:color="auto" w:fill="auto"/>
            <w:noWrap/>
            <w:vAlign w:val="bottom"/>
            <w:hideMark/>
          </w:tcPr>
          <w:p w14:paraId="187D1F28"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8" w:type="dxa"/>
            <w:gridSpan w:val="2"/>
            <w:tcBorders>
              <w:top w:val="nil"/>
              <w:left w:val="nil"/>
              <w:bottom w:val="nil"/>
              <w:right w:val="nil"/>
            </w:tcBorders>
            <w:shd w:val="clear" w:color="auto" w:fill="auto"/>
            <w:noWrap/>
            <w:vAlign w:val="bottom"/>
            <w:hideMark/>
          </w:tcPr>
          <w:p w14:paraId="132109C4"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8" w:type="dxa"/>
            <w:tcBorders>
              <w:top w:val="nil"/>
              <w:left w:val="nil"/>
              <w:bottom w:val="nil"/>
              <w:right w:val="single" w:sz="4" w:space="0" w:color="auto"/>
            </w:tcBorders>
            <w:shd w:val="clear" w:color="auto" w:fill="auto"/>
            <w:noWrap/>
            <w:vAlign w:val="bottom"/>
            <w:hideMark/>
          </w:tcPr>
          <w:p w14:paraId="75805B92"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r>
      <w:tr w:rsidR="001C6945" w:rsidRPr="007256AA" w14:paraId="425F8E06"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0F745CF5"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TED</w:t>
            </w:r>
          </w:p>
        </w:tc>
        <w:tc>
          <w:tcPr>
            <w:tcW w:w="1008" w:type="dxa"/>
            <w:gridSpan w:val="2"/>
            <w:tcBorders>
              <w:top w:val="nil"/>
              <w:left w:val="nil"/>
              <w:bottom w:val="nil"/>
              <w:right w:val="nil"/>
            </w:tcBorders>
            <w:shd w:val="clear" w:color="auto" w:fill="auto"/>
            <w:noWrap/>
            <w:vAlign w:val="bottom"/>
            <w:hideMark/>
          </w:tcPr>
          <w:p w14:paraId="7E1EEC48"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-6.130</w:t>
            </w:r>
          </w:p>
        </w:tc>
        <w:tc>
          <w:tcPr>
            <w:tcW w:w="1316" w:type="dxa"/>
            <w:gridSpan w:val="2"/>
            <w:tcBorders>
              <w:top w:val="nil"/>
              <w:left w:val="nil"/>
              <w:bottom w:val="nil"/>
              <w:right w:val="nil"/>
            </w:tcBorders>
            <w:shd w:val="clear" w:color="auto" w:fill="auto"/>
            <w:noWrap/>
            <w:vAlign w:val="bottom"/>
            <w:hideMark/>
          </w:tcPr>
          <w:p w14:paraId="035B78BA"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-3.658</w:t>
            </w:r>
          </w:p>
        </w:tc>
        <w:tc>
          <w:tcPr>
            <w:tcW w:w="1177" w:type="dxa"/>
            <w:gridSpan w:val="2"/>
            <w:tcBorders>
              <w:top w:val="nil"/>
              <w:left w:val="nil"/>
              <w:bottom w:val="nil"/>
              <w:right w:val="nil"/>
            </w:tcBorders>
            <w:shd w:val="clear" w:color="auto" w:fill="auto"/>
            <w:noWrap/>
            <w:vAlign w:val="bottom"/>
            <w:hideMark/>
          </w:tcPr>
          <w:p w14:paraId="673320B4"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4.469</w:t>
            </w:r>
          </w:p>
        </w:tc>
        <w:tc>
          <w:tcPr>
            <w:tcW w:w="1092" w:type="dxa"/>
            <w:gridSpan w:val="2"/>
            <w:tcBorders>
              <w:top w:val="nil"/>
              <w:left w:val="nil"/>
              <w:bottom w:val="nil"/>
              <w:right w:val="nil"/>
            </w:tcBorders>
            <w:shd w:val="clear" w:color="auto" w:fill="auto"/>
            <w:noWrap/>
            <w:vAlign w:val="bottom"/>
            <w:hideMark/>
          </w:tcPr>
          <w:p w14:paraId="2F7A8EE1"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-11.729</w:t>
            </w:r>
          </w:p>
        </w:tc>
        <w:tc>
          <w:tcPr>
            <w:tcW w:w="1038" w:type="dxa"/>
            <w:gridSpan w:val="2"/>
            <w:tcBorders>
              <w:top w:val="nil"/>
              <w:left w:val="nil"/>
              <w:bottom w:val="nil"/>
              <w:right w:val="nil"/>
            </w:tcBorders>
            <w:shd w:val="clear" w:color="auto" w:fill="auto"/>
            <w:noWrap/>
            <w:vAlign w:val="bottom"/>
            <w:hideMark/>
          </w:tcPr>
          <w:p w14:paraId="0BC82063"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-10.388</w:t>
            </w:r>
          </w:p>
        </w:tc>
        <w:tc>
          <w:tcPr>
            <w:tcW w:w="968" w:type="dxa"/>
            <w:gridSpan w:val="2"/>
            <w:tcBorders>
              <w:top w:val="nil"/>
              <w:left w:val="nil"/>
              <w:bottom w:val="nil"/>
              <w:right w:val="nil"/>
            </w:tcBorders>
            <w:shd w:val="clear" w:color="auto" w:fill="auto"/>
            <w:noWrap/>
            <w:vAlign w:val="bottom"/>
            <w:hideMark/>
          </w:tcPr>
          <w:p w14:paraId="178F36DB"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-9.581</w:t>
            </w:r>
          </w:p>
        </w:tc>
        <w:tc>
          <w:tcPr>
            <w:tcW w:w="968" w:type="dxa"/>
            <w:tcBorders>
              <w:top w:val="nil"/>
              <w:left w:val="nil"/>
              <w:bottom w:val="nil"/>
              <w:right w:val="single" w:sz="4" w:space="0" w:color="auto"/>
            </w:tcBorders>
            <w:shd w:val="clear" w:color="auto" w:fill="auto"/>
            <w:noWrap/>
            <w:vAlign w:val="bottom"/>
            <w:hideMark/>
          </w:tcPr>
          <w:p w14:paraId="6C382E9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-13.115</w:t>
            </w:r>
          </w:p>
        </w:tc>
      </w:tr>
      <w:tr w:rsidR="001C6945" w:rsidRPr="007256AA" w14:paraId="5D730FAD"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66D8671A"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16F83201"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0.131</w:t>
            </w:r>
          </w:p>
        </w:tc>
        <w:tc>
          <w:tcPr>
            <w:tcW w:w="1316" w:type="dxa"/>
            <w:gridSpan w:val="2"/>
            <w:tcBorders>
              <w:top w:val="nil"/>
              <w:left w:val="nil"/>
              <w:bottom w:val="nil"/>
              <w:right w:val="nil"/>
            </w:tcBorders>
            <w:shd w:val="clear" w:color="auto" w:fill="auto"/>
            <w:noWrap/>
            <w:vAlign w:val="bottom"/>
            <w:hideMark/>
          </w:tcPr>
          <w:p w14:paraId="4AA316DF"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0.417</w:t>
            </w:r>
          </w:p>
        </w:tc>
        <w:tc>
          <w:tcPr>
            <w:tcW w:w="1177" w:type="dxa"/>
            <w:gridSpan w:val="2"/>
            <w:tcBorders>
              <w:top w:val="nil"/>
              <w:left w:val="nil"/>
              <w:bottom w:val="nil"/>
              <w:right w:val="nil"/>
            </w:tcBorders>
            <w:shd w:val="clear" w:color="auto" w:fill="auto"/>
            <w:noWrap/>
            <w:vAlign w:val="bottom"/>
            <w:hideMark/>
          </w:tcPr>
          <w:p w14:paraId="6DB13FED"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0.572</w:t>
            </w:r>
          </w:p>
        </w:tc>
        <w:tc>
          <w:tcPr>
            <w:tcW w:w="1092" w:type="dxa"/>
            <w:gridSpan w:val="2"/>
            <w:tcBorders>
              <w:top w:val="nil"/>
              <w:left w:val="nil"/>
              <w:bottom w:val="nil"/>
              <w:right w:val="nil"/>
            </w:tcBorders>
            <w:shd w:val="clear" w:color="auto" w:fill="auto"/>
            <w:noWrap/>
            <w:vAlign w:val="bottom"/>
            <w:hideMark/>
          </w:tcPr>
          <w:p w14:paraId="43EE5BE9"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0.009</w:t>
            </w:r>
          </w:p>
        </w:tc>
        <w:tc>
          <w:tcPr>
            <w:tcW w:w="1038" w:type="dxa"/>
            <w:gridSpan w:val="2"/>
            <w:tcBorders>
              <w:top w:val="nil"/>
              <w:left w:val="nil"/>
              <w:bottom w:val="nil"/>
              <w:right w:val="nil"/>
            </w:tcBorders>
            <w:shd w:val="clear" w:color="auto" w:fill="auto"/>
            <w:noWrap/>
            <w:vAlign w:val="bottom"/>
            <w:hideMark/>
          </w:tcPr>
          <w:p w14:paraId="2A48DA61"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8" w:type="dxa"/>
            <w:gridSpan w:val="2"/>
            <w:tcBorders>
              <w:top w:val="nil"/>
              <w:left w:val="nil"/>
              <w:bottom w:val="nil"/>
              <w:right w:val="nil"/>
            </w:tcBorders>
            <w:shd w:val="clear" w:color="auto" w:fill="auto"/>
            <w:noWrap/>
            <w:vAlign w:val="bottom"/>
            <w:hideMark/>
          </w:tcPr>
          <w:p w14:paraId="47EE81D2"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0.258</w:t>
            </w:r>
          </w:p>
        </w:tc>
        <w:tc>
          <w:tcPr>
            <w:tcW w:w="968" w:type="dxa"/>
            <w:tcBorders>
              <w:top w:val="nil"/>
              <w:left w:val="nil"/>
              <w:bottom w:val="nil"/>
              <w:right w:val="single" w:sz="4" w:space="0" w:color="auto"/>
            </w:tcBorders>
            <w:shd w:val="clear" w:color="auto" w:fill="auto"/>
            <w:noWrap/>
            <w:vAlign w:val="bottom"/>
            <w:hideMark/>
          </w:tcPr>
          <w:p w14:paraId="23F7332D"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0.005</w:t>
            </w:r>
          </w:p>
        </w:tc>
      </w:tr>
      <w:tr w:rsidR="001C6945" w:rsidRPr="007256AA" w14:paraId="162EB8B5"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222D40E2"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VIX</w:t>
            </w:r>
          </w:p>
        </w:tc>
        <w:tc>
          <w:tcPr>
            <w:tcW w:w="1008" w:type="dxa"/>
            <w:gridSpan w:val="2"/>
            <w:tcBorders>
              <w:top w:val="nil"/>
              <w:left w:val="nil"/>
              <w:bottom w:val="nil"/>
              <w:right w:val="nil"/>
            </w:tcBorders>
            <w:shd w:val="clear" w:color="auto" w:fill="auto"/>
            <w:noWrap/>
            <w:vAlign w:val="bottom"/>
            <w:hideMark/>
          </w:tcPr>
          <w:p w14:paraId="3D1EDA3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0.139</w:t>
            </w:r>
          </w:p>
        </w:tc>
        <w:tc>
          <w:tcPr>
            <w:tcW w:w="1316" w:type="dxa"/>
            <w:gridSpan w:val="2"/>
            <w:tcBorders>
              <w:top w:val="nil"/>
              <w:left w:val="nil"/>
              <w:bottom w:val="nil"/>
              <w:right w:val="nil"/>
            </w:tcBorders>
            <w:shd w:val="clear" w:color="auto" w:fill="auto"/>
            <w:noWrap/>
            <w:vAlign w:val="bottom"/>
            <w:hideMark/>
          </w:tcPr>
          <w:p w14:paraId="63A57D90"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-0.144</w:t>
            </w:r>
          </w:p>
        </w:tc>
        <w:tc>
          <w:tcPr>
            <w:tcW w:w="1177" w:type="dxa"/>
            <w:gridSpan w:val="2"/>
            <w:tcBorders>
              <w:top w:val="nil"/>
              <w:left w:val="nil"/>
              <w:bottom w:val="nil"/>
              <w:right w:val="nil"/>
            </w:tcBorders>
            <w:shd w:val="clear" w:color="auto" w:fill="auto"/>
            <w:noWrap/>
            <w:vAlign w:val="bottom"/>
            <w:hideMark/>
          </w:tcPr>
          <w:p w14:paraId="5ECEEF80"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-0.533</w:t>
            </w:r>
          </w:p>
        </w:tc>
        <w:tc>
          <w:tcPr>
            <w:tcW w:w="1092" w:type="dxa"/>
            <w:gridSpan w:val="2"/>
            <w:tcBorders>
              <w:top w:val="nil"/>
              <w:left w:val="nil"/>
              <w:bottom w:val="nil"/>
              <w:right w:val="nil"/>
            </w:tcBorders>
            <w:shd w:val="clear" w:color="auto" w:fill="auto"/>
            <w:noWrap/>
            <w:vAlign w:val="bottom"/>
            <w:hideMark/>
          </w:tcPr>
          <w:p w14:paraId="43C6FACF"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0.136</w:t>
            </w:r>
          </w:p>
        </w:tc>
        <w:tc>
          <w:tcPr>
            <w:tcW w:w="1038" w:type="dxa"/>
            <w:gridSpan w:val="2"/>
            <w:tcBorders>
              <w:top w:val="nil"/>
              <w:left w:val="nil"/>
              <w:bottom w:val="nil"/>
              <w:right w:val="nil"/>
            </w:tcBorders>
            <w:shd w:val="clear" w:color="auto" w:fill="auto"/>
            <w:noWrap/>
            <w:vAlign w:val="bottom"/>
            <w:hideMark/>
          </w:tcPr>
          <w:p w14:paraId="4390B3F6"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0.220</w:t>
            </w:r>
          </w:p>
        </w:tc>
        <w:tc>
          <w:tcPr>
            <w:tcW w:w="968" w:type="dxa"/>
            <w:gridSpan w:val="2"/>
            <w:tcBorders>
              <w:top w:val="nil"/>
              <w:left w:val="nil"/>
              <w:bottom w:val="nil"/>
              <w:right w:val="nil"/>
            </w:tcBorders>
            <w:shd w:val="clear" w:color="auto" w:fill="auto"/>
            <w:noWrap/>
            <w:vAlign w:val="bottom"/>
            <w:hideMark/>
          </w:tcPr>
          <w:p w14:paraId="2154B943"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0.995</w:t>
            </w:r>
          </w:p>
        </w:tc>
        <w:tc>
          <w:tcPr>
            <w:tcW w:w="968" w:type="dxa"/>
            <w:tcBorders>
              <w:top w:val="nil"/>
              <w:left w:val="nil"/>
              <w:bottom w:val="nil"/>
              <w:right w:val="single" w:sz="4" w:space="0" w:color="auto"/>
            </w:tcBorders>
            <w:shd w:val="clear" w:color="auto" w:fill="auto"/>
            <w:noWrap/>
            <w:vAlign w:val="bottom"/>
            <w:hideMark/>
          </w:tcPr>
          <w:p w14:paraId="4A541176"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0.335</w:t>
            </w:r>
          </w:p>
        </w:tc>
      </w:tr>
      <w:tr w:rsidR="001C6945" w:rsidRPr="007256AA" w14:paraId="2AF5E2F7"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1970AD41"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12B3649E"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0.425</w:t>
            </w:r>
          </w:p>
        </w:tc>
        <w:tc>
          <w:tcPr>
            <w:tcW w:w="1316" w:type="dxa"/>
            <w:gridSpan w:val="2"/>
            <w:tcBorders>
              <w:top w:val="nil"/>
              <w:left w:val="nil"/>
              <w:bottom w:val="nil"/>
              <w:right w:val="nil"/>
            </w:tcBorders>
            <w:shd w:val="clear" w:color="auto" w:fill="auto"/>
            <w:noWrap/>
            <w:vAlign w:val="bottom"/>
            <w:hideMark/>
          </w:tcPr>
          <w:p w14:paraId="0727B840"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0.471</w:t>
            </w:r>
          </w:p>
        </w:tc>
        <w:tc>
          <w:tcPr>
            <w:tcW w:w="1177" w:type="dxa"/>
            <w:gridSpan w:val="2"/>
            <w:tcBorders>
              <w:top w:val="nil"/>
              <w:left w:val="nil"/>
              <w:bottom w:val="nil"/>
              <w:right w:val="nil"/>
            </w:tcBorders>
            <w:shd w:val="clear" w:color="auto" w:fill="auto"/>
            <w:noWrap/>
            <w:vAlign w:val="bottom"/>
            <w:hideMark/>
          </w:tcPr>
          <w:p w14:paraId="19D4213B"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0.143</w:t>
            </w:r>
          </w:p>
        </w:tc>
        <w:tc>
          <w:tcPr>
            <w:tcW w:w="1092" w:type="dxa"/>
            <w:gridSpan w:val="2"/>
            <w:tcBorders>
              <w:top w:val="nil"/>
              <w:left w:val="nil"/>
              <w:bottom w:val="nil"/>
              <w:right w:val="nil"/>
            </w:tcBorders>
            <w:shd w:val="clear" w:color="auto" w:fill="auto"/>
            <w:noWrap/>
            <w:vAlign w:val="bottom"/>
            <w:hideMark/>
          </w:tcPr>
          <w:p w14:paraId="7A0B8DD3"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0.439</w:t>
            </w:r>
          </w:p>
        </w:tc>
        <w:tc>
          <w:tcPr>
            <w:tcW w:w="1038" w:type="dxa"/>
            <w:gridSpan w:val="2"/>
            <w:tcBorders>
              <w:top w:val="nil"/>
              <w:left w:val="nil"/>
              <w:bottom w:val="nil"/>
              <w:right w:val="nil"/>
            </w:tcBorders>
            <w:shd w:val="clear" w:color="auto" w:fill="auto"/>
            <w:noWrap/>
            <w:vAlign w:val="bottom"/>
            <w:hideMark/>
          </w:tcPr>
          <w:p w14:paraId="284CDD1A"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0.009</w:t>
            </w:r>
          </w:p>
        </w:tc>
        <w:tc>
          <w:tcPr>
            <w:tcW w:w="968" w:type="dxa"/>
            <w:gridSpan w:val="2"/>
            <w:tcBorders>
              <w:top w:val="nil"/>
              <w:left w:val="nil"/>
              <w:bottom w:val="nil"/>
              <w:right w:val="nil"/>
            </w:tcBorders>
            <w:shd w:val="clear" w:color="auto" w:fill="auto"/>
            <w:noWrap/>
            <w:vAlign w:val="bottom"/>
            <w:hideMark/>
          </w:tcPr>
          <w:p w14:paraId="27CAF541"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0.016</w:t>
            </w:r>
          </w:p>
        </w:tc>
        <w:tc>
          <w:tcPr>
            <w:tcW w:w="968" w:type="dxa"/>
            <w:tcBorders>
              <w:top w:val="nil"/>
              <w:left w:val="nil"/>
              <w:bottom w:val="nil"/>
              <w:right w:val="single" w:sz="4" w:space="0" w:color="auto"/>
            </w:tcBorders>
            <w:shd w:val="clear" w:color="auto" w:fill="auto"/>
            <w:noWrap/>
            <w:vAlign w:val="bottom"/>
            <w:hideMark/>
          </w:tcPr>
          <w:p w14:paraId="302F8B0B"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0.074</w:t>
            </w:r>
          </w:p>
        </w:tc>
      </w:tr>
      <w:tr w:rsidR="001C6945" w:rsidRPr="007256AA" w14:paraId="55D7B250"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3610D986"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SENT</w:t>
            </w:r>
          </w:p>
        </w:tc>
        <w:tc>
          <w:tcPr>
            <w:tcW w:w="1008" w:type="dxa"/>
            <w:gridSpan w:val="2"/>
            <w:tcBorders>
              <w:top w:val="nil"/>
              <w:left w:val="nil"/>
              <w:bottom w:val="nil"/>
              <w:right w:val="nil"/>
            </w:tcBorders>
            <w:shd w:val="clear" w:color="auto" w:fill="auto"/>
            <w:noWrap/>
            <w:vAlign w:val="bottom"/>
            <w:hideMark/>
          </w:tcPr>
          <w:p w14:paraId="3F75C19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-1.354</w:t>
            </w:r>
          </w:p>
        </w:tc>
        <w:tc>
          <w:tcPr>
            <w:tcW w:w="1316" w:type="dxa"/>
            <w:gridSpan w:val="2"/>
            <w:tcBorders>
              <w:top w:val="nil"/>
              <w:left w:val="nil"/>
              <w:bottom w:val="nil"/>
              <w:right w:val="nil"/>
            </w:tcBorders>
            <w:shd w:val="clear" w:color="auto" w:fill="auto"/>
            <w:noWrap/>
            <w:vAlign w:val="bottom"/>
            <w:hideMark/>
          </w:tcPr>
          <w:p w14:paraId="238FDA5A"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-1.978</w:t>
            </w:r>
          </w:p>
        </w:tc>
        <w:tc>
          <w:tcPr>
            <w:tcW w:w="1177" w:type="dxa"/>
            <w:gridSpan w:val="2"/>
            <w:tcBorders>
              <w:top w:val="nil"/>
              <w:left w:val="nil"/>
              <w:bottom w:val="nil"/>
              <w:right w:val="nil"/>
            </w:tcBorders>
            <w:shd w:val="clear" w:color="auto" w:fill="auto"/>
            <w:noWrap/>
            <w:vAlign w:val="bottom"/>
            <w:hideMark/>
          </w:tcPr>
          <w:p w14:paraId="60B88024"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-2.888</w:t>
            </w:r>
          </w:p>
        </w:tc>
        <w:tc>
          <w:tcPr>
            <w:tcW w:w="1092" w:type="dxa"/>
            <w:gridSpan w:val="2"/>
            <w:tcBorders>
              <w:top w:val="nil"/>
              <w:left w:val="nil"/>
              <w:bottom w:val="nil"/>
              <w:right w:val="nil"/>
            </w:tcBorders>
            <w:shd w:val="clear" w:color="auto" w:fill="auto"/>
            <w:noWrap/>
            <w:vAlign w:val="bottom"/>
            <w:hideMark/>
          </w:tcPr>
          <w:p w14:paraId="2118CFEE"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-2.552</w:t>
            </w:r>
          </w:p>
        </w:tc>
        <w:tc>
          <w:tcPr>
            <w:tcW w:w="1038" w:type="dxa"/>
            <w:gridSpan w:val="2"/>
            <w:tcBorders>
              <w:top w:val="nil"/>
              <w:left w:val="nil"/>
              <w:bottom w:val="nil"/>
              <w:right w:val="nil"/>
            </w:tcBorders>
            <w:shd w:val="clear" w:color="auto" w:fill="auto"/>
            <w:noWrap/>
            <w:vAlign w:val="bottom"/>
            <w:hideMark/>
          </w:tcPr>
          <w:p w14:paraId="4FED91AF"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-0.126</w:t>
            </w:r>
          </w:p>
        </w:tc>
        <w:tc>
          <w:tcPr>
            <w:tcW w:w="968" w:type="dxa"/>
            <w:gridSpan w:val="2"/>
            <w:tcBorders>
              <w:top w:val="nil"/>
              <w:left w:val="nil"/>
              <w:bottom w:val="nil"/>
              <w:right w:val="nil"/>
            </w:tcBorders>
            <w:shd w:val="clear" w:color="auto" w:fill="auto"/>
            <w:noWrap/>
            <w:vAlign w:val="bottom"/>
            <w:hideMark/>
          </w:tcPr>
          <w:p w14:paraId="67FAD790"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-0.060</w:t>
            </w:r>
          </w:p>
        </w:tc>
        <w:tc>
          <w:tcPr>
            <w:tcW w:w="968" w:type="dxa"/>
            <w:tcBorders>
              <w:top w:val="nil"/>
              <w:left w:val="nil"/>
              <w:bottom w:val="nil"/>
              <w:right w:val="single" w:sz="4" w:space="0" w:color="auto"/>
            </w:tcBorders>
            <w:shd w:val="clear" w:color="auto" w:fill="auto"/>
            <w:noWrap/>
            <w:vAlign w:val="bottom"/>
            <w:hideMark/>
          </w:tcPr>
          <w:p w14:paraId="1D2CAC38"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0.894</w:t>
            </w:r>
          </w:p>
        </w:tc>
      </w:tr>
      <w:tr w:rsidR="001C6945" w:rsidRPr="007256AA" w14:paraId="141E47B6"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4EE09C53"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19DA0042"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0.404</w:t>
            </w:r>
          </w:p>
        </w:tc>
        <w:tc>
          <w:tcPr>
            <w:tcW w:w="1316" w:type="dxa"/>
            <w:gridSpan w:val="2"/>
            <w:tcBorders>
              <w:top w:val="nil"/>
              <w:left w:val="nil"/>
              <w:bottom w:val="nil"/>
              <w:right w:val="nil"/>
            </w:tcBorders>
            <w:shd w:val="clear" w:color="auto" w:fill="auto"/>
            <w:noWrap/>
            <w:vAlign w:val="bottom"/>
            <w:hideMark/>
          </w:tcPr>
          <w:p w14:paraId="5B48B13A"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0.293</w:t>
            </w:r>
          </w:p>
        </w:tc>
        <w:tc>
          <w:tcPr>
            <w:tcW w:w="1177" w:type="dxa"/>
            <w:gridSpan w:val="2"/>
            <w:tcBorders>
              <w:top w:val="nil"/>
              <w:left w:val="nil"/>
              <w:bottom w:val="nil"/>
              <w:right w:val="nil"/>
            </w:tcBorders>
            <w:shd w:val="clear" w:color="auto" w:fill="auto"/>
            <w:noWrap/>
            <w:vAlign w:val="bottom"/>
            <w:hideMark/>
          </w:tcPr>
          <w:p w14:paraId="0EC3E254"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0.381</w:t>
            </w:r>
          </w:p>
        </w:tc>
        <w:tc>
          <w:tcPr>
            <w:tcW w:w="1092" w:type="dxa"/>
            <w:gridSpan w:val="2"/>
            <w:tcBorders>
              <w:top w:val="nil"/>
              <w:left w:val="nil"/>
              <w:bottom w:val="nil"/>
              <w:right w:val="nil"/>
            </w:tcBorders>
            <w:shd w:val="clear" w:color="auto" w:fill="auto"/>
            <w:noWrap/>
            <w:vAlign w:val="bottom"/>
            <w:hideMark/>
          </w:tcPr>
          <w:p w14:paraId="0BCE6558"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0.132</w:t>
            </w:r>
          </w:p>
        </w:tc>
        <w:tc>
          <w:tcPr>
            <w:tcW w:w="1038" w:type="dxa"/>
            <w:gridSpan w:val="2"/>
            <w:tcBorders>
              <w:top w:val="nil"/>
              <w:left w:val="nil"/>
              <w:bottom w:val="nil"/>
              <w:right w:val="nil"/>
            </w:tcBorders>
            <w:shd w:val="clear" w:color="auto" w:fill="auto"/>
            <w:noWrap/>
            <w:vAlign w:val="bottom"/>
            <w:hideMark/>
          </w:tcPr>
          <w:p w14:paraId="0812969F"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0.855</w:t>
            </w:r>
          </w:p>
        </w:tc>
        <w:tc>
          <w:tcPr>
            <w:tcW w:w="968" w:type="dxa"/>
            <w:gridSpan w:val="2"/>
            <w:tcBorders>
              <w:top w:val="nil"/>
              <w:left w:val="nil"/>
              <w:bottom w:val="nil"/>
              <w:right w:val="nil"/>
            </w:tcBorders>
            <w:shd w:val="clear" w:color="auto" w:fill="auto"/>
            <w:noWrap/>
            <w:vAlign w:val="bottom"/>
            <w:hideMark/>
          </w:tcPr>
          <w:p w14:paraId="4C290756"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0.986</w:t>
            </w:r>
          </w:p>
        </w:tc>
        <w:tc>
          <w:tcPr>
            <w:tcW w:w="968" w:type="dxa"/>
            <w:tcBorders>
              <w:top w:val="nil"/>
              <w:left w:val="nil"/>
              <w:bottom w:val="nil"/>
              <w:right w:val="single" w:sz="4" w:space="0" w:color="auto"/>
            </w:tcBorders>
            <w:shd w:val="clear" w:color="auto" w:fill="auto"/>
            <w:noWrap/>
            <w:vAlign w:val="bottom"/>
            <w:hideMark/>
          </w:tcPr>
          <w:p w14:paraId="5D0B4336"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0.587</w:t>
            </w:r>
          </w:p>
        </w:tc>
      </w:tr>
      <w:tr w:rsidR="001C6945" w:rsidRPr="007256AA" w14:paraId="1DBF086C"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68B1C378"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FEDFUND</w:t>
            </w:r>
          </w:p>
        </w:tc>
        <w:tc>
          <w:tcPr>
            <w:tcW w:w="1008" w:type="dxa"/>
            <w:gridSpan w:val="2"/>
            <w:tcBorders>
              <w:top w:val="nil"/>
              <w:left w:val="nil"/>
              <w:bottom w:val="nil"/>
              <w:right w:val="nil"/>
            </w:tcBorders>
            <w:shd w:val="clear" w:color="auto" w:fill="auto"/>
            <w:noWrap/>
            <w:vAlign w:val="bottom"/>
            <w:hideMark/>
          </w:tcPr>
          <w:p w14:paraId="06A4AED6"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0.376</w:t>
            </w:r>
          </w:p>
        </w:tc>
        <w:tc>
          <w:tcPr>
            <w:tcW w:w="1316" w:type="dxa"/>
            <w:gridSpan w:val="2"/>
            <w:tcBorders>
              <w:top w:val="nil"/>
              <w:left w:val="nil"/>
              <w:bottom w:val="nil"/>
              <w:right w:val="nil"/>
            </w:tcBorders>
            <w:shd w:val="clear" w:color="auto" w:fill="auto"/>
            <w:noWrap/>
            <w:vAlign w:val="bottom"/>
            <w:hideMark/>
          </w:tcPr>
          <w:p w14:paraId="76D3EBDB"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0.092</w:t>
            </w:r>
          </w:p>
        </w:tc>
        <w:tc>
          <w:tcPr>
            <w:tcW w:w="1177" w:type="dxa"/>
            <w:gridSpan w:val="2"/>
            <w:tcBorders>
              <w:top w:val="nil"/>
              <w:left w:val="nil"/>
              <w:bottom w:val="nil"/>
              <w:right w:val="nil"/>
            </w:tcBorders>
            <w:shd w:val="clear" w:color="auto" w:fill="auto"/>
            <w:noWrap/>
            <w:vAlign w:val="bottom"/>
            <w:hideMark/>
          </w:tcPr>
          <w:p w14:paraId="3B0C1F87"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-0.358</w:t>
            </w:r>
          </w:p>
        </w:tc>
        <w:tc>
          <w:tcPr>
            <w:tcW w:w="1092" w:type="dxa"/>
            <w:gridSpan w:val="2"/>
            <w:tcBorders>
              <w:top w:val="nil"/>
              <w:left w:val="nil"/>
              <w:bottom w:val="nil"/>
              <w:right w:val="nil"/>
            </w:tcBorders>
            <w:shd w:val="clear" w:color="auto" w:fill="auto"/>
            <w:noWrap/>
            <w:vAlign w:val="bottom"/>
            <w:hideMark/>
          </w:tcPr>
          <w:p w14:paraId="5B225855"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-0.169</w:t>
            </w:r>
          </w:p>
        </w:tc>
        <w:tc>
          <w:tcPr>
            <w:tcW w:w="1038" w:type="dxa"/>
            <w:gridSpan w:val="2"/>
            <w:tcBorders>
              <w:top w:val="nil"/>
              <w:left w:val="nil"/>
              <w:bottom w:val="nil"/>
              <w:right w:val="nil"/>
            </w:tcBorders>
            <w:shd w:val="clear" w:color="auto" w:fill="auto"/>
            <w:noWrap/>
            <w:vAlign w:val="bottom"/>
            <w:hideMark/>
          </w:tcPr>
          <w:p w14:paraId="4FA389FF"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0.805</w:t>
            </w:r>
          </w:p>
        </w:tc>
        <w:tc>
          <w:tcPr>
            <w:tcW w:w="968" w:type="dxa"/>
            <w:gridSpan w:val="2"/>
            <w:tcBorders>
              <w:top w:val="nil"/>
              <w:left w:val="nil"/>
              <w:bottom w:val="nil"/>
              <w:right w:val="nil"/>
            </w:tcBorders>
            <w:shd w:val="clear" w:color="auto" w:fill="auto"/>
            <w:noWrap/>
            <w:vAlign w:val="bottom"/>
            <w:hideMark/>
          </w:tcPr>
          <w:p w14:paraId="4FF1E2AA"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1.020</w:t>
            </w:r>
          </w:p>
        </w:tc>
        <w:tc>
          <w:tcPr>
            <w:tcW w:w="968" w:type="dxa"/>
            <w:tcBorders>
              <w:top w:val="nil"/>
              <w:left w:val="nil"/>
              <w:bottom w:val="nil"/>
              <w:right w:val="single" w:sz="4" w:space="0" w:color="auto"/>
            </w:tcBorders>
            <w:shd w:val="clear" w:color="auto" w:fill="auto"/>
            <w:noWrap/>
            <w:vAlign w:val="bottom"/>
            <w:hideMark/>
          </w:tcPr>
          <w:p w14:paraId="0D91643C"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0.551</w:t>
            </w:r>
          </w:p>
        </w:tc>
      </w:tr>
      <w:tr w:rsidR="001C6945" w:rsidRPr="007256AA" w14:paraId="34604D96"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44B2DAAB"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1C7BBE3F"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0.590</w:t>
            </w:r>
          </w:p>
        </w:tc>
        <w:tc>
          <w:tcPr>
            <w:tcW w:w="1316" w:type="dxa"/>
            <w:gridSpan w:val="2"/>
            <w:tcBorders>
              <w:top w:val="nil"/>
              <w:left w:val="nil"/>
              <w:bottom w:val="nil"/>
              <w:right w:val="nil"/>
            </w:tcBorders>
            <w:shd w:val="clear" w:color="auto" w:fill="auto"/>
            <w:noWrap/>
            <w:vAlign w:val="bottom"/>
            <w:hideMark/>
          </w:tcPr>
          <w:p w14:paraId="523E2E7C"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0.909</w:t>
            </w:r>
          </w:p>
        </w:tc>
        <w:tc>
          <w:tcPr>
            <w:tcW w:w="1177" w:type="dxa"/>
            <w:gridSpan w:val="2"/>
            <w:tcBorders>
              <w:top w:val="nil"/>
              <w:left w:val="nil"/>
              <w:bottom w:val="nil"/>
              <w:right w:val="nil"/>
            </w:tcBorders>
            <w:shd w:val="clear" w:color="auto" w:fill="auto"/>
            <w:noWrap/>
            <w:vAlign w:val="bottom"/>
            <w:hideMark/>
          </w:tcPr>
          <w:p w14:paraId="368A1C58"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0.800</w:t>
            </w:r>
          </w:p>
        </w:tc>
        <w:tc>
          <w:tcPr>
            <w:tcW w:w="1092" w:type="dxa"/>
            <w:gridSpan w:val="2"/>
            <w:tcBorders>
              <w:top w:val="nil"/>
              <w:left w:val="nil"/>
              <w:bottom w:val="nil"/>
              <w:right w:val="nil"/>
            </w:tcBorders>
            <w:shd w:val="clear" w:color="auto" w:fill="auto"/>
            <w:noWrap/>
            <w:vAlign w:val="bottom"/>
            <w:hideMark/>
          </w:tcPr>
          <w:p w14:paraId="6B6E38E1"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0.810</w:t>
            </w:r>
          </w:p>
        </w:tc>
        <w:tc>
          <w:tcPr>
            <w:tcW w:w="1038" w:type="dxa"/>
            <w:gridSpan w:val="2"/>
            <w:tcBorders>
              <w:top w:val="nil"/>
              <w:left w:val="nil"/>
              <w:bottom w:val="nil"/>
              <w:right w:val="nil"/>
            </w:tcBorders>
            <w:shd w:val="clear" w:color="auto" w:fill="auto"/>
            <w:noWrap/>
            <w:vAlign w:val="bottom"/>
            <w:hideMark/>
          </w:tcPr>
          <w:p w14:paraId="7E88F291"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0.017</w:t>
            </w:r>
          </w:p>
        </w:tc>
        <w:tc>
          <w:tcPr>
            <w:tcW w:w="968" w:type="dxa"/>
            <w:gridSpan w:val="2"/>
            <w:tcBorders>
              <w:top w:val="nil"/>
              <w:left w:val="nil"/>
              <w:bottom w:val="nil"/>
              <w:right w:val="nil"/>
            </w:tcBorders>
            <w:shd w:val="clear" w:color="auto" w:fill="auto"/>
            <w:noWrap/>
            <w:vAlign w:val="bottom"/>
            <w:hideMark/>
          </w:tcPr>
          <w:p w14:paraId="66CE94FE"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0.496</w:t>
            </w:r>
          </w:p>
        </w:tc>
        <w:tc>
          <w:tcPr>
            <w:tcW w:w="968" w:type="dxa"/>
            <w:tcBorders>
              <w:top w:val="nil"/>
              <w:left w:val="nil"/>
              <w:bottom w:val="nil"/>
              <w:right w:val="single" w:sz="4" w:space="0" w:color="auto"/>
            </w:tcBorders>
            <w:shd w:val="clear" w:color="auto" w:fill="auto"/>
            <w:noWrap/>
            <w:vAlign w:val="bottom"/>
            <w:hideMark/>
          </w:tcPr>
          <w:p w14:paraId="1E36B8E8"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0.444</w:t>
            </w:r>
          </w:p>
        </w:tc>
      </w:tr>
      <w:tr w:rsidR="001C6945" w:rsidRPr="007256AA" w14:paraId="54BC9CD1"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6D8D3AE5"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INTERNET</w:t>
            </w:r>
          </w:p>
        </w:tc>
        <w:tc>
          <w:tcPr>
            <w:tcW w:w="1008" w:type="dxa"/>
            <w:gridSpan w:val="2"/>
            <w:tcBorders>
              <w:top w:val="nil"/>
              <w:left w:val="nil"/>
              <w:bottom w:val="nil"/>
              <w:right w:val="nil"/>
            </w:tcBorders>
            <w:shd w:val="clear" w:color="auto" w:fill="auto"/>
            <w:noWrap/>
            <w:vAlign w:val="bottom"/>
            <w:hideMark/>
          </w:tcPr>
          <w:p w14:paraId="5E19675D"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-1.108</w:t>
            </w:r>
          </w:p>
        </w:tc>
        <w:tc>
          <w:tcPr>
            <w:tcW w:w="1316" w:type="dxa"/>
            <w:gridSpan w:val="2"/>
            <w:tcBorders>
              <w:top w:val="nil"/>
              <w:left w:val="nil"/>
              <w:bottom w:val="nil"/>
              <w:right w:val="nil"/>
            </w:tcBorders>
            <w:shd w:val="clear" w:color="auto" w:fill="auto"/>
            <w:noWrap/>
            <w:vAlign w:val="bottom"/>
            <w:hideMark/>
          </w:tcPr>
          <w:p w14:paraId="0F9F4483"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-1.187</w:t>
            </w:r>
          </w:p>
        </w:tc>
        <w:tc>
          <w:tcPr>
            <w:tcW w:w="1177" w:type="dxa"/>
            <w:gridSpan w:val="2"/>
            <w:tcBorders>
              <w:top w:val="nil"/>
              <w:left w:val="nil"/>
              <w:bottom w:val="nil"/>
              <w:right w:val="nil"/>
            </w:tcBorders>
            <w:shd w:val="clear" w:color="auto" w:fill="auto"/>
            <w:noWrap/>
            <w:vAlign w:val="bottom"/>
            <w:hideMark/>
          </w:tcPr>
          <w:p w14:paraId="6C141461"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-2.378</w:t>
            </w:r>
          </w:p>
        </w:tc>
        <w:tc>
          <w:tcPr>
            <w:tcW w:w="1092" w:type="dxa"/>
            <w:gridSpan w:val="2"/>
            <w:tcBorders>
              <w:top w:val="nil"/>
              <w:left w:val="nil"/>
              <w:bottom w:val="nil"/>
              <w:right w:val="nil"/>
            </w:tcBorders>
            <w:shd w:val="clear" w:color="auto" w:fill="auto"/>
            <w:noWrap/>
            <w:vAlign w:val="bottom"/>
            <w:hideMark/>
          </w:tcPr>
          <w:p w14:paraId="595EAF51"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-0.951</w:t>
            </w:r>
          </w:p>
        </w:tc>
        <w:tc>
          <w:tcPr>
            <w:tcW w:w="1038" w:type="dxa"/>
            <w:gridSpan w:val="2"/>
            <w:tcBorders>
              <w:top w:val="nil"/>
              <w:left w:val="nil"/>
              <w:bottom w:val="nil"/>
              <w:right w:val="nil"/>
            </w:tcBorders>
            <w:shd w:val="clear" w:color="auto" w:fill="auto"/>
            <w:noWrap/>
            <w:vAlign w:val="bottom"/>
            <w:hideMark/>
          </w:tcPr>
          <w:p w14:paraId="2078ADCA"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-0.188</w:t>
            </w:r>
          </w:p>
        </w:tc>
        <w:tc>
          <w:tcPr>
            <w:tcW w:w="968" w:type="dxa"/>
            <w:gridSpan w:val="2"/>
            <w:tcBorders>
              <w:top w:val="nil"/>
              <w:left w:val="nil"/>
              <w:bottom w:val="nil"/>
              <w:right w:val="nil"/>
            </w:tcBorders>
            <w:shd w:val="clear" w:color="auto" w:fill="auto"/>
            <w:noWrap/>
            <w:vAlign w:val="bottom"/>
            <w:hideMark/>
          </w:tcPr>
          <w:p w14:paraId="50AFDF6B"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-0.917</w:t>
            </w:r>
          </w:p>
        </w:tc>
        <w:tc>
          <w:tcPr>
            <w:tcW w:w="968" w:type="dxa"/>
            <w:tcBorders>
              <w:top w:val="nil"/>
              <w:left w:val="nil"/>
              <w:bottom w:val="nil"/>
              <w:right w:val="single" w:sz="4" w:space="0" w:color="auto"/>
            </w:tcBorders>
            <w:shd w:val="clear" w:color="auto" w:fill="auto"/>
            <w:noWrap/>
            <w:vAlign w:val="bottom"/>
            <w:hideMark/>
          </w:tcPr>
          <w:p w14:paraId="061AFF31"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-1.047</w:t>
            </w:r>
          </w:p>
        </w:tc>
      </w:tr>
      <w:tr w:rsidR="001C6945" w:rsidRPr="007256AA" w14:paraId="73F97A92"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62D8E999"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36866D19"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316" w:type="dxa"/>
            <w:gridSpan w:val="2"/>
            <w:tcBorders>
              <w:top w:val="nil"/>
              <w:left w:val="nil"/>
              <w:bottom w:val="nil"/>
              <w:right w:val="nil"/>
            </w:tcBorders>
            <w:shd w:val="clear" w:color="auto" w:fill="auto"/>
            <w:noWrap/>
            <w:vAlign w:val="bottom"/>
            <w:hideMark/>
          </w:tcPr>
          <w:p w14:paraId="5E141BBE"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177" w:type="dxa"/>
            <w:gridSpan w:val="2"/>
            <w:tcBorders>
              <w:top w:val="nil"/>
              <w:left w:val="nil"/>
              <w:bottom w:val="nil"/>
              <w:right w:val="nil"/>
            </w:tcBorders>
            <w:shd w:val="clear" w:color="auto" w:fill="auto"/>
            <w:noWrap/>
            <w:vAlign w:val="bottom"/>
            <w:hideMark/>
          </w:tcPr>
          <w:p w14:paraId="447922B0"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92" w:type="dxa"/>
            <w:gridSpan w:val="2"/>
            <w:tcBorders>
              <w:top w:val="nil"/>
              <w:left w:val="nil"/>
              <w:bottom w:val="nil"/>
              <w:right w:val="nil"/>
            </w:tcBorders>
            <w:shd w:val="clear" w:color="auto" w:fill="auto"/>
            <w:noWrap/>
            <w:vAlign w:val="bottom"/>
            <w:hideMark/>
          </w:tcPr>
          <w:p w14:paraId="76348B88"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38" w:type="dxa"/>
            <w:gridSpan w:val="2"/>
            <w:tcBorders>
              <w:top w:val="nil"/>
              <w:left w:val="nil"/>
              <w:bottom w:val="nil"/>
              <w:right w:val="nil"/>
            </w:tcBorders>
            <w:shd w:val="clear" w:color="auto" w:fill="auto"/>
            <w:noWrap/>
            <w:vAlign w:val="bottom"/>
            <w:hideMark/>
          </w:tcPr>
          <w:p w14:paraId="58D9D931"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0.013</w:t>
            </w:r>
          </w:p>
        </w:tc>
        <w:tc>
          <w:tcPr>
            <w:tcW w:w="968" w:type="dxa"/>
            <w:gridSpan w:val="2"/>
            <w:tcBorders>
              <w:top w:val="nil"/>
              <w:left w:val="nil"/>
              <w:bottom w:val="nil"/>
              <w:right w:val="nil"/>
            </w:tcBorders>
            <w:shd w:val="clear" w:color="auto" w:fill="auto"/>
            <w:noWrap/>
            <w:vAlign w:val="bottom"/>
            <w:hideMark/>
          </w:tcPr>
          <w:p w14:paraId="386DFF26"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0.014</w:t>
            </w:r>
          </w:p>
        </w:tc>
        <w:tc>
          <w:tcPr>
            <w:tcW w:w="968" w:type="dxa"/>
            <w:tcBorders>
              <w:top w:val="nil"/>
              <w:left w:val="nil"/>
              <w:bottom w:val="nil"/>
              <w:right w:val="single" w:sz="4" w:space="0" w:color="auto"/>
            </w:tcBorders>
            <w:shd w:val="clear" w:color="auto" w:fill="auto"/>
            <w:noWrap/>
            <w:vAlign w:val="bottom"/>
            <w:hideMark/>
          </w:tcPr>
          <w:p w14:paraId="6EE2202E"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r>
      <w:tr w:rsidR="001C6945" w:rsidRPr="007256AA" w14:paraId="045D840D"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44E0289A"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ERM</w:t>
            </w:r>
          </w:p>
        </w:tc>
        <w:tc>
          <w:tcPr>
            <w:tcW w:w="1008" w:type="dxa"/>
            <w:gridSpan w:val="2"/>
            <w:tcBorders>
              <w:top w:val="nil"/>
              <w:left w:val="nil"/>
              <w:bottom w:val="nil"/>
              <w:right w:val="nil"/>
            </w:tcBorders>
            <w:shd w:val="clear" w:color="auto" w:fill="auto"/>
            <w:noWrap/>
            <w:vAlign w:val="bottom"/>
            <w:hideMark/>
          </w:tcPr>
          <w:p w14:paraId="668275A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-15.508</w:t>
            </w:r>
          </w:p>
        </w:tc>
        <w:tc>
          <w:tcPr>
            <w:tcW w:w="1316" w:type="dxa"/>
            <w:gridSpan w:val="2"/>
            <w:tcBorders>
              <w:top w:val="nil"/>
              <w:left w:val="nil"/>
              <w:bottom w:val="nil"/>
              <w:right w:val="nil"/>
            </w:tcBorders>
            <w:shd w:val="clear" w:color="auto" w:fill="auto"/>
            <w:noWrap/>
            <w:vAlign w:val="bottom"/>
            <w:hideMark/>
          </w:tcPr>
          <w:p w14:paraId="35E7B1F3"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-12.069</w:t>
            </w:r>
          </w:p>
        </w:tc>
        <w:tc>
          <w:tcPr>
            <w:tcW w:w="1177" w:type="dxa"/>
            <w:gridSpan w:val="2"/>
            <w:tcBorders>
              <w:top w:val="nil"/>
              <w:left w:val="nil"/>
              <w:bottom w:val="nil"/>
              <w:right w:val="nil"/>
            </w:tcBorders>
            <w:shd w:val="clear" w:color="auto" w:fill="auto"/>
            <w:noWrap/>
            <w:vAlign w:val="bottom"/>
            <w:hideMark/>
          </w:tcPr>
          <w:p w14:paraId="14A298E9"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-16.993</w:t>
            </w:r>
          </w:p>
        </w:tc>
        <w:tc>
          <w:tcPr>
            <w:tcW w:w="1092" w:type="dxa"/>
            <w:gridSpan w:val="2"/>
            <w:tcBorders>
              <w:top w:val="nil"/>
              <w:left w:val="nil"/>
              <w:bottom w:val="nil"/>
              <w:right w:val="nil"/>
            </w:tcBorders>
            <w:shd w:val="clear" w:color="auto" w:fill="auto"/>
            <w:noWrap/>
            <w:vAlign w:val="bottom"/>
            <w:hideMark/>
          </w:tcPr>
          <w:p w14:paraId="3CD0F01F"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-6.206</w:t>
            </w:r>
          </w:p>
        </w:tc>
        <w:tc>
          <w:tcPr>
            <w:tcW w:w="1038" w:type="dxa"/>
            <w:gridSpan w:val="2"/>
            <w:tcBorders>
              <w:top w:val="nil"/>
              <w:left w:val="nil"/>
              <w:bottom w:val="nil"/>
              <w:right w:val="nil"/>
            </w:tcBorders>
            <w:shd w:val="clear" w:color="auto" w:fill="auto"/>
            <w:noWrap/>
            <w:vAlign w:val="bottom"/>
            <w:hideMark/>
          </w:tcPr>
          <w:p w14:paraId="3698A80F"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-4.846</w:t>
            </w:r>
          </w:p>
        </w:tc>
        <w:tc>
          <w:tcPr>
            <w:tcW w:w="968" w:type="dxa"/>
            <w:gridSpan w:val="2"/>
            <w:tcBorders>
              <w:top w:val="nil"/>
              <w:left w:val="nil"/>
              <w:bottom w:val="nil"/>
              <w:right w:val="nil"/>
            </w:tcBorders>
            <w:shd w:val="clear" w:color="auto" w:fill="auto"/>
            <w:noWrap/>
            <w:vAlign w:val="bottom"/>
            <w:hideMark/>
          </w:tcPr>
          <w:p w14:paraId="19741647"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-24.402</w:t>
            </w:r>
          </w:p>
        </w:tc>
        <w:tc>
          <w:tcPr>
            <w:tcW w:w="968" w:type="dxa"/>
            <w:tcBorders>
              <w:top w:val="nil"/>
              <w:left w:val="nil"/>
              <w:bottom w:val="nil"/>
              <w:right w:val="single" w:sz="4" w:space="0" w:color="auto"/>
            </w:tcBorders>
            <w:shd w:val="clear" w:color="auto" w:fill="auto"/>
            <w:noWrap/>
            <w:vAlign w:val="bottom"/>
            <w:hideMark/>
          </w:tcPr>
          <w:p w14:paraId="1587589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-14.858</w:t>
            </w:r>
          </w:p>
        </w:tc>
      </w:tr>
      <w:tr w:rsidR="001C6945" w:rsidRPr="007256AA" w14:paraId="57E3EF47"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129FA43E"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116C96DF"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0.001</w:t>
            </w:r>
          </w:p>
        </w:tc>
        <w:tc>
          <w:tcPr>
            <w:tcW w:w="1316" w:type="dxa"/>
            <w:gridSpan w:val="2"/>
            <w:tcBorders>
              <w:top w:val="nil"/>
              <w:left w:val="nil"/>
              <w:bottom w:val="nil"/>
              <w:right w:val="nil"/>
            </w:tcBorders>
            <w:shd w:val="clear" w:color="auto" w:fill="auto"/>
            <w:noWrap/>
            <w:vAlign w:val="bottom"/>
            <w:hideMark/>
          </w:tcPr>
          <w:p w14:paraId="0DE4B345"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0.016</w:t>
            </w:r>
          </w:p>
        </w:tc>
        <w:tc>
          <w:tcPr>
            <w:tcW w:w="1177" w:type="dxa"/>
            <w:gridSpan w:val="2"/>
            <w:tcBorders>
              <w:top w:val="nil"/>
              <w:left w:val="nil"/>
              <w:bottom w:val="nil"/>
              <w:right w:val="nil"/>
            </w:tcBorders>
            <w:shd w:val="clear" w:color="auto" w:fill="auto"/>
            <w:noWrap/>
            <w:vAlign w:val="bottom"/>
            <w:hideMark/>
          </w:tcPr>
          <w:p w14:paraId="19BE11C5"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0.046</w:t>
            </w:r>
          </w:p>
        </w:tc>
        <w:tc>
          <w:tcPr>
            <w:tcW w:w="1092" w:type="dxa"/>
            <w:gridSpan w:val="2"/>
            <w:tcBorders>
              <w:top w:val="nil"/>
              <w:left w:val="nil"/>
              <w:bottom w:val="nil"/>
              <w:right w:val="nil"/>
            </w:tcBorders>
            <w:shd w:val="clear" w:color="auto" w:fill="auto"/>
            <w:noWrap/>
            <w:vAlign w:val="bottom"/>
            <w:hideMark/>
          </w:tcPr>
          <w:p w14:paraId="2BBC72C8"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0.129</w:t>
            </w:r>
          </w:p>
        </w:tc>
        <w:tc>
          <w:tcPr>
            <w:tcW w:w="1038" w:type="dxa"/>
            <w:gridSpan w:val="2"/>
            <w:tcBorders>
              <w:top w:val="nil"/>
              <w:left w:val="nil"/>
              <w:bottom w:val="nil"/>
              <w:right w:val="nil"/>
            </w:tcBorders>
            <w:shd w:val="clear" w:color="auto" w:fill="auto"/>
            <w:noWrap/>
            <w:vAlign w:val="bottom"/>
            <w:hideMark/>
          </w:tcPr>
          <w:p w14:paraId="778C2FAE"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0.011</w:t>
            </w:r>
          </w:p>
        </w:tc>
        <w:tc>
          <w:tcPr>
            <w:tcW w:w="968" w:type="dxa"/>
            <w:gridSpan w:val="2"/>
            <w:tcBorders>
              <w:top w:val="nil"/>
              <w:left w:val="nil"/>
              <w:bottom w:val="nil"/>
              <w:right w:val="nil"/>
            </w:tcBorders>
            <w:shd w:val="clear" w:color="auto" w:fill="auto"/>
            <w:noWrap/>
            <w:vAlign w:val="bottom"/>
            <w:hideMark/>
          </w:tcPr>
          <w:p w14:paraId="580E1BEC"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0.010</w:t>
            </w:r>
          </w:p>
        </w:tc>
        <w:tc>
          <w:tcPr>
            <w:tcW w:w="968" w:type="dxa"/>
            <w:tcBorders>
              <w:top w:val="nil"/>
              <w:left w:val="nil"/>
              <w:bottom w:val="nil"/>
              <w:right w:val="single" w:sz="4" w:space="0" w:color="auto"/>
            </w:tcBorders>
            <w:shd w:val="clear" w:color="auto" w:fill="auto"/>
            <w:noWrap/>
            <w:vAlign w:val="bottom"/>
            <w:hideMark/>
          </w:tcPr>
          <w:p w14:paraId="3052145D"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0.002</w:t>
            </w:r>
          </w:p>
        </w:tc>
      </w:tr>
      <w:tr w:rsidR="001C6945" w:rsidRPr="007256AA" w14:paraId="33B57F43"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5E5F592C"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Eurozone</w:t>
            </w:r>
          </w:p>
        </w:tc>
        <w:tc>
          <w:tcPr>
            <w:tcW w:w="1008" w:type="dxa"/>
            <w:gridSpan w:val="2"/>
            <w:tcBorders>
              <w:top w:val="nil"/>
              <w:left w:val="nil"/>
              <w:bottom w:val="nil"/>
              <w:right w:val="nil"/>
            </w:tcBorders>
            <w:shd w:val="clear" w:color="auto" w:fill="auto"/>
            <w:noWrap/>
            <w:vAlign w:val="bottom"/>
            <w:hideMark/>
          </w:tcPr>
          <w:p w14:paraId="0AECD9C9"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-2.765</w:t>
            </w:r>
          </w:p>
        </w:tc>
        <w:tc>
          <w:tcPr>
            <w:tcW w:w="1316" w:type="dxa"/>
            <w:gridSpan w:val="2"/>
            <w:tcBorders>
              <w:top w:val="nil"/>
              <w:left w:val="nil"/>
              <w:bottom w:val="nil"/>
              <w:right w:val="nil"/>
            </w:tcBorders>
            <w:shd w:val="clear" w:color="auto" w:fill="auto"/>
            <w:noWrap/>
            <w:vAlign w:val="bottom"/>
            <w:hideMark/>
          </w:tcPr>
          <w:p w14:paraId="3B6B9D9B"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2.415</w:t>
            </w:r>
          </w:p>
        </w:tc>
        <w:tc>
          <w:tcPr>
            <w:tcW w:w="1177" w:type="dxa"/>
            <w:gridSpan w:val="2"/>
            <w:tcBorders>
              <w:top w:val="nil"/>
              <w:left w:val="nil"/>
              <w:bottom w:val="nil"/>
              <w:right w:val="nil"/>
            </w:tcBorders>
            <w:shd w:val="clear" w:color="auto" w:fill="auto"/>
            <w:noWrap/>
            <w:vAlign w:val="bottom"/>
            <w:hideMark/>
          </w:tcPr>
          <w:p w14:paraId="2A8A15E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14.567</w:t>
            </w:r>
          </w:p>
        </w:tc>
        <w:tc>
          <w:tcPr>
            <w:tcW w:w="1092" w:type="dxa"/>
            <w:gridSpan w:val="2"/>
            <w:tcBorders>
              <w:top w:val="nil"/>
              <w:left w:val="nil"/>
              <w:bottom w:val="nil"/>
              <w:right w:val="nil"/>
            </w:tcBorders>
            <w:shd w:val="clear" w:color="auto" w:fill="auto"/>
            <w:noWrap/>
            <w:vAlign w:val="bottom"/>
            <w:hideMark/>
          </w:tcPr>
          <w:p w14:paraId="0E763906"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-7.342</w:t>
            </w:r>
          </w:p>
        </w:tc>
        <w:tc>
          <w:tcPr>
            <w:tcW w:w="1038" w:type="dxa"/>
            <w:gridSpan w:val="2"/>
            <w:tcBorders>
              <w:top w:val="nil"/>
              <w:left w:val="nil"/>
              <w:bottom w:val="nil"/>
              <w:right w:val="nil"/>
            </w:tcBorders>
            <w:shd w:val="clear" w:color="auto" w:fill="auto"/>
            <w:noWrap/>
            <w:vAlign w:val="bottom"/>
            <w:hideMark/>
          </w:tcPr>
          <w:p w14:paraId="68765E50"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-8.189</w:t>
            </w:r>
          </w:p>
        </w:tc>
        <w:tc>
          <w:tcPr>
            <w:tcW w:w="968" w:type="dxa"/>
            <w:gridSpan w:val="2"/>
            <w:tcBorders>
              <w:top w:val="nil"/>
              <w:left w:val="nil"/>
              <w:bottom w:val="nil"/>
              <w:right w:val="nil"/>
            </w:tcBorders>
            <w:shd w:val="clear" w:color="auto" w:fill="auto"/>
            <w:noWrap/>
            <w:vAlign w:val="bottom"/>
            <w:hideMark/>
          </w:tcPr>
          <w:p w14:paraId="200D19AD"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-17.510</w:t>
            </w:r>
          </w:p>
        </w:tc>
        <w:tc>
          <w:tcPr>
            <w:tcW w:w="968" w:type="dxa"/>
            <w:tcBorders>
              <w:top w:val="nil"/>
              <w:left w:val="nil"/>
              <w:bottom w:val="nil"/>
              <w:right w:val="single" w:sz="4" w:space="0" w:color="auto"/>
            </w:tcBorders>
            <w:shd w:val="clear" w:color="auto" w:fill="auto"/>
            <w:noWrap/>
            <w:vAlign w:val="bottom"/>
            <w:hideMark/>
          </w:tcPr>
          <w:p w14:paraId="319EC9EE"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-8.631</w:t>
            </w:r>
          </w:p>
        </w:tc>
      </w:tr>
      <w:tr w:rsidR="001C6945" w:rsidRPr="007256AA" w14:paraId="774FCF4F"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54DFF1F9"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2E52C5FC"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0.471</w:t>
            </w:r>
          </w:p>
        </w:tc>
        <w:tc>
          <w:tcPr>
            <w:tcW w:w="1316" w:type="dxa"/>
            <w:gridSpan w:val="2"/>
            <w:tcBorders>
              <w:top w:val="nil"/>
              <w:left w:val="nil"/>
              <w:bottom w:val="nil"/>
              <w:right w:val="nil"/>
            </w:tcBorders>
            <w:shd w:val="clear" w:color="auto" w:fill="auto"/>
            <w:noWrap/>
            <w:vAlign w:val="bottom"/>
            <w:hideMark/>
          </w:tcPr>
          <w:p w14:paraId="388216EF"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0.582</w:t>
            </w:r>
          </w:p>
        </w:tc>
        <w:tc>
          <w:tcPr>
            <w:tcW w:w="1177" w:type="dxa"/>
            <w:gridSpan w:val="2"/>
            <w:tcBorders>
              <w:top w:val="nil"/>
              <w:left w:val="nil"/>
              <w:bottom w:val="nil"/>
              <w:right w:val="nil"/>
            </w:tcBorders>
            <w:shd w:val="clear" w:color="auto" w:fill="auto"/>
            <w:noWrap/>
            <w:vAlign w:val="bottom"/>
            <w:hideMark/>
          </w:tcPr>
          <w:p w14:paraId="71B6A61D"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0.076</w:t>
            </w:r>
          </w:p>
        </w:tc>
        <w:tc>
          <w:tcPr>
            <w:tcW w:w="1092" w:type="dxa"/>
            <w:gridSpan w:val="2"/>
            <w:tcBorders>
              <w:top w:val="nil"/>
              <w:left w:val="nil"/>
              <w:bottom w:val="nil"/>
              <w:right w:val="nil"/>
            </w:tcBorders>
            <w:shd w:val="clear" w:color="auto" w:fill="auto"/>
            <w:noWrap/>
            <w:vAlign w:val="bottom"/>
            <w:hideMark/>
          </w:tcPr>
          <w:p w14:paraId="070F97D5"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0.073</w:t>
            </w:r>
          </w:p>
        </w:tc>
        <w:tc>
          <w:tcPr>
            <w:tcW w:w="1038" w:type="dxa"/>
            <w:gridSpan w:val="2"/>
            <w:tcBorders>
              <w:top w:val="nil"/>
              <w:left w:val="nil"/>
              <w:bottom w:val="nil"/>
              <w:right w:val="nil"/>
            </w:tcBorders>
            <w:shd w:val="clear" w:color="auto" w:fill="auto"/>
            <w:noWrap/>
            <w:vAlign w:val="bottom"/>
            <w:hideMark/>
          </w:tcPr>
          <w:p w14:paraId="7C406C11"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8" w:type="dxa"/>
            <w:gridSpan w:val="2"/>
            <w:tcBorders>
              <w:top w:val="nil"/>
              <w:left w:val="nil"/>
              <w:bottom w:val="nil"/>
              <w:right w:val="nil"/>
            </w:tcBorders>
            <w:shd w:val="clear" w:color="auto" w:fill="auto"/>
            <w:noWrap/>
            <w:vAlign w:val="bottom"/>
            <w:hideMark/>
          </w:tcPr>
          <w:p w14:paraId="4E7EB007"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0.046</w:t>
            </w:r>
          </w:p>
        </w:tc>
        <w:tc>
          <w:tcPr>
            <w:tcW w:w="968" w:type="dxa"/>
            <w:tcBorders>
              <w:top w:val="nil"/>
              <w:left w:val="nil"/>
              <w:bottom w:val="nil"/>
              <w:right w:val="single" w:sz="4" w:space="0" w:color="auto"/>
            </w:tcBorders>
            <w:shd w:val="clear" w:color="auto" w:fill="auto"/>
            <w:noWrap/>
            <w:vAlign w:val="bottom"/>
            <w:hideMark/>
          </w:tcPr>
          <w:p w14:paraId="6D33CD17"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0.041</w:t>
            </w:r>
          </w:p>
        </w:tc>
      </w:tr>
      <w:tr w:rsidR="001C6945" w:rsidRPr="007256AA" w14:paraId="39235208"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4BD0EF87"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Adj. R2</w:t>
            </w:r>
          </w:p>
        </w:tc>
        <w:tc>
          <w:tcPr>
            <w:tcW w:w="1008" w:type="dxa"/>
            <w:gridSpan w:val="2"/>
            <w:tcBorders>
              <w:top w:val="nil"/>
              <w:left w:val="nil"/>
              <w:bottom w:val="nil"/>
              <w:right w:val="nil"/>
            </w:tcBorders>
            <w:shd w:val="clear" w:color="auto" w:fill="auto"/>
            <w:noWrap/>
            <w:vAlign w:val="bottom"/>
            <w:hideMark/>
          </w:tcPr>
          <w:p w14:paraId="2981E230"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0.912</w:t>
            </w:r>
          </w:p>
        </w:tc>
        <w:tc>
          <w:tcPr>
            <w:tcW w:w="1316" w:type="dxa"/>
            <w:gridSpan w:val="2"/>
            <w:tcBorders>
              <w:top w:val="nil"/>
              <w:left w:val="nil"/>
              <w:bottom w:val="nil"/>
              <w:right w:val="nil"/>
            </w:tcBorders>
            <w:shd w:val="clear" w:color="auto" w:fill="auto"/>
            <w:noWrap/>
            <w:vAlign w:val="bottom"/>
            <w:hideMark/>
          </w:tcPr>
          <w:p w14:paraId="76CF2499"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0.884</w:t>
            </w:r>
          </w:p>
        </w:tc>
        <w:tc>
          <w:tcPr>
            <w:tcW w:w="1177" w:type="dxa"/>
            <w:gridSpan w:val="2"/>
            <w:tcBorders>
              <w:top w:val="nil"/>
              <w:left w:val="nil"/>
              <w:bottom w:val="nil"/>
              <w:right w:val="nil"/>
            </w:tcBorders>
            <w:shd w:val="clear" w:color="auto" w:fill="auto"/>
            <w:noWrap/>
            <w:vAlign w:val="bottom"/>
            <w:hideMark/>
          </w:tcPr>
          <w:p w14:paraId="03BC07A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0.888</w:t>
            </w:r>
          </w:p>
        </w:tc>
        <w:tc>
          <w:tcPr>
            <w:tcW w:w="1092" w:type="dxa"/>
            <w:gridSpan w:val="2"/>
            <w:tcBorders>
              <w:top w:val="nil"/>
              <w:left w:val="nil"/>
              <w:bottom w:val="nil"/>
              <w:right w:val="nil"/>
            </w:tcBorders>
            <w:shd w:val="clear" w:color="auto" w:fill="auto"/>
            <w:noWrap/>
            <w:vAlign w:val="bottom"/>
            <w:hideMark/>
          </w:tcPr>
          <w:p w14:paraId="5F7D83AD"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0.898</w:t>
            </w:r>
          </w:p>
        </w:tc>
        <w:tc>
          <w:tcPr>
            <w:tcW w:w="1038" w:type="dxa"/>
            <w:gridSpan w:val="2"/>
            <w:tcBorders>
              <w:top w:val="nil"/>
              <w:left w:val="nil"/>
              <w:bottom w:val="nil"/>
              <w:right w:val="nil"/>
            </w:tcBorders>
            <w:shd w:val="clear" w:color="auto" w:fill="auto"/>
            <w:noWrap/>
            <w:vAlign w:val="bottom"/>
            <w:hideMark/>
          </w:tcPr>
          <w:p w14:paraId="6D317C08"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0.914</w:t>
            </w:r>
          </w:p>
        </w:tc>
        <w:tc>
          <w:tcPr>
            <w:tcW w:w="968" w:type="dxa"/>
            <w:gridSpan w:val="2"/>
            <w:tcBorders>
              <w:top w:val="nil"/>
              <w:left w:val="nil"/>
              <w:bottom w:val="nil"/>
              <w:right w:val="nil"/>
            </w:tcBorders>
            <w:shd w:val="clear" w:color="auto" w:fill="auto"/>
            <w:noWrap/>
            <w:vAlign w:val="bottom"/>
            <w:hideMark/>
          </w:tcPr>
          <w:p w14:paraId="1E70263C"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0.746</w:t>
            </w:r>
          </w:p>
        </w:tc>
        <w:tc>
          <w:tcPr>
            <w:tcW w:w="968" w:type="dxa"/>
            <w:tcBorders>
              <w:top w:val="nil"/>
              <w:left w:val="nil"/>
              <w:bottom w:val="nil"/>
              <w:right w:val="single" w:sz="4" w:space="0" w:color="auto"/>
            </w:tcBorders>
            <w:shd w:val="clear" w:color="auto" w:fill="auto"/>
            <w:noWrap/>
            <w:vAlign w:val="bottom"/>
            <w:hideMark/>
          </w:tcPr>
          <w:p w14:paraId="4F7791DB"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0.921</w:t>
            </w:r>
          </w:p>
        </w:tc>
      </w:tr>
      <w:tr w:rsidR="001C6945" w:rsidRPr="007256AA" w14:paraId="77C42A11"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1B0EBDB9"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c>
          <w:tcPr>
            <w:tcW w:w="1008" w:type="dxa"/>
            <w:gridSpan w:val="2"/>
            <w:tcBorders>
              <w:top w:val="nil"/>
              <w:left w:val="nil"/>
              <w:bottom w:val="nil"/>
              <w:right w:val="nil"/>
            </w:tcBorders>
            <w:shd w:val="clear" w:color="auto" w:fill="auto"/>
            <w:noWrap/>
            <w:vAlign w:val="bottom"/>
            <w:hideMark/>
          </w:tcPr>
          <w:p w14:paraId="1F911A41" w14:textId="77777777" w:rsidR="001C6945" w:rsidRPr="007256AA" w:rsidRDefault="001C6945" w:rsidP="007272ED">
            <w:pPr>
              <w:spacing w:after="0" w:line="240" w:lineRule="auto"/>
              <w:rPr>
                <w:rFonts w:ascii="Calibri" w:eastAsia="Times New Roman" w:hAnsi="Calibri" w:cs="Calibri"/>
                <w:color w:val="000000"/>
                <w:lang w:eastAsia="en-IE"/>
              </w:rPr>
            </w:pPr>
          </w:p>
        </w:tc>
        <w:tc>
          <w:tcPr>
            <w:tcW w:w="1316" w:type="dxa"/>
            <w:gridSpan w:val="2"/>
            <w:tcBorders>
              <w:top w:val="nil"/>
              <w:left w:val="nil"/>
              <w:bottom w:val="nil"/>
              <w:right w:val="nil"/>
            </w:tcBorders>
            <w:shd w:val="clear" w:color="auto" w:fill="auto"/>
            <w:noWrap/>
            <w:vAlign w:val="bottom"/>
            <w:hideMark/>
          </w:tcPr>
          <w:p w14:paraId="1CA9045C" w14:textId="77777777" w:rsidR="001C6945" w:rsidRPr="007256AA" w:rsidRDefault="001C6945" w:rsidP="007272ED">
            <w:pPr>
              <w:spacing w:after="0" w:line="240" w:lineRule="auto"/>
              <w:rPr>
                <w:rFonts w:ascii="Calibri" w:eastAsia="Times New Roman" w:hAnsi="Calibri" w:cs="Calibri"/>
                <w:color w:val="000000"/>
                <w:lang w:eastAsia="en-IE"/>
              </w:rPr>
            </w:pPr>
          </w:p>
        </w:tc>
        <w:tc>
          <w:tcPr>
            <w:tcW w:w="1177" w:type="dxa"/>
            <w:gridSpan w:val="2"/>
            <w:tcBorders>
              <w:top w:val="nil"/>
              <w:left w:val="nil"/>
              <w:bottom w:val="nil"/>
              <w:right w:val="nil"/>
            </w:tcBorders>
            <w:shd w:val="clear" w:color="auto" w:fill="auto"/>
            <w:noWrap/>
            <w:vAlign w:val="bottom"/>
            <w:hideMark/>
          </w:tcPr>
          <w:p w14:paraId="1B19019C" w14:textId="77777777" w:rsidR="001C6945" w:rsidRPr="007256AA" w:rsidRDefault="001C6945" w:rsidP="007272ED">
            <w:pPr>
              <w:spacing w:after="0" w:line="240" w:lineRule="auto"/>
              <w:rPr>
                <w:rFonts w:ascii="Calibri" w:eastAsia="Times New Roman" w:hAnsi="Calibri" w:cs="Calibri"/>
                <w:color w:val="000000"/>
                <w:lang w:eastAsia="en-IE"/>
              </w:rPr>
            </w:pPr>
          </w:p>
        </w:tc>
        <w:tc>
          <w:tcPr>
            <w:tcW w:w="1092" w:type="dxa"/>
            <w:gridSpan w:val="2"/>
            <w:tcBorders>
              <w:top w:val="nil"/>
              <w:left w:val="nil"/>
              <w:bottom w:val="nil"/>
              <w:right w:val="nil"/>
            </w:tcBorders>
            <w:shd w:val="clear" w:color="auto" w:fill="auto"/>
            <w:noWrap/>
            <w:vAlign w:val="bottom"/>
            <w:hideMark/>
          </w:tcPr>
          <w:p w14:paraId="295F7C63" w14:textId="77777777" w:rsidR="001C6945" w:rsidRPr="007256AA" w:rsidRDefault="001C6945" w:rsidP="007272ED">
            <w:pPr>
              <w:spacing w:after="0" w:line="240" w:lineRule="auto"/>
              <w:rPr>
                <w:rFonts w:ascii="Calibri" w:eastAsia="Times New Roman" w:hAnsi="Calibri" w:cs="Calibri"/>
                <w:color w:val="000000"/>
                <w:lang w:eastAsia="en-IE"/>
              </w:rPr>
            </w:pPr>
          </w:p>
        </w:tc>
        <w:tc>
          <w:tcPr>
            <w:tcW w:w="1038" w:type="dxa"/>
            <w:gridSpan w:val="2"/>
            <w:tcBorders>
              <w:top w:val="nil"/>
              <w:left w:val="nil"/>
              <w:bottom w:val="nil"/>
              <w:right w:val="nil"/>
            </w:tcBorders>
            <w:shd w:val="clear" w:color="auto" w:fill="auto"/>
            <w:noWrap/>
            <w:vAlign w:val="bottom"/>
            <w:hideMark/>
          </w:tcPr>
          <w:p w14:paraId="4F33BD14" w14:textId="77777777" w:rsidR="001C6945" w:rsidRPr="007256AA" w:rsidRDefault="001C6945" w:rsidP="007272ED">
            <w:pPr>
              <w:spacing w:after="0" w:line="240" w:lineRule="auto"/>
              <w:rPr>
                <w:rFonts w:ascii="Calibri" w:eastAsia="Times New Roman" w:hAnsi="Calibri" w:cs="Calibri"/>
                <w:color w:val="000000"/>
                <w:lang w:eastAsia="en-IE"/>
              </w:rPr>
            </w:pPr>
          </w:p>
        </w:tc>
        <w:tc>
          <w:tcPr>
            <w:tcW w:w="968" w:type="dxa"/>
            <w:gridSpan w:val="2"/>
            <w:tcBorders>
              <w:top w:val="nil"/>
              <w:left w:val="nil"/>
              <w:bottom w:val="nil"/>
              <w:right w:val="nil"/>
            </w:tcBorders>
            <w:shd w:val="clear" w:color="auto" w:fill="auto"/>
            <w:noWrap/>
            <w:vAlign w:val="bottom"/>
            <w:hideMark/>
          </w:tcPr>
          <w:p w14:paraId="0EE97D50" w14:textId="77777777" w:rsidR="001C6945" w:rsidRPr="007256AA" w:rsidRDefault="001C6945" w:rsidP="007272ED">
            <w:pPr>
              <w:spacing w:after="0" w:line="240" w:lineRule="auto"/>
              <w:rPr>
                <w:rFonts w:ascii="Calibri" w:eastAsia="Times New Roman" w:hAnsi="Calibri" w:cs="Calibri"/>
                <w:color w:val="000000"/>
                <w:lang w:eastAsia="en-IE"/>
              </w:rPr>
            </w:pPr>
          </w:p>
        </w:tc>
        <w:tc>
          <w:tcPr>
            <w:tcW w:w="968" w:type="dxa"/>
            <w:tcBorders>
              <w:top w:val="nil"/>
              <w:left w:val="nil"/>
              <w:bottom w:val="nil"/>
              <w:right w:val="single" w:sz="4" w:space="0" w:color="auto"/>
            </w:tcBorders>
            <w:shd w:val="clear" w:color="auto" w:fill="auto"/>
            <w:noWrap/>
            <w:vAlign w:val="bottom"/>
            <w:hideMark/>
          </w:tcPr>
          <w:p w14:paraId="2E791FC2"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75EF23C2"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3B8ED127"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c>
          <w:tcPr>
            <w:tcW w:w="1008" w:type="dxa"/>
            <w:gridSpan w:val="2"/>
            <w:tcBorders>
              <w:top w:val="nil"/>
              <w:left w:val="nil"/>
              <w:bottom w:val="nil"/>
              <w:right w:val="nil"/>
            </w:tcBorders>
            <w:shd w:val="clear" w:color="auto" w:fill="auto"/>
            <w:noWrap/>
            <w:vAlign w:val="bottom"/>
            <w:hideMark/>
          </w:tcPr>
          <w:p w14:paraId="70FA8C1F"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Australia</w:t>
            </w:r>
          </w:p>
        </w:tc>
        <w:tc>
          <w:tcPr>
            <w:tcW w:w="1316" w:type="dxa"/>
            <w:gridSpan w:val="2"/>
            <w:tcBorders>
              <w:top w:val="nil"/>
              <w:left w:val="nil"/>
              <w:bottom w:val="nil"/>
              <w:right w:val="nil"/>
            </w:tcBorders>
            <w:shd w:val="clear" w:color="auto" w:fill="auto"/>
            <w:noWrap/>
            <w:vAlign w:val="bottom"/>
            <w:hideMark/>
          </w:tcPr>
          <w:p w14:paraId="56DE81FD"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Belgium</w:t>
            </w:r>
          </w:p>
        </w:tc>
        <w:tc>
          <w:tcPr>
            <w:tcW w:w="1177" w:type="dxa"/>
            <w:gridSpan w:val="2"/>
            <w:tcBorders>
              <w:top w:val="nil"/>
              <w:left w:val="nil"/>
              <w:bottom w:val="nil"/>
              <w:right w:val="nil"/>
            </w:tcBorders>
            <w:shd w:val="clear" w:color="auto" w:fill="auto"/>
            <w:noWrap/>
            <w:vAlign w:val="bottom"/>
            <w:hideMark/>
          </w:tcPr>
          <w:p w14:paraId="312DA326"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Canada</w:t>
            </w:r>
          </w:p>
        </w:tc>
        <w:tc>
          <w:tcPr>
            <w:tcW w:w="1092" w:type="dxa"/>
            <w:gridSpan w:val="2"/>
            <w:tcBorders>
              <w:top w:val="nil"/>
              <w:left w:val="nil"/>
              <w:bottom w:val="nil"/>
              <w:right w:val="nil"/>
            </w:tcBorders>
            <w:shd w:val="clear" w:color="auto" w:fill="auto"/>
            <w:noWrap/>
            <w:vAlign w:val="bottom"/>
            <w:hideMark/>
          </w:tcPr>
          <w:p w14:paraId="3ED8B349"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France</w:t>
            </w:r>
          </w:p>
        </w:tc>
        <w:tc>
          <w:tcPr>
            <w:tcW w:w="1038" w:type="dxa"/>
            <w:gridSpan w:val="2"/>
            <w:tcBorders>
              <w:top w:val="nil"/>
              <w:left w:val="nil"/>
              <w:bottom w:val="nil"/>
              <w:right w:val="nil"/>
            </w:tcBorders>
            <w:shd w:val="clear" w:color="auto" w:fill="auto"/>
            <w:noWrap/>
            <w:vAlign w:val="bottom"/>
            <w:hideMark/>
          </w:tcPr>
          <w:p w14:paraId="1A62C021"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Germany</w:t>
            </w:r>
          </w:p>
        </w:tc>
        <w:tc>
          <w:tcPr>
            <w:tcW w:w="968" w:type="dxa"/>
            <w:gridSpan w:val="2"/>
            <w:tcBorders>
              <w:top w:val="nil"/>
              <w:left w:val="nil"/>
              <w:bottom w:val="nil"/>
              <w:right w:val="nil"/>
            </w:tcBorders>
            <w:shd w:val="clear" w:color="auto" w:fill="auto"/>
            <w:noWrap/>
            <w:vAlign w:val="bottom"/>
            <w:hideMark/>
          </w:tcPr>
          <w:p w14:paraId="597165D6"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Italy</w:t>
            </w:r>
          </w:p>
        </w:tc>
        <w:tc>
          <w:tcPr>
            <w:tcW w:w="968" w:type="dxa"/>
            <w:tcBorders>
              <w:top w:val="nil"/>
              <w:left w:val="nil"/>
              <w:bottom w:val="nil"/>
              <w:right w:val="single" w:sz="4" w:space="0" w:color="auto"/>
            </w:tcBorders>
            <w:shd w:val="clear" w:color="auto" w:fill="auto"/>
            <w:noWrap/>
            <w:vAlign w:val="bottom"/>
            <w:hideMark/>
          </w:tcPr>
          <w:p w14:paraId="6E5CB741"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3C443F03"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723BC016"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Intercept</w:t>
            </w:r>
          </w:p>
        </w:tc>
        <w:tc>
          <w:tcPr>
            <w:tcW w:w="1008" w:type="dxa"/>
            <w:gridSpan w:val="2"/>
            <w:tcBorders>
              <w:top w:val="nil"/>
              <w:left w:val="nil"/>
              <w:bottom w:val="nil"/>
              <w:right w:val="nil"/>
            </w:tcBorders>
            <w:shd w:val="clear" w:color="auto" w:fill="auto"/>
            <w:noWrap/>
            <w:vAlign w:val="bottom"/>
            <w:hideMark/>
          </w:tcPr>
          <w:p w14:paraId="7944FA8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95.825</w:t>
            </w:r>
          </w:p>
        </w:tc>
        <w:tc>
          <w:tcPr>
            <w:tcW w:w="1316" w:type="dxa"/>
            <w:gridSpan w:val="2"/>
            <w:tcBorders>
              <w:top w:val="nil"/>
              <w:left w:val="nil"/>
              <w:bottom w:val="nil"/>
              <w:right w:val="nil"/>
            </w:tcBorders>
            <w:shd w:val="clear" w:color="auto" w:fill="auto"/>
            <w:noWrap/>
            <w:vAlign w:val="bottom"/>
            <w:hideMark/>
          </w:tcPr>
          <w:p w14:paraId="664B4A6E"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89.576</w:t>
            </w:r>
          </w:p>
        </w:tc>
        <w:tc>
          <w:tcPr>
            <w:tcW w:w="1177" w:type="dxa"/>
            <w:gridSpan w:val="2"/>
            <w:tcBorders>
              <w:top w:val="nil"/>
              <w:left w:val="nil"/>
              <w:bottom w:val="nil"/>
              <w:right w:val="nil"/>
            </w:tcBorders>
            <w:shd w:val="clear" w:color="auto" w:fill="auto"/>
            <w:noWrap/>
            <w:vAlign w:val="bottom"/>
            <w:hideMark/>
          </w:tcPr>
          <w:p w14:paraId="71734BE1"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95.656</w:t>
            </w:r>
          </w:p>
        </w:tc>
        <w:tc>
          <w:tcPr>
            <w:tcW w:w="1092" w:type="dxa"/>
            <w:gridSpan w:val="2"/>
            <w:tcBorders>
              <w:top w:val="nil"/>
              <w:left w:val="nil"/>
              <w:bottom w:val="nil"/>
              <w:right w:val="nil"/>
            </w:tcBorders>
            <w:shd w:val="clear" w:color="auto" w:fill="auto"/>
            <w:noWrap/>
            <w:vAlign w:val="bottom"/>
            <w:hideMark/>
          </w:tcPr>
          <w:p w14:paraId="6F32E27C"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93.034</w:t>
            </w:r>
          </w:p>
        </w:tc>
        <w:tc>
          <w:tcPr>
            <w:tcW w:w="1038" w:type="dxa"/>
            <w:gridSpan w:val="2"/>
            <w:tcBorders>
              <w:top w:val="nil"/>
              <w:left w:val="nil"/>
              <w:bottom w:val="nil"/>
              <w:right w:val="nil"/>
            </w:tcBorders>
            <w:shd w:val="clear" w:color="auto" w:fill="auto"/>
            <w:noWrap/>
            <w:vAlign w:val="bottom"/>
            <w:hideMark/>
          </w:tcPr>
          <w:p w14:paraId="0E2790AF"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89.994</w:t>
            </w:r>
          </w:p>
        </w:tc>
        <w:tc>
          <w:tcPr>
            <w:tcW w:w="968" w:type="dxa"/>
            <w:gridSpan w:val="2"/>
            <w:tcBorders>
              <w:top w:val="nil"/>
              <w:left w:val="nil"/>
              <w:bottom w:val="nil"/>
              <w:right w:val="nil"/>
            </w:tcBorders>
            <w:shd w:val="clear" w:color="auto" w:fill="auto"/>
            <w:noWrap/>
            <w:vAlign w:val="bottom"/>
            <w:hideMark/>
          </w:tcPr>
          <w:p w14:paraId="1EE630C4"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98.402</w:t>
            </w:r>
          </w:p>
        </w:tc>
        <w:tc>
          <w:tcPr>
            <w:tcW w:w="968" w:type="dxa"/>
            <w:tcBorders>
              <w:top w:val="nil"/>
              <w:left w:val="nil"/>
              <w:bottom w:val="nil"/>
              <w:right w:val="single" w:sz="4" w:space="0" w:color="auto"/>
            </w:tcBorders>
            <w:shd w:val="clear" w:color="auto" w:fill="auto"/>
            <w:noWrap/>
            <w:vAlign w:val="bottom"/>
            <w:hideMark/>
          </w:tcPr>
          <w:p w14:paraId="7FE9829A"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56815516"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213233AD"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1DF548AB"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316" w:type="dxa"/>
            <w:gridSpan w:val="2"/>
            <w:tcBorders>
              <w:top w:val="nil"/>
              <w:left w:val="nil"/>
              <w:bottom w:val="nil"/>
              <w:right w:val="nil"/>
            </w:tcBorders>
            <w:shd w:val="clear" w:color="auto" w:fill="auto"/>
            <w:noWrap/>
            <w:vAlign w:val="bottom"/>
            <w:hideMark/>
          </w:tcPr>
          <w:p w14:paraId="65F19346"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177" w:type="dxa"/>
            <w:gridSpan w:val="2"/>
            <w:tcBorders>
              <w:top w:val="nil"/>
              <w:left w:val="nil"/>
              <w:bottom w:val="nil"/>
              <w:right w:val="nil"/>
            </w:tcBorders>
            <w:shd w:val="clear" w:color="auto" w:fill="auto"/>
            <w:noWrap/>
            <w:vAlign w:val="bottom"/>
            <w:hideMark/>
          </w:tcPr>
          <w:p w14:paraId="7FABC562"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92" w:type="dxa"/>
            <w:gridSpan w:val="2"/>
            <w:tcBorders>
              <w:top w:val="nil"/>
              <w:left w:val="nil"/>
              <w:bottom w:val="nil"/>
              <w:right w:val="nil"/>
            </w:tcBorders>
            <w:shd w:val="clear" w:color="auto" w:fill="auto"/>
            <w:noWrap/>
            <w:vAlign w:val="bottom"/>
            <w:hideMark/>
          </w:tcPr>
          <w:p w14:paraId="7BC04273"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38" w:type="dxa"/>
            <w:gridSpan w:val="2"/>
            <w:tcBorders>
              <w:top w:val="nil"/>
              <w:left w:val="nil"/>
              <w:bottom w:val="nil"/>
              <w:right w:val="nil"/>
            </w:tcBorders>
            <w:shd w:val="clear" w:color="auto" w:fill="auto"/>
            <w:noWrap/>
            <w:vAlign w:val="bottom"/>
            <w:hideMark/>
          </w:tcPr>
          <w:p w14:paraId="19C22DBD"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8" w:type="dxa"/>
            <w:gridSpan w:val="2"/>
            <w:tcBorders>
              <w:top w:val="nil"/>
              <w:left w:val="nil"/>
              <w:bottom w:val="nil"/>
              <w:right w:val="nil"/>
            </w:tcBorders>
            <w:shd w:val="clear" w:color="auto" w:fill="auto"/>
            <w:noWrap/>
            <w:vAlign w:val="bottom"/>
            <w:hideMark/>
          </w:tcPr>
          <w:p w14:paraId="49617E28"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8" w:type="dxa"/>
            <w:tcBorders>
              <w:top w:val="nil"/>
              <w:left w:val="nil"/>
              <w:bottom w:val="nil"/>
              <w:right w:val="single" w:sz="4" w:space="0" w:color="auto"/>
            </w:tcBorders>
            <w:shd w:val="clear" w:color="auto" w:fill="auto"/>
            <w:noWrap/>
            <w:vAlign w:val="bottom"/>
            <w:hideMark/>
          </w:tcPr>
          <w:p w14:paraId="3C319DD9"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1C6945" w:rsidRPr="007256AA" w14:paraId="688288DA"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3AAA233B"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TED</w:t>
            </w:r>
          </w:p>
        </w:tc>
        <w:tc>
          <w:tcPr>
            <w:tcW w:w="1008" w:type="dxa"/>
            <w:gridSpan w:val="2"/>
            <w:tcBorders>
              <w:top w:val="nil"/>
              <w:left w:val="nil"/>
              <w:bottom w:val="nil"/>
              <w:right w:val="nil"/>
            </w:tcBorders>
            <w:shd w:val="clear" w:color="auto" w:fill="auto"/>
            <w:noWrap/>
            <w:vAlign w:val="bottom"/>
            <w:hideMark/>
          </w:tcPr>
          <w:p w14:paraId="2C165A0A"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-16.234</w:t>
            </w:r>
          </w:p>
        </w:tc>
        <w:tc>
          <w:tcPr>
            <w:tcW w:w="1316" w:type="dxa"/>
            <w:gridSpan w:val="2"/>
            <w:tcBorders>
              <w:top w:val="nil"/>
              <w:left w:val="nil"/>
              <w:bottom w:val="nil"/>
              <w:right w:val="nil"/>
            </w:tcBorders>
            <w:shd w:val="clear" w:color="auto" w:fill="auto"/>
            <w:noWrap/>
            <w:vAlign w:val="bottom"/>
            <w:hideMark/>
          </w:tcPr>
          <w:p w14:paraId="7088EFAC"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-0.540</w:t>
            </w:r>
          </w:p>
        </w:tc>
        <w:tc>
          <w:tcPr>
            <w:tcW w:w="1177" w:type="dxa"/>
            <w:gridSpan w:val="2"/>
            <w:tcBorders>
              <w:top w:val="nil"/>
              <w:left w:val="nil"/>
              <w:bottom w:val="nil"/>
              <w:right w:val="nil"/>
            </w:tcBorders>
            <w:shd w:val="clear" w:color="auto" w:fill="auto"/>
            <w:noWrap/>
            <w:vAlign w:val="bottom"/>
            <w:hideMark/>
          </w:tcPr>
          <w:p w14:paraId="505F829C"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-16.279</w:t>
            </w:r>
          </w:p>
        </w:tc>
        <w:tc>
          <w:tcPr>
            <w:tcW w:w="1092" w:type="dxa"/>
            <w:gridSpan w:val="2"/>
            <w:tcBorders>
              <w:top w:val="nil"/>
              <w:left w:val="nil"/>
              <w:bottom w:val="nil"/>
              <w:right w:val="nil"/>
            </w:tcBorders>
            <w:shd w:val="clear" w:color="auto" w:fill="auto"/>
            <w:noWrap/>
            <w:vAlign w:val="bottom"/>
            <w:hideMark/>
          </w:tcPr>
          <w:p w14:paraId="7B226E83"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-3.070</w:t>
            </w:r>
          </w:p>
        </w:tc>
        <w:tc>
          <w:tcPr>
            <w:tcW w:w="1038" w:type="dxa"/>
            <w:gridSpan w:val="2"/>
            <w:tcBorders>
              <w:top w:val="nil"/>
              <w:left w:val="nil"/>
              <w:bottom w:val="nil"/>
              <w:right w:val="nil"/>
            </w:tcBorders>
            <w:shd w:val="clear" w:color="auto" w:fill="auto"/>
            <w:noWrap/>
            <w:vAlign w:val="bottom"/>
            <w:hideMark/>
          </w:tcPr>
          <w:p w14:paraId="72F6A19B"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1.475</w:t>
            </w:r>
          </w:p>
        </w:tc>
        <w:tc>
          <w:tcPr>
            <w:tcW w:w="968" w:type="dxa"/>
            <w:gridSpan w:val="2"/>
            <w:tcBorders>
              <w:top w:val="nil"/>
              <w:left w:val="nil"/>
              <w:bottom w:val="nil"/>
              <w:right w:val="nil"/>
            </w:tcBorders>
            <w:shd w:val="clear" w:color="auto" w:fill="auto"/>
            <w:noWrap/>
            <w:vAlign w:val="bottom"/>
            <w:hideMark/>
          </w:tcPr>
          <w:p w14:paraId="7AA2A79F"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9.063</w:t>
            </w:r>
          </w:p>
        </w:tc>
        <w:tc>
          <w:tcPr>
            <w:tcW w:w="968" w:type="dxa"/>
            <w:tcBorders>
              <w:top w:val="nil"/>
              <w:left w:val="nil"/>
              <w:bottom w:val="nil"/>
              <w:right w:val="single" w:sz="4" w:space="0" w:color="auto"/>
            </w:tcBorders>
            <w:shd w:val="clear" w:color="auto" w:fill="auto"/>
            <w:noWrap/>
            <w:vAlign w:val="bottom"/>
            <w:hideMark/>
          </w:tcPr>
          <w:p w14:paraId="4D0589C1"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4E2FC0DD"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72C907EE"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25423584"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0.184</w:t>
            </w:r>
          </w:p>
        </w:tc>
        <w:tc>
          <w:tcPr>
            <w:tcW w:w="1316" w:type="dxa"/>
            <w:gridSpan w:val="2"/>
            <w:tcBorders>
              <w:top w:val="nil"/>
              <w:left w:val="nil"/>
              <w:bottom w:val="nil"/>
              <w:right w:val="nil"/>
            </w:tcBorders>
            <w:shd w:val="clear" w:color="auto" w:fill="auto"/>
            <w:noWrap/>
            <w:vAlign w:val="bottom"/>
            <w:hideMark/>
          </w:tcPr>
          <w:p w14:paraId="780BCCC3"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0.927</w:t>
            </w:r>
          </w:p>
        </w:tc>
        <w:tc>
          <w:tcPr>
            <w:tcW w:w="1177" w:type="dxa"/>
            <w:gridSpan w:val="2"/>
            <w:tcBorders>
              <w:top w:val="nil"/>
              <w:left w:val="nil"/>
              <w:bottom w:val="nil"/>
              <w:right w:val="nil"/>
            </w:tcBorders>
            <w:shd w:val="clear" w:color="auto" w:fill="auto"/>
            <w:noWrap/>
            <w:vAlign w:val="bottom"/>
            <w:hideMark/>
          </w:tcPr>
          <w:p w14:paraId="77BB3D70"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0.001</w:t>
            </w:r>
          </w:p>
        </w:tc>
        <w:tc>
          <w:tcPr>
            <w:tcW w:w="1092" w:type="dxa"/>
            <w:gridSpan w:val="2"/>
            <w:tcBorders>
              <w:top w:val="nil"/>
              <w:left w:val="nil"/>
              <w:bottom w:val="nil"/>
              <w:right w:val="nil"/>
            </w:tcBorders>
            <w:shd w:val="clear" w:color="auto" w:fill="auto"/>
            <w:noWrap/>
            <w:vAlign w:val="bottom"/>
            <w:hideMark/>
          </w:tcPr>
          <w:p w14:paraId="6530E167"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0.500</w:t>
            </w:r>
          </w:p>
        </w:tc>
        <w:tc>
          <w:tcPr>
            <w:tcW w:w="1038" w:type="dxa"/>
            <w:gridSpan w:val="2"/>
            <w:tcBorders>
              <w:top w:val="nil"/>
              <w:left w:val="nil"/>
              <w:bottom w:val="nil"/>
              <w:right w:val="nil"/>
            </w:tcBorders>
            <w:shd w:val="clear" w:color="auto" w:fill="auto"/>
            <w:noWrap/>
            <w:vAlign w:val="bottom"/>
            <w:hideMark/>
          </w:tcPr>
          <w:p w14:paraId="1F442607"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0.800</w:t>
            </w:r>
          </w:p>
        </w:tc>
        <w:tc>
          <w:tcPr>
            <w:tcW w:w="968" w:type="dxa"/>
            <w:gridSpan w:val="2"/>
            <w:tcBorders>
              <w:top w:val="nil"/>
              <w:left w:val="nil"/>
              <w:bottom w:val="nil"/>
              <w:right w:val="nil"/>
            </w:tcBorders>
            <w:shd w:val="clear" w:color="auto" w:fill="auto"/>
            <w:noWrap/>
            <w:vAlign w:val="bottom"/>
            <w:hideMark/>
          </w:tcPr>
          <w:p w14:paraId="1473ACD1"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0.140</w:t>
            </w:r>
          </w:p>
        </w:tc>
        <w:tc>
          <w:tcPr>
            <w:tcW w:w="968" w:type="dxa"/>
            <w:tcBorders>
              <w:top w:val="nil"/>
              <w:left w:val="nil"/>
              <w:bottom w:val="nil"/>
              <w:right w:val="single" w:sz="4" w:space="0" w:color="auto"/>
            </w:tcBorders>
            <w:shd w:val="clear" w:color="auto" w:fill="auto"/>
            <w:noWrap/>
            <w:vAlign w:val="bottom"/>
            <w:hideMark/>
          </w:tcPr>
          <w:p w14:paraId="34B99256"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1C6945" w:rsidRPr="007256AA" w14:paraId="2AC97EF9"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1906AD0A"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VIX</w:t>
            </w:r>
          </w:p>
        </w:tc>
        <w:tc>
          <w:tcPr>
            <w:tcW w:w="1008" w:type="dxa"/>
            <w:gridSpan w:val="2"/>
            <w:tcBorders>
              <w:top w:val="nil"/>
              <w:left w:val="nil"/>
              <w:bottom w:val="nil"/>
              <w:right w:val="nil"/>
            </w:tcBorders>
            <w:shd w:val="clear" w:color="auto" w:fill="auto"/>
            <w:noWrap/>
            <w:vAlign w:val="bottom"/>
            <w:hideMark/>
          </w:tcPr>
          <w:p w14:paraId="30290870"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0.399</w:t>
            </w:r>
          </w:p>
        </w:tc>
        <w:tc>
          <w:tcPr>
            <w:tcW w:w="1316" w:type="dxa"/>
            <w:gridSpan w:val="2"/>
            <w:tcBorders>
              <w:top w:val="nil"/>
              <w:left w:val="nil"/>
              <w:bottom w:val="nil"/>
              <w:right w:val="nil"/>
            </w:tcBorders>
            <w:shd w:val="clear" w:color="auto" w:fill="auto"/>
            <w:noWrap/>
            <w:vAlign w:val="bottom"/>
            <w:hideMark/>
          </w:tcPr>
          <w:p w14:paraId="3135862F"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0.407</w:t>
            </w:r>
          </w:p>
        </w:tc>
        <w:tc>
          <w:tcPr>
            <w:tcW w:w="1177" w:type="dxa"/>
            <w:gridSpan w:val="2"/>
            <w:tcBorders>
              <w:top w:val="nil"/>
              <w:left w:val="nil"/>
              <w:bottom w:val="nil"/>
              <w:right w:val="nil"/>
            </w:tcBorders>
            <w:shd w:val="clear" w:color="auto" w:fill="auto"/>
            <w:noWrap/>
            <w:vAlign w:val="bottom"/>
            <w:hideMark/>
          </w:tcPr>
          <w:p w14:paraId="6D697637"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0.039</w:t>
            </w:r>
          </w:p>
        </w:tc>
        <w:tc>
          <w:tcPr>
            <w:tcW w:w="1092" w:type="dxa"/>
            <w:gridSpan w:val="2"/>
            <w:tcBorders>
              <w:top w:val="nil"/>
              <w:left w:val="nil"/>
              <w:bottom w:val="nil"/>
              <w:right w:val="nil"/>
            </w:tcBorders>
            <w:shd w:val="clear" w:color="auto" w:fill="auto"/>
            <w:noWrap/>
            <w:vAlign w:val="bottom"/>
            <w:hideMark/>
          </w:tcPr>
          <w:p w14:paraId="01E8FE37"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0.072</w:t>
            </w:r>
          </w:p>
        </w:tc>
        <w:tc>
          <w:tcPr>
            <w:tcW w:w="1038" w:type="dxa"/>
            <w:gridSpan w:val="2"/>
            <w:tcBorders>
              <w:top w:val="nil"/>
              <w:left w:val="nil"/>
              <w:bottom w:val="nil"/>
              <w:right w:val="nil"/>
            </w:tcBorders>
            <w:shd w:val="clear" w:color="auto" w:fill="auto"/>
            <w:noWrap/>
            <w:vAlign w:val="bottom"/>
            <w:hideMark/>
          </w:tcPr>
          <w:p w14:paraId="626D3C8D"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0.201</w:t>
            </w:r>
          </w:p>
        </w:tc>
        <w:tc>
          <w:tcPr>
            <w:tcW w:w="968" w:type="dxa"/>
            <w:gridSpan w:val="2"/>
            <w:tcBorders>
              <w:top w:val="nil"/>
              <w:left w:val="nil"/>
              <w:bottom w:val="nil"/>
              <w:right w:val="nil"/>
            </w:tcBorders>
            <w:shd w:val="clear" w:color="auto" w:fill="auto"/>
            <w:noWrap/>
            <w:vAlign w:val="bottom"/>
            <w:hideMark/>
          </w:tcPr>
          <w:p w14:paraId="13B8CC63"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-0.131</w:t>
            </w:r>
          </w:p>
        </w:tc>
        <w:tc>
          <w:tcPr>
            <w:tcW w:w="968" w:type="dxa"/>
            <w:tcBorders>
              <w:top w:val="nil"/>
              <w:left w:val="nil"/>
              <w:bottom w:val="nil"/>
              <w:right w:val="single" w:sz="4" w:space="0" w:color="auto"/>
            </w:tcBorders>
            <w:shd w:val="clear" w:color="auto" w:fill="auto"/>
            <w:noWrap/>
            <w:vAlign w:val="bottom"/>
            <w:hideMark/>
          </w:tcPr>
          <w:p w14:paraId="3385B04E"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12650F3A"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0F18D9BF"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47662C35"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0.450</w:t>
            </w:r>
          </w:p>
        </w:tc>
        <w:tc>
          <w:tcPr>
            <w:tcW w:w="1316" w:type="dxa"/>
            <w:gridSpan w:val="2"/>
            <w:tcBorders>
              <w:top w:val="nil"/>
              <w:left w:val="nil"/>
              <w:bottom w:val="nil"/>
              <w:right w:val="nil"/>
            </w:tcBorders>
            <w:shd w:val="clear" w:color="auto" w:fill="auto"/>
            <w:noWrap/>
            <w:vAlign w:val="bottom"/>
            <w:hideMark/>
          </w:tcPr>
          <w:p w14:paraId="35BAD375"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0.136</w:t>
            </w:r>
          </w:p>
        </w:tc>
        <w:tc>
          <w:tcPr>
            <w:tcW w:w="1177" w:type="dxa"/>
            <w:gridSpan w:val="2"/>
            <w:tcBorders>
              <w:top w:val="nil"/>
              <w:left w:val="nil"/>
              <w:bottom w:val="nil"/>
              <w:right w:val="nil"/>
            </w:tcBorders>
            <w:shd w:val="clear" w:color="auto" w:fill="auto"/>
            <w:noWrap/>
            <w:vAlign w:val="bottom"/>
            <w:hideMark/>
          </w:tcPr>
          <w:p w14:paraId="5B4F000D"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0.812</w:t>
            </w:r>
          </w:p>
        </w:tc>
        <w:tc>
          <w:tcPr>
            <w:tcW w:w="1092" w:type="dxa"/>
            <w:gridSpan w:val="2"/>
            <w:tcBorders>
              <w:top w:val="nil"/>
              <w:left w:val="nil"/>
              <w:bottom w:val="nil"/>
              <w:right w:val="nil"/>
            </w:tcBorders>
            <w:shd w:val="clear" w:color="auto" w:fill="auto"/>
            <w:noWrap/>
            <w:vAlign w:val="bottom"/>
            <w:hideMark/>
          </w:tcPr>
          <w:p w14:paraId="00C1D6AE"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0.720</w:t>
            </w:r>
          </w:p>
        </w:tc>
        <w:tc>
          <w:tcPr>
            <w:tcW w:w="1038" w:type="dxa"/>
            <w:gridSpan w:val="2"/>
            <w:tcBorders>
              <w:top w:val="nil"/>
              <w:left w:val="nil"/>
              <w:bottom w:val="nil"/>
              <w:right w:val="nil"/>
            </w:tcBorders>
            <w:shd w:val="clear" w:color="auto" w:fill="auto"/>
            <w:noWrap/>
            <w:vAlign w:val="bottom"/>
            <w:hideMark/>
          </w:tcPr>
          <w:p w14:paraId="27559087"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0.440</w:t>
            </w:r>
          </w:p>
        </w:tc>
        <w:tc>
          <w:tcPr>
            <w:tcW w:w="968" w:type="dxa"/>
            <w:gridSpan w:val="2"/>
            <w:tcBorders>
              <w:top w:val="nil"/>
              <w:left w:val="nil"/>
              <w:bottom w:val="nil"/>
              <w:right w:val="nil"/>
            </w:tcBorders>
            <w:shd w:val="clear" w:color="auto" w:fill="auto"/>
            <w:noWrap/>
            <w:vAlign w:val="bottom"/>
            <w:hideMark/>
          </w:tcPr>
          <w:p w14:paraId="1896512E"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0.616</w:t>
            </w:r>
          </w:p>
        </w:tc>
        <w:tc>
          <w:tcPr>
            <w:tcW w:w="968" w:type="dxa"/>
            <w:tcBorders>
              <w:top w:val="nil"/>
              <w:left w:val="nil"/>
              <w:bottom w:val="nil"/>
              <w:right w:val="single" w:sz="4" w:space="0" w:color="auto"/>
            </w:tcBorders>
            <w:shd w:val="clear" w:color="auto" w:fill="auto"/>
            <w:noWrap/>
            <w:vAlign w:val="bottom"/>
            <w:hideMark/>
          </w:tcPr>
          <w:p w14:paraId="59B51149"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1C6945" w:rsidRPr="007256AA" w14:paraId="159DCF87"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4A05DCDE"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SENT</w:t>
            </w:r>
          </w:p>
        </w:tc>
        <w:tc>
          <w:tcPr>
            <w:tcW w:w="1008" w:type="dxa"/>
            <w:gridSpan w:val="2"/>
            <w:tcBorders>
              <w:top w:val="nil"/>
              <w:left w:val="nil"/>
              <w:bottom w:val="nil"/>
              <w:right w:val="nil"/>
            </w:tcBorders>
            <w:shd w:val="clear" w:color="auto" w:fill="auto"/>
            <w:noWrap/>
            <w:vAlign w:val="bottom"/>
            <w:hideMark/>
          </w:tcPr>
          <w:p w14:paraId="5DF6FE59"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-2.179</w:t>
            </w:r>
          </w:p>
        </w:tc>
        <w:tc>
          <w:tcPr>
            <w:tcW w:w="1316" w:type="dxa"/>
            <w:gridSpan w:val="2"/>
            <w:tcBorders>
              <w:top w:val="nil"/>
              <w:left w:val="nil"/>
              <w:bottom w:val="nil"/>
              <w:right w:val="nil"/>
            </w:tcBorders>
            <w:shd w:val="clear" w:color="auto" w:fill="auto"/>
            <w:noWrap/>
            <w:vAlign w:val="bottom"/>
            <w:hideMark/>
          </w:tcPr>
          <w:p w14:paraId="67888408"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4.248</w:t>
            </w:r>
          </w:p>
        </w:tc>
        <w:tc>
          <w:tcPr>
            <w:tcW w:w="1177" w:type="dxa"/>
            <w:gridSpan w:val="2"/>
            <w:tcBorders>
              <w:top w:val="nil"/>
              <w:left w:val="nil"/>
              <w:bottom w:val="nil"/>
              <w:right w:val="nil"/>
            </w:tcBorders>
            <w:shd w:val="clear" w:color="auto" w:fill="auto"/>
            <w:noWrap/>
            <w:vAlign w:val="bottom"/>
            <w:hideMark/>
          </w:tcPr>
          <w:p w14:paraId="7B3E0FBA"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-1.621</w:t>
            </w:r>
          </w:p>
        </w:tc>
        <w:tc>
          <w:tcPr>
            <w:tcW w:w="1092" w:type="dxa"/>
            <w:gridSpan w:val="2"/>
            <w:tcBorders>
              <w:top w:val="nil"/>
              <w:left w:val="nil"/>
              <w:bottom w:val="nil"/>
              <w:right w:val="nil"/>
            </w:tcBorders>
            <w:shd w:val="clear" w:color="auto" w:fill="auto"/>
            <w:noWrap/>
            <w:vAlign w:val="bottom"/>
            <w:hideMark/>
          </w:tcPr>
          <w:p w14:paraId="16EE573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-0.380</w:t>
            </w:r>
          </w:p>
        </w:tc>
        <w:tc>
          <w:tcPr>
            <w:tcW w:w="1038" w:type="dxa"/>
            <w:gridSpan w:val="2"/>
            <w:tcBorders>
              <w:top w:val="nil"/>
              <w:left w:val="nil"/>
              <w:bottom w:val="nil"/>
              <w:right w:val="nil"/>
            </w:tcBorders>
            <w:shd w:val="clear" w:color="auto" w:fill="auto"/>
            <w:noWrap/>
            <w:vAlign w:val="bottom"/>
            <w:hideMark/>
          </w:tcPr>
          <w:p w14:paraId="5093E01F"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-2.172</w:t>
            </w:r>
          </w:p>
        </w:tc>
        <w:tc>
          <w:tcPr>
            <w:tcW w:w="968" w:type="dxa"/>
            <w:gridSpan w:val="2"/>
            <w:tcBorders>
              <w:top w:val="nil"/>
              <w:left w:val="nil"/>
              <w:bottom w:val="nil"/>
              <w:right w:val="nil"/>
            </w:tcBorders>
            <w:shd w:val="clear" w:color="auto" w:fill="auto"/>
            <w:noWrap/>
            <w:vAlign w:val="bottom"/>
            <w:hideMark/>
          </w:tcPr>
          <w:p w14:paraId="5409DFA0"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0.132</w:t>
            </w:r>
          </w:p>
        </w:tc>
        <w:tc>
          <w:tcPr>
            <w:tcW w:w="968" w:type="dxa"/>
            <w:tcBorders>
              <w:top w:val="nil"/>
              <w:left w:val="nil"/>
              <w:bottom w:val="nil"/>
              <w:right w:val="single" w:sz="4" w:space="0" w:color="auto"/>
            </w:tcBorders>
            <w:shd w:val="clear" w:color="auto" w:fill="auto"/>
            <w:noWrap/>
            <w:vAlign w:val="bottom"/>
            <w:hideMark/>
          </w:tcPr>
          <w:p w14:paraId="19D4D937"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48AB3933"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622F1887"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43CCCC82"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0.656</w:t>
            </w:r>
          </w:p>
        </w:tc>
        <w:tc>
          <w:tcPr>
            <w:tcW w:w="1316" w:type="dxa"/>
            <w:gridSpan w:val="2"/>
            <w:tcBorders>
              <w:top w:val="nil"/>
              <w:left w:val="nil"/>
              <w:bottom w:val="nil"/>
              <w:right w:val="nil"/>
            </w:tcBorders>
            <w:shd w:val="clear" w:color="auto" w:fill="auto"/>
            <w:noWrap/>
            <w:vAlign w:val="bottom"/>
            <w:hideMark/>
          </w:tcPr>
          <w:p w14:paraId="22CE6C6C"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0.099</w:t>
            </w:r>
          </w:p>
        </w:tc>
        <w:tc>
          <w:tcPr>
            <w:tcW w:w="1177" w:type="dxa"/>
            <w:gridSpan w:val="2"/>
            <w:tcBorders>
              <w:top w:val="nil"/>
              <w:left w:val="nil"/>
              <w:bottom w:val="nil"/>
              <w:right w:val="nil"/>
            </w:tcBorders>
            <w:shd w:val="clear" w:color="auto" w:fill="auto"/>
            <w:noWrap/>
            <w:vAlign w:val="bottom"/>
            <w:hideMark/>
          </w:tcPr>
          <w:p w14:paraId="642232DD"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0.302</w:t>
            </w:r>
          </w:p>
        </w:tc>
        <w:tc>
          <w:tcPr>
            <w:tcW w:w="1092" w:type="dxa"/>
            <w:gridSpan w:val="2"/>
            <w:tcBorders>
              <w:top w:val="nil"/>
              <w:left w:val="nil"/>
              <w:bottom w:val="nil"/>
              <w:right w:val="nil"/>
            </w:tcBorders>
            <w:shd w:val="clear" w:color="auto" w:fill="auto"/>
            <w:noWrap/>
            <w:vAlign w:val="bottom"/>
            <w:hideMark/>
          </w:tcPr>
          <w:p w14:paraId="0F063B01"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0.839</w:t>
            </w:r>
          </w:p>
        </w:tc>
        <w:tc>
          <w:tcPr>
            <w:tcW w:w="1038" w:type="dxa"/>
            <w:gridSpan w:val="2"/>
            <w:tcBorders>
              <w:top w:val="nil"/>
              <w:left w:val="nil"/>
              <w:bottom w:val="nil"/>
              <w:right w:val="nil"/>
            </w:tcBorders>
            <w:shd w:val="clear" w:color="auto" w:fill="auto"/>
            <w:noWrap/>
            <w:vAlign w:val="bottom"/>
            <w:hideMark/>
          </w:tcPr>
          <w:p w14:paraId="7D124C5B"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0.374</w:t>
            </w:r>
          </w:p>
        </w:tc>
        <w:tc>
          <w:tcPr>
            <w:tcW w:w="968" w:type="dxa"/>
            <w:gridSpan w:val="2"/>
            <w:tcBorders>
              <w:top w:val="nil"/>
              <w:left w:val="nil"/>
              <w:bottom w:val="nil"/>
              <w:right w:val="nil"/>
            </w:tcBorders>
            <w:shd w:val="clear" w:color="auto" w:fill="auto"/>
            <w:noWrap/>
            <w:vAlign w:val="bottom"/>
            <w:hideMark/>
          </w:tcPr>
          <w:p w14:paraId="42084BB3"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0.957</w:t>
            </w:r>
          </w:p>
        </w:tc>
        <w:tc>
          <w:tcPr>
            <w:tcW w:w="968" w:type="dxa"/>
            <w:tcBorders>
              <w:top w:val="nil"/>
              <w:left w:val="nil"/>
              <w:bottom w:val="nil"/>
              <w:right w:val="single" w:sz="4" w:space="0" w:color="auto"/>
            </w:tcBorders>
            <w:shd w:val="clear" w:color="auto" w:fill="auto"/>
            <w:noWrap/>
            <w:vAlign w:val="bottom"/>
            <w:hideMark/>
          </w:tcPr>
          <w:p w14:paraId="534CE99E"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1C6945" w:rsidRPr="007256AA" w14:paraId="6F6F17EB"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6BBE3B75"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FEDFUND</w:t>
            </w:r>
          </w:p>
        </w:tc>
        <w:tc>
          <w:tcPr>
            <w:tcW w:w="1008" w:type="dxa"/>
            <w:gridSpan w:val="2"/>
            <w:tcBorders>
              <w:top w:val="nil"/>
              <w:left w:val="nil"/>
              <w:bottom w:val="nil"/>
              <w:right w:val="nil"/>
            </w:tcBorders>
            <w:shd w:val="clear" w:color="auto" w:fill="auto"/>
            <w:noWrap/>
            <w:vAlign w:val="bottom"/>
            <w:hideMark/>
          </w:tcPr>
          <w:p w14:paraId="7BFBE0DA"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0.402</w:t>
            </w:r>
          </w:p>
        </w:tc>
        <w:tc>
          <w:tcPr>
            <w:tcW w:w="1316" w:type="dxa"/>
            <w:gridSpan w:val="2"/>
            <w:tcBorders>
              <w:top w:val="nil"/>
              <w:left w:val="nil"/>
              <w:bottom w:val="nil"/>
              <w:right w:val="nil"/>
            </w:tcBorders>
            <w:shd w:val="clear" w:color="auto" w:fill="auto"/>
            <w:noWrap/>
            <w:vAlign w:val="bottom"/>
            <w:hideMark/>
          </w:tcPr>
          <w:p w14:paraId="08EDF406"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0.279</w:t>
            </w:r>
          </w:p>
        </w:tc>
        <w:tc>
          <w:tcPr>
            <w:tcW w:w="1177" w:type="dxa"/>
            <w:gridSpan w:val="2"/>
            <w:tcBorders>
              <w:top w:val="nil"/>
              <w:left w:val="nil"/>
              <w:bottom w:val="nil"/>
              <w:right w:val="nil"/>
            </w:tcBorders>
            <w:shd w:val="clear" w:color="auto" w:fill="auto"/>
            <w:noWrap/>
            <w:vAlign w:val="bottom"/>
            <w:hideMark/>
          </w:tcPr>
          <w:p w14:paraId="2BB74227"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1.774</w:t>
            </w:r>
          </w:p>
        </w:tc>
        <w:tc>
          <w:tcPr>
            <w:tcW w:w="1092" w:type="dxa"/>
            <w:gridSpan w:val="2"/>
            <w:tcBorders>
              <w:top w:val="nil"/>
              <w:left w:val="nil"/>
              <w:bottom w:val="nil"/>
              <w:right w:val="nil"/>
            </w:tcBorders>
            <w:shd w:val="clear" w:color="auto" w:fill="auto"/>
            <w:noWrap/>
            <w:vAlign w:val="bottom"/>
            <w:hideMark/>
          </w:tcPr>
          <w:p w14:paraId="30719FF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0.728</w:t>
            </w:r>
          </w:p>
        </w:tc>
        <w:tc>
          <w:tcPr>
            <w:tcW w:w="1038" w:type="dxa"/>
            <w:gridSpan w:val="2"/>
            <w:tcBorders>
              <w:top w:val="nil"/>
              <w:left w:val="nil"/>
              <w:bottom w:val="nil"/>
              <w:right w:val="nil"/>
            </w:tcBorders>
            <w:shd w:val="clear" w:color="auto" w:fill="auto"/>
            <w:noWrap/>
            <w:vAlign w:val="bottom"/>
            <w:hideMark/>
          </w:tcPr>
          <w:p w14:paraId="1211CF39"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0.234</w:t>
            </w:r>
          </w:p>
        </w:tc>
        <w:tc>
          <w:tcPr>
            <w:tcW w:w="968" w:type="dxa"/>
            <w:gridSpan w:val="2"/>
            <w:tcBorders>
              <w:top w:val="nil"/>
              <w:left w:val="nil"/>
              <w:bottom w:val="nil"/>
              <w:right w:val="nil"/>
            </w:tcBorders>
            <w:shd w:val="clear" w:color="auto" w:fill="auto"/>
            <w:noWrap/>
            <w:vAlign w:val="bottom"/>
            <w:hideMark/>
          </w:tcPr>
          <w:p w14:paraId="50477C0C"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-0.744</w:t>
            </w:r>
          </w:p>
        </w:tc>
        <w:tc>
          <w:tcPr>
            <w:tcW w:w="968" w:type="dxa"/>
            <w:tcBorders>
              <w:top w:val="nil"/>
              <w:left w:val="nil"/>
              <w:bottom w:val="nil"/>
              <w:right w:val="single" w:sz="4" w:space="0" w:color="auto"/>
            </w:tcBorders>
            <w:shd w:val="clear" w:color="auto" w:fill="auto"/>
            <w:noWrap/>
            <w:vAlign w:val="bottom"/>
            <w:hideMark/>
          </w:tcPr>
          <w:p w14:paraId="616EB6FE"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47F7587A"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13F596EC"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4FAB9BA6"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0.850</w:t>
            </w:r>
          </w:p>
        </w:tc>
        <w:tc>
          <w:tcPr>
            <w:tcW w:w="1316" w:type="dxa"/>
            <w:gridSpan w:val="2"/>
            <w:tcBorders>
              <w:top w:val="nil"/>
              <w:left w:val="nil"/>
              <w:bottom w:val="nil"/>
              <w:right w:val="nil"/>
            </w:tcBorders>
            <w:shd w:val="clear" w:color="auto" w:fill="auto"/>
            <w:noWrap/>
            <w:vAlign w:val="bottom"/>
            <w:hideMark/>
          </w:tcPr>
          <w:p w14:paraId="057F06D3"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0.792</w:t>
            </w:r>
          </w:p>
        </w:tc>
        <w:tc>
          <w:tcPr>
            <w:tcW w:w="1177" w:type="dxa"/>
            <w:gridSpan w:val="2"/>
            <w:tcBorders>
              <w:top w:val="nil"/>
              <w:left w:val="nil"/>
              <w:bottom w:val="nil"/>
              <w:right w:val="nil"/>
            </w:tcBorders>
            <w:shd w:val="clear" w:color="auto" w:fill="auto"/>
            <w:noWrap/>
            <w:vAlign w:val="bottom"/>
            <w:hideMark/>
          </w:tcPr>
          <w:p w14:paraId="7535861F"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0.018</w:t>
            </w:r>
          </w:p>
        </w:tc>
        <w:tc>
          <w:tcPr>
            <w:tcW w:w="1092" w:type="dxa"/>
            <w:gridSpan w:val="2"/>
            <w:tcBorders>
              <w:top w:val="nil"/>
              <w:left w:val="nil"/>
              <w:bottom w:val="nil"/>
              <w:right w:val="nil"/>
            </w:tcBorders>
            <w:shd w:val="clear" w:color="auto" w:fill="auto"/>
            <w:noWrap/>
            <w:vAlign w:val="bottom"/>
            <w:hideMark/>
          </w:tcPr>
          <w:p w14:paraId="21673951"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0.376</w:t>
            </w:r>
          </w:p>
        </w:tc>
        <w:tc>
          <w:tcPr>
            <w:tcW w:w="1038" w:type="dxa"/>
            <w:gridSpan w:val="2"/>
            <w:tcBorders>
              <w:top w:val="nil"/>
              <w:left w:val="nil"/>
              <w:bottom w:val="nil"/>
              <w:right w:val="nil"/>
            </w:tcBorders>
            <w:shd w:val="clear" w:color="auto" w:fill="auto"/>
            <w:noWrap/>
            <w:vAlign w:val="bottom"/>
            <w:hideMark/>
          </w:tcPr>
          <w:p w14:paraId="100E9B31"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0.823</w:t>
            </w:r>
          </w:p>
        </w:tc>
        <w:tc>
          <w:tcPr>
            <w:tcW w:w="968" w:type="dxa"/>
            <w:gridSpan w:val="2"/>
            <w:tcBorders>
              <w:top w:val="nil"/>
              <w:left w:val="nil"/>
              <w:bottom w:val="nil"/>
              <w:right w:val="nil"/>
            </w:tcBorders>
            <w:shd w:val="clear" w:color="auto" w:fill="auto"/>
            <w:noWrap/>
            <w:vAlign w:val="bottom"/>
            <w:hideMark/>
          </w:tcPr>
          <w:p w14:paraId="1B645436"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0.485</w:t>
            </w:r>
          </w:p>
        </w:tc>
        <w:tc>
          <w:tcPr>
            <w:tcW w:w="968" w:type="dxa"/>
            <w:tcBorders>
              <w:top w:val="nil"/>
              <w:left w:val="nil"/>
              <w:bottom w:val="nil"/>
              <w:right w:val="single" w:sz="4" w:space="0" w:color="auto"/>
            </w:tcBorders>
            <w:shd w:val="clear" w:color="auto" w:fill="auto"/>
            <w:noWrap/>
            <w:vAlign w:val="bottom"/>
            <w:hideMark/>
          </w:tcPr>
          <w:p w14:paraId="72FF51F0"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1C6945" w:rsidRPr="007256AA" w14:paraId="48C38A6D"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770A168F"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INTERNET</w:t>
            </w:r>
          </w:p>
        </w:tc>
        <w:tc>
          <w:tcPr>
            <w:tcW w:w="1008" w:type="dxa"/>
            <w:gridSpan w:val="2"/>
            <w:tcBorders>
              <w:top w:val="nil"/>
              <w:left w:val="nil"/>
              <w:bottom w:val="nil"/>
              <w:right w:val="nil"/>
            </w:tcBorders>
            <w:shd w:val="clear" w:color="auto" w:fill="auto"/>
            <w:noWrap/>
            <w:vAlign w:val="bottom"/>
            <w:hideMark/>
          </w:tcPr>
          <w:p w14:paraId="59106EC6"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-1.633</w:t>
            </w:r>
          </w:p>
        </w:tc>
        <w:tc>
          <w:tcPr>
            <w:tcW w:w="1316" w:type="dxa"/>
            <w:gridSpan w:val="2"/>
            <w:tcBorders>
              <w:top w:val="nil"/>
              <w:left w:val="nil"/>
              <w:bottom w:val="nil"/>
              <w:right w:val="nil"/>
            </w:tcBorders>
            <w:shd w:val="clear" w:color="auto" w:fill="auto"/>
            <w:noWrap/>
            <w:vAlign w:val="bottom"/>
            <w:hideMark/>
          </w:tcPr>
          <w:p w14:paraId="66768176"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-2.172</w:t>
            </w:r>
          </w:p>
        </w:tc>
        <w:tc>
          <w:tcPr>
            <w:tcW w:w="1177" w:type="dxa"/>
            <w:gridSpan w:val="2"/>
            <w:tcBorders>
              <w:top w:val="nil"/>
              <w:left w:val="nil"/>
              <w:bottom w:val="nil"/>
              <w:right w:val="nil"/>
            </w:tcBorders>
            <w:shd w:val="clear" w:color="auto" w:fill="auto"/>
            <w:noWrap/>
            <w:vAlign w:val="bottom"/>
            <w:hideMark/>
          </w:tcPr>
          <w:p w14:paraId="6B517C68"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-1.035</w:t>
            </w:r>
          </w:p>
        </w:tc>
        <w:tc>
          <w:tcPr>
            <w:tcW w:w="1092" w:type="dxa"/>
            <w:gridSpan w:val="2"/>
            <w:tcBorders>
              <w:top w:val="nil"/>
              <w:left w:val="nil"/>
              <w:bottom w:val="nil"/>
              <w:right w:val="nil"/>
            </w:tcBorders>
            <w:shd w:val="clear" w:color="auto" w:fill="auto"/>
            <w:noWrap/>
            <w:vAlign w:val="bottom"/>
            <w:hideMark/>
          </w:tcPr>
          <w:p w14:paraId="301E9B3E"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-2.184</w:t>
            </w:r>
          </w:p>
        </w:tc>
        <w:tc>
          <w:tcPr>
            <w:tcW w:w="1038" w:type="dxa"/>
            <w:gridSpan w:val="2"/>
            <w:tcBorders>
              <w:top w:val="nil"/>
              <w:left w:val="nil"/>
              <w:bottom w:val="nil"/>
              <w:right w:val="nil"/>
            </w:tcBorders>
            <w:shd w:val="clear" w:color="auto" w:fill="auto"/>
            <w:noWrap/>
            <w:vAlign w:val="bottom"/>
            <w:hideMark/>
          </w:tcPr>
          <w:p w14:paraId="21365DEF"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-1.599</w:t>
            </w:r>
          </w:p>
        </w:tc>
        <w:tc>
          <w:tcPr>
            <w:tcW w:w="968" w:type="dxa"/>
            <w:gridSpan w:val="2"/>
            <w:tcBorders>
              <w:top w:val="nil"/>
              <w:left w:val="nil"/>
              <w:bottom w:val="nil"/>
              <w:right w:val="nil"/>
            </w:tcBorders>
            <w:shd w:val="clear" w:color="auto" w:fill="auto"/>
            <w:noWrap/>
            <w:vAlign w:val="bottom"/>
            <w:hideMark/>
          </w:tcPr>
          <w:p w14:paraId="3DBE6D7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-2.209</w:t>
            </w:r>
          </w:p>
        </w:tc>
        <w:tc>
          <w:tcPr>
            <w:tcW w:w="968" w:type="dxa"/>
            <w:tcBorders>
              <w:top w:val="nil"/>
              <w:left w:val="nil"/>
              <w:bottom w:val="nil"/>
              <w:right w:val="single" w:sz="4" w:space="0" w:color="auto"/>
            </w:tcBorders>
            <w:shd w:val="clear" w:color="auto" w:fill="auto"/>
            <w:noWrap/>
            <w:vAlign w:val="bottom"/>
            <w:hideMark/>
          </w:tcPr>
          <w:p w14:paraId="4D797D2A"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33BA6B97"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10A24D18"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3D744EDC"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0.004</w:t>
            </w:r>
          </w:p>
        </w:tc>
        <w:tc>
          <w:tcPr>
            <w:tcW w:w="1316" w:type="dxa"/>
            <w:gridSpan w:val="2"/>
            <w:tcBorders>
              <w:top w:val="nil"/>
              <w:left w:val="nil"/>
              <w:bottom w:val="nil"/>
              <w:right w:val="nil"/>
            </w:tcBorders>
            <w:shd w:val="clear" w:color="auto" w:fill="auto"/>
            <w:noWrap/>
            <w:vAlign w:val="bottom"/>
            <w:hideMark/>
          </w:tcPr>
          <w:p w14:paraId="32023027"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177" w:type="dxa"/>
            <w:gridSpan w:val="2"/>
            <w:tcBorders>
              <w:top w:val="nil"/>
              <w:left w:val="nil"/>
              <w:bottom w:val="nil"/>
              <w:right w:val="nil"/>
            </w:tcBorders>
            <w:shd w:val="clear" w:color="auto" w:fill="auto"/>
            <w:noWrap/>
            <w:vAlign w:val="bottom"/>
            <w:hideMark/>
          </w:tcPr>
          <w:p w14:paraId="18FE2708"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92" w:type="dxa"/>
            <w:gridSpan w:val="2"/>
            <w:tcBorders>
              <w:top w:val="nil"/>
              <w:left w:val="nil"/>
              <w:bottom w:val="nil"/>
              <w:right w:val="nil"/>
            </w:tcBorders>
            <w:shd w:val="clear" w:color="auto" w:fill="auto"/>
            <w:noWrap/>
            <w:vAlign w:val="bottom"/>
            <w:hideMark/>
          </w:tcPr>
          <w:p w14:paraId="692C0FBB"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38" w:type="dxa"/>
            <w:gridSpan w:val="2"/>
            <w:tcBorders>
              <w:top w:val="nil"/>
              <w:left w:val="nil"/>
              <w:bottom w:val="nil"/>
              <w:right w:val="nil"/>
            </w:tcBorders>
            <w:shd w:val="clear" w:color="auto" w:fill="auto"/>
            <w:noWrap/>
            <w:vAlign w:val="bottom"/>
            <w:hideMark/>
          </w:tcPr>
          <w:p w14:paraId="5A64711E"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8" w:type="dxa"/>
            <w:gridSpan w:val="2"/>
            <w:tcBorders>
              <w:top w:val="nil"/>
              <w:left w:val="nil"/>
              <w:bottom w:val="nil"/>
              <w:right w:val="nil"/>
            </w:tcBorders>
            <w:shd w:val="clear" w:color="auto" w:fill="auto"/>
            <w:noWrap/>
            <w:vAlign w:val="bottom"/>
            <w:hideMark/>
          </w:tcPr>
          <w:p w14:paraId="5A547339"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8" w:type="dxa"/>
            <w:tcBorders>
              <w:top w:val="nil"/>
              <w:left w:val="nil"/>
              <w:bottom w:val="nil"/>
              <w:right w:val="single" w:sz="4" w:space="0" w:color="auto"/>
            </w:tcBorders>
            <w:shd w:val="clear" w:color="auto" w:fill="auto"/>
            <w:noWrap/>
            <w:vAlign w:val="bottom"/>
            <w:hideMark/>
          </w:tcPr>
          <w:p w14:paraId="74D53E0D"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1C6945" w:rsidRPr="007256AA" w14:paraId="07B18051"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11BE44DE"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ERM</w:t>
            </w:r>
          </w:p>
        </w:tc>
        <w:tc>
          <w:tcPr>
            <w:tcW w:w="1008" w:type="dxa"/>
            <w:gridSpan w:val="2"/>
            <w:tcBorders>
              <w:top w:val="nil"/>
              <w:left w:val="nil"/>
              <w:bottom w:val="nil"/>
              <w:right w:val="nil"/>
            </w:tcBorders>
            <w:shd w:val="clear" w:color="auto" w:fill="auto"/>
            <w:noWrap/>
            <w:vAlign w:val="bottom"/>
            <w:hideMark/>
          </w:tcPr>
          <w:p w14:paraId="4B64B74A"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-13.997</w:t>
            </w:r>
          </w:p>
        </w:tc>
        <w:tc>
          <w:tcPr>
            <w:tcW w:w="1316" w:type="dxa"/>
            <w:gridSpan w:val="2"/>
            <w:tcBorders>
              <w:top w:val="nil"/>
              <w:left w:val="nil"/>
              <w:bottom w:val="nil"/>
              <w:right w:val="nil"/>
            </w:tcBorders>
            <w:shd w:val="clear" w:color="auto" w:fill="auto"/>
            <w:noWrap/>
            <w:vAlign w:val="bottom"/>
            <w:hideMark/>
          </w:tcPr>
          <w:p w14:paraId="71D86606"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-31.312</w:t>
            </w:r>
          </w:p>
        </w:tc>
        <w:tc>
          <w:tcPr>
            <w:tcW w:w="1177" w:type="dxa"/>
            <w:gridSpan w:val="2"/>
            <w:tcBorders>
              <w:top w:val="nil"/>
              <w:left w:val="nil"/>
              <w:bottom w:val="nil"/>
              <w:right w:val="nil"/>
            </w:tcBorders>
            <w:shd w:val="clear" w:color="auto" w:fill="auto"/>
            <w:noWrap/>
            <w:vAlign w:val="bottom"/>
            <w:hideMark/>
          </w:tcPr>
          <w:p w14:paraId="15CEF3B6"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-0.202</w:t>
            </w:r>
          </w:p>
        </w:tc>
        <w:tc>
          <w:tcPr>
            <w:tcW w:w="1092" w:type="dxa"/>
            <w:gridSpan w:val="2"/>
            <w:tcBorders>
              <w:top w:val="nil"/>
              <w:left w:val="nil"/>
              <w:bottom w:val="nil"/>
              <w:right w:val="nil"/>
            </w:tcBorders>
            <w:shd w:val="clear" w:color="auto" w:fill="auto"/>
            <w:noWrap/>
            <w:vAlign w:val="bottom"/>
            <w:hideMark/>
          </w:tcPr>
          <w:p w14:paraId="3F684696"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-29.799</w:t>
            </w:r>
          </w:p>
        </w:tc>
        <w:tc>
          <w:tcPr>
            <w:tcW w:w="1038" w:type="dxa"/>
            <w:gridSpan w:val="2"/>
            <w:tcBorders>
              <w:top w:val="nil"/>
              <w:left w:val="nil"/>
              <w:bottom w:val="nil"/>
              <w:right w:val="nil"/>
            </w:tcBorders>
            <w:shd w:val="clear" w:color="auto" w:fill="auto"/>
            <w:noWrap/>
            <w:vAlign w:val="bottom"/>
            <w:hideMark/>
          </w:tcPr>
          <w:p w14:paraId="1E68CE8C"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-30.672</w:t>
            </w:r>
          </w:p>
        </w:tc>
        <w:tc>
          <w:tcPr>
            <w:tcW w:w="968" w:type="dxa"/>
            <w:gridSpan w:val="2"/>
            <w:tcBorders>
              <w:top w:val="nil"/>
              <w:left w:val="nil"/>
              <w:bottom w:val="nil"/>
              <w:right w:val="nil"/>
            </w:tcBorders>
            <w:shd w:val="clear" w:color="auto" w:fill="auto"/>
            <w:noWrap/>
            <w:vAlign w:val="bottom"/>
            <w:hideMark/>
          </w:tcPr>
          <w:p w14:paraId="35C89379"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-29.714</w:t>
            </w:r>
          </w:p>
        </w:tc>
        <w:tc>
          <w:tcPr>
            <w:tcW w:w="968" w:type="dxa"/>
            <w:tcBorders>
              <w:top w:val="nil"/>
              <w:left w:val="nil"/>
              <w:bottom w:val="nil"/>
              <w:right w:val="single" w:sz="4" w:space="0" w:color="auto"/>
            </w:tcBorders>
            <w:shd w:val="clear" w:color="auto" w:fill="auto"/>
            <w:noWrap/>
            <w:vAlign w:val="bottom"/>
            <w:hideMark/>
          </w:tcPr>
          <w:p w14:paraId="6ACE4ECA"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460085AB"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3F944A50"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36F3C351"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0.247</w:t>
            </w:r>
          </w:p>
        </w:tc>
        <w:tc>
          <w:tcPr>
            <w:tcW w:w="1316" w:type="dxa"/>
            <w:gridSpan w:val="2"/>
            <w:tcBorders>
              <w:top w:val="nil"/>
              <w:left w:val="nil"/>
              <w:bottom w:val="nil"/>
              <w:right w:val="nil"/>
            </w:tcBorders>
            <w:shd w:val="clear" w:color="auto" w:fill="auto"/>
            <w:noWrap/>
            <w:vAlign w:val="bottom"/>
            <w:hideMark/>
          </w:tcPr>
          <w:p w14:paraId="4098D59D"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177" w:type="dxa"/>
            <w:gridSpan w:val="2"/>
            <w:tcBorders>
              <w:top w:val="nil"/>
              <w:left w:val="nil"/>
              <w:bottom w:val="nil"/>
              <w:right w:val="nil"/>
            </w:tcBorders>
            <w:shd w:val="clear" w:color="auto" w:fill="auto"/>
            <w:noWrap/>
            <w:vAlign w:val="bottom"/>
            <w:hideMark/>
          </w:tcPr>
          <w:p w14:paraId="4247C40C"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0.957</w:t>
            </w:r>
          </w:p>
        </w:tc>
        <w:tc>
          <w:tcPr>
            <w:tcW w:w="1092" w:type="dxa"/>
            <w:gridSpan w:val="2"/>
            <w:tcBorders>
              <w:top w:val="nil"/>
              <w:left w:val="nil"/>
              <w:bottom w:val="nil"/>
              <w:right w:val="nil"/>
            </w:tcBorders>
            <w:shd w:val="clear" w:color="auto" w:fill="auto"/>
            <w:noWrap/>
            <w:vAlign w:val="bottom"/>
            <w:hideMark/>
          </w:tcPr>
          <w:p w14:paraId="5638DC4C"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38" w:type="dxa"/>
            <w:gridSpan w:val="2"/>
            <w:tcBorders>
              <w:top w:val="nil"/>
              <w:left w:val="nil"/>
              <w:bottom w:val="nil"/>
              <w:right w:val="nil"/>
            </w:tcBorders>
            <w:shd w:val="clear" w:color="auto" w:fill="auto"/>
            <w:noWrap/>
            <w:vAlign w:val="bottom"/>
            <w:hideMark/>
          </w:tcPr>
          <w:p w14:paraId="5E682494"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8" w:type="dxa"/>
            <w:gridSpan w:val="2"/>
            <w:tcBorders>
              <w:top w:val="nil"/>
              <w:left w:val="nil"/>
              <w:bottom w:val="nil"/>
              <w:right w:val="nil"/>
            </w:tcBorders>
            <w:shd w:val="clear" w:color="auto" w:fill="auto"/>
            <w:noWrap/>
            <w:vAlign w:val="bottom"/>
            <w:hideMark/>
          </w:tcPr>
          <w:p w14:paraId="5C501ADB"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8" w:type="dxa"/>
            <w:tcBorders>
              <w:top w:val="nil"/>
              <w:left w:val="nil"/>
              <w:bottom w:val="nil"/>
              <w:right w:val="single" w:sz="4" w:space="0" w:color="auto"/>
            </w:tcBorders>
            <w:shd w:val="clear" w:color="auto" w:fill="auto"/>
            <w:noWrap/>
            <w:vAlign w:val="bottom"/>
            <w:hideMark/>
          </w:tcPr>
          <w:p w14:paraId="08231C47"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1C6945" w:rsidRPr="007256AA" w14:paraId="2123ABD2"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1D14BB9A"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Eurozone</w:t>
            </w:r>
          </w:p>
        </w:tc>
        <w:tc>
          <w:tcPr>
            <w:tcW w:w="1008" w:type="dxa"/>
            <w:gridSpan w:val="2"/>
            <w:tcBorders>
              <w:top w:val="nil"/>
              <w:left w:val="nil"/>
              <w:bottom w:val="nil"/>
              <w:right w:val="nil"/>
            </w:tcBorders>
            <w:shd w:val="clear" w:color="auto" w:fill="auto"/>
            <w:noWrap/>
            <w:vAlign w:val="bottom"/>
            <w:hideMark/>
          </w:tcPr>
          <w:p w14:paraId="3F6DCB8D"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-6.271</w:t>
            </w:r>
          </w:p>
        </w:tc>
        <w:tc>
          <w:tcPr>
            <w:tcW w:w="1316" w:type="dxa"/>
            <w:gridSpan w:val="2"/>
            <w:tcBorders>
              <w:top w:val="nil"/>
              <w:left w:val="nil"/>
              <w:bottom w:val="nil"/>
              <w:right w:val="nil"/>
            </w:tcBorders>
            <w:shd w:val="clear" w:color="auto" w:fill="auto"/>
            <w:noWrap/>
            <w:vAlign w:val="bottom"/>
            <w:hideMark/>
          </w:tcPr>
          <w:p w14:paraId="7226BA6F"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-2.144</w:t>
            </w:r>
          </w:p>
        </w:tc>
        <w:tc>
          <w:tcPr>
            <w:tcW w:w="1177" w:type="dxa"/>
            <w:gridSpan w:val="2"/>
            <w:tcBorders>
              <w:top w:val="nil"/>
              <w:left w:val="nil"/>
              <w:bottom w:val="nil"/>
              <w:right w:val="nil"/>
            </w:tcBorders>
            <w:shd w:val="clear" w:color="auto" w:fill="auto"/>
            <w:noWrap/>
            <w:vAlign w:val="bottom"/>
            <w:hideMark/>
          </w:tcPr>
          <w:p w14:paraId="52CB28D6"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-15.752</w:t>
            </w:r>
          </w:p>
        </w:tc>
        <w:tc>
          <w:tcPr>
            <w:tcW w:w="1092" w:type="dxa"/>
            <w:gridSpan w:val="2"/>
            <w:tcBorders>
              <w:top w:val="nil"/>
              <w:left w:val="nil"/>
              <w:bottom w:val="nil"/>
              <w:right w:val="nil"/>
            </w:tcBorders>
            <w:shd w:val="clear" w:color="auto" w:fill="auto"/>
            <w:noWrap/>
            <w:vAlign w:val="bottom"/>
            <w:hideMark/>
          </w:tcPr>
          <w:p w14:paraId="56EA84F7"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-0.766</w:t>
            </w:r>
          </w:p>
        </w:tc>
        <w:tc>
          <w:tcPr>
            <w:tcW w:w="1038" w:type="dxa"/>
            <w:gridSpan w:val="2"/>
            <w:tcBorders>
              <w:top w:val="nil"/>
              <w:left w:val="nil"/>
              <w:bottom w:val="nil"/>
              <w:right w:val="nil"/>
            </w:tcBorders>
            <w:shd w:val="clear" w:color="auto" w:fill="auto"/>
            <w:noWrap/>
            <w:vAlign w:val="bottom"/>
            <w:hideMark/>
          </w:tcPr>
          <w:p w14:paraId="7DFBCECB"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3.397</w:t>
            </w:r>
          </w:p>
        </w:tc>
        <w:tc>
          <w:tcPr>
            <w:tcW w:w="968" w:type="dxa"/>
            <w:gridSpan w:val="2"/>
            <w:tcBorders>
              <w:top w:val="nil"/>
              <w:left w:val="nil"/>
              <w:bottom w:val="nil"/>
              <w:right w:val="nil"/>
            </w:tcBorders>
            <w:shd w:val="clear" w:color="auto" w:fill="auto"/>
            <w:noWrap/>
            <w:vAlign w:val="bottom"/>
            <w:hideMark/>
          </w:tcPr>
          <w:p w14:paraId="4039447F"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3.858</w:t>
            </w:r>
          </w:p>
        </w:tc>
        <w:tc>
          <w:tcPr>
            <w:tcW w:w="968" w:type="dxa"/>
            <w:tcBorders>
              <w:top w:val="nil"/>
              <w:left w:val="nil"/>
              <w:bottom w:val="nil"/>
              <w:right w:val="single" w:sz="4" w:space="0" w:color="auto"/>
            </w:tcBorders>
            <w:shd w:val="clear" w:color="auto" w:fill="auto"/>
            <w:noWrap/>
            <w:vAlign w:val="bottom"/>
            <w:hideMark/>
          </w:tcPr>
          <w:p w14:paraId="700594A0"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508F87A6"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70836E21"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7D24D5D4"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0.590</w:t>
            </w:r>
          </w:p>
        </w:tc>
        <w:tc>
          <w:tcPr>
            <w:tcW w:w="1316" w:type="dxa"/>
            <w:gridSpan w:val="2"/>
            <w:tcBorders>
              <w:top w:val="nil"/>
              <w:left w:val="nil"/>
              <w:bottom w:val="nil"/>
              <w:right w:val="nil"/>
            </w:tcBorders>
            <w:shd w:val="clear" w:color="auto" w:fill="auto"/>
            <w:noWrap/>
            <w:vAlign w:val="bottom"/>
            <w:hideMark/>
          </w:tcPr>
          <w:p w14:paraId="092C3150"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0.711</w:t>
            </w:r>
          </w:p>
        </w:tc>
        <w:tc>
          <w:tcPr>
            <w:tcW w:w="1177" w:type="dxa"/>
            <w:gridSpan w:val="2"/>
            <w:tcBorders>
              <w:top w:val="nil"/>
              <w:left w:val="nil"/>
              <w:bottom w:val="nil"/>
              <w:right w:val="nil"/>
            </w:tcBorders>
            <w:shd w:val="clear" w:color="auto" w:fill="auto"/>
            <w:noWrap/>
            <w:vAlign w:val="bottom"/>
            <w:hideMark/>
          </w:tcPr>
          <w:p w14:paraId="7F6C70F2"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0.001</w:t>
            </w:r>
          </w:p>
        </w:tc>
        <w:tc>
          <w:tcPr>
            <w:tcW w:w="1092" w:type="dxa"/>
            <w:gridSpan w:val="2"/>
            <w:tcBorders>
              <w:top w:val="nil"/>
              <w:left w:val="nil"/>
              <w:bottom w:val="nil"/>
              <w:right w:val="nil"/>
            </w:tcBorders>
            <w:shd w:val="clear" w:color="auto" w:fill="auto"/>
            <w:noWrap/>
            <w:vAlign w:val="bottom"/>
            <w:hideMark/>
          </w:tcPr>
          <w:p w14:paraId="7E35FE87"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0.863</w:t>
            </w:r>
          </w:p>
        </w:tc>
        <w:tc>
          <w:tcPr>
            <w:tcW w:w="1038" w:type="dxa"/>
            <w:gridSpan w:val="2"/>
            <w:tcBorders>
              <w:top w:val="nil"/>
              <w:left w:val="nil"/>
              <w:bottom w:val="nil"/>
              <w:right w:val="nil"/>
            </w:tcBorders>
            <w:shd w:val="clear" w:color="auto" w:fill="auto"/>
            <w:noWrap/>
            <w:vAlign w:val="bottom"/>
            <w:hideMark/>
          </w:tcPr>
          <w:p w14:paraId="787282BE"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0.554</w:t>
            </w:r>
          </w:p>
        </w:tc>
        <w:tc>
          <w:tcPr>
            <w:tcW w:w="968" w:type="dxa"/>
            <w:gridSpan w:val="2"/>
            <w:tcBorders>
              <w:top w:val="nil"/>
              <w:left w:val="nil"/>
              <w:bottom w:val="nil"/>
              <w:right w:val="nil"/>
            </w:tcBorders>
            <w:shd w:val="clear" w:color="auto" w:fill="auto"/>
            <w:noWrap/>
            <w:vAlign w:val="bottom"/>
            <w:hideMark/>
          </w:tcPr>
          <w:p w14:paraId="5C0E9D0C"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0.506</w:t>
            </w:r>
          </w:p>
        </w:tc>
        <w:tc>
          <w:tcPr>
            <w:tcW w:w="968" w:type="dxa"/>
            <w:tcBorders>
              <w:top w:val="nil"/>
              <w:left w:val="nil"/>
              <w:bottom w:val="nil"/>
              <w:right w:val="single" w:sz="4" w:space="0" w:color="auto"/>
            </w:tcBorders>
            <w:shd w:val="clear" w:color="auto" w:fill="auto"/>
            <w:noWrap/>
            <w:vAlign w:val="bottom"/>
            <w:hideMark/>
          </w:tcPr>
          <w:p w14:paraId="37ABB019"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1C6945" w:rsidRPr="007256AA" w14:paraId="45475F18"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2D53B99B"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Adj. R2</w:t>
            </w:r>
          </w:p>
        </w:tc>
        <w:tc>
          <w:tcPr>
            <w:tcW w:w="1008" w:type="dxa"/>
            <w:gridSpan w:val="2"/>
            <w:tcBorders>
              <w:top w:val="nil"/>
              <w:left w:val="nil"/>
              <w:bottom w:val="nil"/>
              <w:right w:val="nil"/>
            </w:tcBorders>
            <w:shd w:val="clear" w:color="auto" w:fill="auto"/>
            <w:noWrap/>
            <w:vAlign w:val="bottom"/>
            <w:hideMark/>
          </w:tcPr>
          <w:p w14:paraId="00044209"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0.691</w:t>
            </w:r>
          </w:p>
        </w:tc>
        <w:tc>
          <w:tcPr>
            <w:tcW w:w="1316" w:type="dxa"/>
            <w:gridSpan w:val="2"/>
            <w:tcBorders>
              <w:top w:val="nil"/>
              <w:left w:val="nil"/>
              <w:bottom w:val="nil"/>
              <w:right w:val="nil"/>
            </w:tcBorders>
            <w:shd w:val="clear" w:color="auto" w:fill="auto"/>
            <w:noWrap/>
            <w:vAlign w:val="bottom"/>
            <w:hideMark/>
          </w:tcPr>
          <w:p w14:paraId="3E65F4C3"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0.940</w:t>
            </w:r>
          </w:p>
        </w:tc>
        <w:tc>
          <w:tcPr>
            <w:tcW w:w="1177" w:type="dxa"/>
            <w:gridSpan w:val="2"/>
            <w:tcBorders>
              <w:top w:val="nil"/>
              <w:left w:val="nil"/>
              <w:bottom w:val="nil"/>
              <w:right w:val="nil"/>
            </w:tcBorders>
            <w:shd w:val="clear" w:color="auto" w:fill="auto"/>
            <w:noWrap/>
            <w:vAlign w:val="bottom"/>
            <w:hideMark/>
          </w:tcPr>
          <w:p w14:paraId="686BBE19"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0.961</w:t>
            </w:r>
          </w:p>
        </w:tc>
        <w:tc>
          <w:tcPr>
            <w:tcW w:w="1092" w:type="dxa"/>
            <w:gridSpan w:val="2"/>
            <w:tcBorders>
              <w:top w:val="nil"/>
              <w:left w:val="nil"/>
              <w:bottom w:val="nil"/>
              <w:right w:val="nil"/>
            </w:tcBorders>
            <w:shd w:val="clear" w:color="auto" w:fill="auto"/>
            <w:noWrap/>
            <w:vAlign w:val="bottom"/>
            <w:hideMark/>
          </w:tcPr>
          <w:p w14:paraId="0868A3F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0.966</w:t>
            </w:r>
          </w:p>
        </w:tc>
        <w:tc>
          <w:tcPr>
            <w:tcW w:w="1038" w:type="dxa"/>
            <w:gridSpan w:val="2"/>
            <w:tcBorders>
              <w:top w:val="nil"/>
              <w:left w:val="nil"/>
              <w:bottom w:val="nil"/>
              <w:right w:val="nil"/>
            </w:tcBorders>
            <w:shd w:val="clear" w:color="auto" w:fill="auto"/>
            <w:noWrap/>
            <w:vAlign w:val="bottom"/>
            <w:hideMark/>
          </w:tcPr>
          <w:p w14:paraId="31662CBE"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0.885</w:t>
            </w:r>
          </w:p>
        </w:tc>
        <w:tc>
          <w:tcPr>
            <w:tcW w:w="968" w:type="dxa"/>
            <w:gridSpan w:val="2"/>
            <w:tcBorders>
              <w:top w:val="nil"/>
              <w:left w:val="nil"/>
              <w:bottom w:val="nil"/>
              <w:right w:val="nil"/>
            </w:tcBorders>
            <w:shd w:val="clear" w:color="auto" w:fill="auto"/>
            <w:noWrap/>
            <w:vAlign w:val="bottom"/>
            <w:hideMark/>
          </w:tcPr>
          <w:p w14:paraId="37CF46D9"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0.928</w:t>
            </w:r>
          </w:p>
        </w:tc>
        <w:tc>
          <w:tcPr>
            <w:tcW w:w="968" w:type="dxa"/>
            <w:tcBorders>
              <w:top w:val="nil"/>
              <w:left w:val="nil"/>
              <w:bottom w:val="nil"/>
              <w:right w:val="single" w:sz="4" w:space="0" w:color="auto"/>
            </w:tcBorders>
            <w:shd w:val="clear" w:color="auto" w:fill="auto"/>
            <w:noWrap/>
            <w:vAlign w:val="bottom"/>
            <w:hideMark/>
          </w:tcPr>
          <w:p w14:paraId="25DDB3CC"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116EF338"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5E17E838"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c>
          <w:tcPr>
            <w:tcW w:w="1008" w:type="dxa"/>
            <w:gridSpan w:val="2"/>
            <w:tcBorders>
              <w:top w:val="nil"/>
              <w:left w:val="nil"/>
              <w:bottom w:val="nil"/>
              <w:right w:val="nil"/>
            </w:tcBorders>
            <w:shd w:val="clear" w:color="auto" w:fill="auto"/>
            <w:noWrap/>
            <w:vAlign w:val="bottom"/>
            <w:hideMark/>
          </w:tcPr>
          <w:p w14:paraId="563497A4" w14:textId="77777777" w:rsidR="001C6945" w:rsidRPr="007256AA" w:rsidRDefault="001C6945" w:rsidP="007272ED">
            <w:pPr>
              <w:spacing w:after="0" w:line="240" w:lineRule="auto"/>
              <w:rPr>
                <w:rFonts w:ascii="Calibri" w:eastAsia="Times New Roman" w:hAnsi="Calibri" w:cs="Calibri"/>
                <w:color w:val="000000"/>
                <w:lang w:eastAsia="en-IE"/>
              </w:rPr>
            </w:pPr>
          </w:p>
        </w:tc>
        <w:tc>
          <w:tcPr>
            <w:tcW w:w="1316" w:type="dxa"/>
            <w:gridSpan w:val="2"/>
            <w:tcBorders>
              <w:top w:val="nil"/>
              <w:left w:val="nil"/>
              <w:bottom w:val="nil"/>
              <w:right w:val="nil"/>
            </w:tcBorders>
            <w:shd w:val="clear" w:color="auto" w:fill="auto"/>
            <w:noWrap/>
            <w:vAlign w:val="bottom"/>
            <w:hideMark/>
          </w:tcPr>
          <w:p w14:paraId="3AAA4C9D" w14:textId="77777777" w:rsidR="001C6945" w:rsidRPr="007256AA" w:rsidRDefault="001C6945" w:rsidP="007272ED">
            <w:pPr>
              <w:spacing w:after="0" w:line="240" w:lineRule="auto"/>
              <w:rPr>
                <w:rFonts w:ascii="Calibri" w:eastAsia="Times New Roman" w:hAnsi="Calibri" w:cs="Calibri"/>
                <w:color w:val="000000"/>
                <w:lang w:eastAsia="en-IE"/>
              </w:rPr>
            </w:pPr>
          </w:p>
        </w:tc>
        <w:tc>
          <w:tcPr>
            <w:tcW w:w="1177" w:type="dxa"/>
            <w:gridSpan w:val="2"/>
            <w:tcBorders>
              <w:top w:val="nil"/>
              <w:left w:val="nil"/>
              <w:bottom w:val="nil"/>
              <w:right w:val="nil"/>
            </w:tcBorders>
            <w:shd w:val="clear" w:color="auto" w:fill="auto"/>
            <w:noWrap/>
            <w:vAlign w:val="bottom"/>
            <w:hideMark/>
          </w:tcPr>
          <w:p w14:paraId="3249FB4D" w14:textId="77777777" w:rsidR="001C6945" w:rsidRPr="007256AA" w:rsidRDefault="001C6945" w:rsidP="007272ED">
            <w:pPr>
              <w:spacing w:after="0" w:line="240" w:lineRule="auto"/>
              <w:rPr>
                <w:rFonts w:ascii="Calibri" w:eastAsia="Times New Roman" w:hAnsi="Calibri" w:cs="Calibri"/>
                <w:color w:val="000000"/>
                <w:lang w:eastAsia="en-IE"/>
              </w:rPr>
            </w:pPr>
          </w:p>
        </w:tc>
        <w:tc>
          <w:tcPr>
            <w:tcW w:w="1092" w:type="dxa"/>
            <w:gridSpan w:val="2"/>
            <w:tcBorders>
              <w:top w:val="nil"/>
              <w:left w:val="nil"/>
              <w:bottom w:val="nil"/>
              <w:right w:val="nil"/>
            </w:tcBorders>
            <w:shd w:val="clear" w:color="auto" w:fill="auto"/>
            <w:noWrap/>
            <w:vAlign w:val="bottom"/>
            <w:hideMark/>
          </w:tcPr>
          <w:p w14:paraId="5B3A91C3" w14:textId="77777777" w:rsidR="001C6945" w:rsidRPr="007256AA" w:rsidRDefault="001C6945" w:rsidP="007272ED">
            <w:pPr>
              <w:spacing w:after="0" w:line="240" w:lineRule="auto"/>
              <w:rPr>
                <w:rFonts w:ascii="Calibri" w:eastAsia="Times New Roman" w:hAnsi="Calibri" w:cs="Calibri"/>
                <w:color w:val="000000"/>
                <w:lang w:eastAsia="en-IE"/>
              </w:rPr>
            </w:pPr>
          </w:p>
        </w:tc>
        <w:tc>
          <w:tcPr>
            <w:tcW w:w="1038" w:type="dxa"/>
            <w:gridSpan w:val="2"/>
            <w:tcBorders>
              <w:top w:val="nil"/>
              <w:left w:val="nil"/>
              <w:bottom w:val="nil"/>
              <w:right w:val="nil"/>
            </w:tcBorders>
            <w:shd w:val="clear" w:color="auto" w:fill="auto"/>
            <w:noWrap/>
            <w:vAlign w:val="bottom"/>
            <w:hideMark/>
          </w:tcPr>
          <w:p w14:paraId="70F6C90B" w14:textId="77777777" w:rsidR="001C6945" w:rsidRPr="007256AA" w:rsidRDefault="001C6945" w:rsidP="007272ED">
            <w:pPr>
              <w:spacing w:after="0" w:line="240" w:lineRule="auto"/>
              <w:rPr>
                <w:rFonts w:ascii="Calibri" w:eastAsia="Times New Roman" w:hAnsi="Calibri" w:cs="Calibri"/>
                <w:color w:val="000000"/>
                <w:lang w:eastAsia="en-IE"/>
              </w:rPr>
            </w:pPr>
          </w:p>
        </w:tc>
        <w:tc>
          <w:tcPr>
            <w:tcW w:w="968" w:type="dxa"/>
            <w:gridSpan w:val="2"/>
            <w:tcBorders>
              <w:top w:val="nil"/>
              <w:left w:val="nil"/>
              <w:bottom w:val="nil"/>
              <w:right w:val="nil"/>
            </w:tcBorders>
            <w:shd w:val="clear" w:color="auto" w:fill="auto"/>
            <w:noWrap/>
            <w:vAlign w:val="bottom"/>
            <w:hideMark/>
          </w:tcPr>
          <w:p w14:paraId="468B97B8" w14:textId="77777777" w:rsidR="001C6945" w:rsidRPr="007256AA" w:rsidRDefault="001C6945" w:rsidP="007272ED">
            <w:pPr>
              <w:spacing w:after="0" w:line="240" w:lineRule="auto"/>
              <w:rPr>
                <w:rFonts w:ascii="Calibri" w:eastAsia="Times New Roman" w:hAnsi="Calibri" w:cs="Calibri"/>
                <w:color w:val="000000"/>
                <w:lang w:eastAsia="en-IE"/>
              </w:rPr>
            </w:pPr>
          </w:p>
        </w:tc>
        <w:tc>
          <w:tcPr>
            <w:tcW w:w="968" w:type="dxa"/>
            <w:tcBorders>
              <w:top w:val="nil"/>
              <w:left w:val="nil"/>
              <w:bottom w:val="nil"/>
              <w:right w:val="single" w:sz="4" w:space="0" w:color="auto"/>
            </w:tcBorders>
            <w:shd w:val="clear" w:color="auto" w:fill="auto"/>
            <w:noWrap/>
            <w:vAlign w:val="bottom"/>
            <w:hideMark/>
          </w:tcPr>
          <w:p w14:paraId="744836E5"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7F6DFBBD"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687560EA"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c>
          <w:tcPr>
            <w:tcW w:w="1008" w:type="dxa"/>
            <w:gridSpan w:val="2"/>
            <w:tcBorders>
              <w:top w:val="nil"/>
              <w:left w:val="nil"/>
              <w:bottom w:val="nil"/>
              <w:right w:val="nil"/>
            </w:tcBorders>
            <w:shd w:val="clear" w:color="auto" w:fill="auto"/>
            <w:noWrap/>
            <w:vAlign w:val="bottom"/>
            <w:hideMark/>
          </w:tcPr>
          <w:p w14:paraId="7A13EC56"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Japan</w:t>
            </w:r>
          </w:p>
        </w:tc>
        <w:tc>
          <w:tcPr>
            <w:tcW w:w="1316" w:type="dxa"/>
            <w:gridSpan w:val="2"/>
            <w:tcBorders>
              <w:top w:val="nil"/>
              <w:left w:val="nil"/>
              <w:bottom w:val="nil"/>
              <w:right w:val="nil"/>
            </w:tcBorders>
            <w:shd w:val="clear" w:color="auto" w:fill="auto"/>
            <w:noWrap/>
            <w:vAlign w:val="bottom"/>
            <w:hideMark/>
          </w:tcPr>
          <w:p w14:paraId="695E9EB1"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Netherlands</w:t>
            </w:r>
          </w:p>
        </w:tc>
        <w:tc>
          <w:tcPr>
            <w:tcW w:w="1177" w:type="dxa"/>
            <w:gridSpan w:val="2"/>
            <w:tcBorders>
              <w:top w:val="nil"/>
              <w:left w:val="nil"/>
              <w:bottom w:val="nil"/>
              <w:right w:val="nil"/>
            </w:tcBorders>
            <w:shd w:val="clear" w:color="auto" w:fill="auto"/>
            <w:noWrap/>
            <w:vAlign w:val="bottom"/>
            <w:hideMark/>
          </w:tcPr>
          <w:p w14:paraId="6DFAEB74"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New Zealand</w:t>
            </w:r>
          </w:p>
        </w:tc>
        <w:tc>
          <w:tcPr>
            <w:tcW w:w="1092" w:type="dxa"/>
            <w:gridSpan w:val="2"/>
            <w:tcBorders>
              <w:top w:val="nil"/>
              <w:left w:val="nil"/>
              <w:bottom w:val="nil"/>
              <w:right w:val="nil"/>
            </w:tcBorders>
            <w:shd w:val="clear" w:color="auto" w:fill="auto"/>
            <w:noWrap/>
            <w:vAlign w:val="bottom"/>
            <w:hideMark/>
          </w:tcPr>
          <w:p w14:paraId="4E27A458"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South Africa</w:t>
            </w:r>
          </w:p>
        </w:tc>
        <w:tc>
          <w:tcPr>
            <w:tcW w:w="1038" w:type="dxa"/>
            <w:gridSpan w:val="2"/>
            <w:tcBorders>
              <w:top w:val="nil"/>
              <w:left w:val="nil"/>
              <w:bottom w:val="nil"/>
              <w:right w:val="nil"/>
            </w:tcBorders>
            <w:shd w:val="clear" w:color="auto" w:fill="auto"/>
            <w:noWrap/>
            <w:vAlign w:val="bottom"/>
            <w:hideMark/>
          </w:tcPr>
          <w:p w14:paraId="61D8B0B0"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UK</w:t>
            </w:r>
          </w:p>
        </w:tc>
        <w:tc>
          <w:tcPr>
            <w:tcW w:w="968" w:type="dxa"/>
            <w:gridSpan w:val="2"/>
            <w:tcBorders>
              <w:top w:val="nil"/>
              <w:left w:val="nil"/>
              <w:bottom w:val="nil"/>
              <w:right w:val="nil"/>
            </w:tcBorders>
            <w:shd w:val="clear" w:color="auto" w:fill="auto"/>
            <w:noWrap/>
            <w:vAlign w:val="bottom"/>
            <w:hideMark/>
          </w:tcPr>
          <w:p w14:paraId="50FF3F48"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US</w:t>
            </w:r>
          </w:p>
        </w:tc>
        <w:tc>
          <w:tcPr>
            <w:tcW w:w="968" w:type="dxa"/>
            <w:tcBorders>
              <w:top w:val="nil"/>
              <w:left w:val="nil"/>
              <w:bottom w:val="nil"/>
              <w:right w:val="single" w:sz="4" w:space="0" w:color="auto"/>
            </w:tcBorders>
            <w:shd w:val="clear" w:color="auto" w:fill="auto"/>
            <w:noWrap/>
            <w:vAlign w:val="bottom"/>
            <w:hideMark/>
          </w:tcPr>
          <w:p w14:paraId="6B2B83D9"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6FACC917"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395F6EAE"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Intercept</w:t>
            </w:r>
          </w:p>
        </w:tc>
        <w:tc>
          <w:tcPr>
            <w:tcW w:w="1008" w:type="dxa"/>
            <w:gridSpan w:val="2"/>
            <w:tcBorders>
              <w:top w:val="nil"/>
              <w:left w:val="nil"/>
              <w:bottom w:val="nil"/>
              <w:right w:val="nil"/>
            </w:tcBorders>
            <w:shd w:val="clear" w:color="auto" w:fill="auto"/>
            <w:noWrap/>
            <w:vAlign w:val="bottom"/>
            <w:hideMark/>
          </w:tcPr>
          <w:p w14:paraId="1D25EE24"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92.452</w:t>
            </w:r>
          </w:p>
        </w:tc>
        <w:tc>
          <w:tcPr>
            <w:tcW w:w="1316" w:type="dxa"/>
            <w:gridSpan w:val="2"/>
            <w:tcBorders>
              <w:top w:val="nil"/>
              <w:left w:val="nil"/>
              <w:bottom w:val="nil"/>
              <w:right w:val="nil"/>
            </w:tcBorders>
            <w:shd w:val="clear" w:color="auto" w:fill="auto"/>
            <w:noWrap/>
            <w:vAlign w:val="bottom"/>
            <w:hideMark/>
          </w:tcPr>
          <w:p w14:paraId="532DA841"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87.477</w:t>
            </w:r>
          </w:p>
        </w:tc>
        <w:tc>
          <w:tcPr>
            <w:tcW w:w="1177" w:type="dxa"/>
            <w:gridSpan w:val="2"/>
            <w:tcBorders>
              <w:top w:val="nil"/>
              <w:left w:val="nil"/>
              <w:bottom w:val="nil"/>
              <w:right w:val="nil"/>
            </w:tcBorders>
            <w:shd w:val="clear" w:color="auto" w:fill="auto"/>
            <w:noWrap/>
            <w:vAlign w:val="bottom"/>
            <w:hideMark/>
          </w:tcPr>
          <w:p w14:paraId="199CA2E7"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96.717</w:t>
            </w:r>
          </w:p>
        </w:tc>
        <w:tc>
          <w:tcPr>
            <w:tcW w:w="1092" w:type="dxa"/>
            <w:gridSpan w:val="2"/>
            <w:tcBorders>
              <w:top w:val="nil"/>
              <w:left w:val="nil"/>
              <w:bottom w:val="nil"/>
              <w:right w:val="nil"/>
            </w:tcBorders>
            <w:shd w:val="clear" w:color="auto" w:fill="auto"/>
            <w:noWrap/>
            <w:vAlign w:val="bottom"/>
            <w:hideMark/>
          </w:tcPr>
          <w:p w14:paraId="292230DD"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106.247</w:t>
            </w:r>
          </w:p>
        </w:tc>
        <w:tc>
          <w:tcPr>
            <w:tcW w:w="1038" w:type="dxa"/>
            <w:gridSpan w:val="2"/>
            <w:tcBorders>
              <w:top w:val="nil"/>
              <w:left w:val="nil"/>
              <w:bottom w:val="nil"/>
              <w:right w:val="nil"/>
            </w:tcBorders>
            <w:shd w:val="clear" w:color="auto" w:fill="auto"/>
            <w:noWrap/>
            <w:vAlign w:val="bottom"/>
            <w:hideMark/>
          </w:tcPr>
          <w:p w14:paraId="1FB969ED"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92.738</w:t>
            </w:r>
          </w:p>
        </w:tc>
        <w:tc>
          <w:tcPr>
            <w:tcW w:w="968" w:type="dxa"/>
            <w:gridSpan w:val="2"/>
            <w:tcBorders>
              <w:top w:val="nil"/>
              <w:left w:val="nil"/>
              <w:bottom w:val="nil"/>
              <w:right w:val="nil"/>
            </w:tcBorders>
            <w:shd w:val="clear" w:color="auto" w:fill="auto"/>
            <w:noWrap/>
            <w:vAlign w:val="bottom"/>
            <w:hideMark/>
          </w:tcPr>
          <w:p w14:paraId="2721623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100.712</w:t>
            </w:r>
          </w:p>
        </w:tc>
        <w:tc>
          <w:tcPr>
            <w:tcW w:w="968" w:type="dxa"/>
            <w:tcBorders>
              <w:top w:val="nil"/>
              <w:left w:val="nil"/>
              <w:bottom w:val="nil"/>
              <w:right w:val="single" w:sz="4" w:space="0" w:color="auto"/>
            </w:tcBorders>
            <w:shd w:val="clear" w:color="auto" w:fill="auto"/>
            <w:noWrap/>
            <w:vAlign w:val="bottom"/>
            <w:hideMark/>
          </w:tcPr>
          <w:p w14:paraId="46C0DB60"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7B922D50"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52AB61AE"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13CF2076"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316" w:type="dxa"/>
            <w:gridSpan w:val="2"/>
            <w:tcBorders>
              <w:top w:val="nil"/>
              <w:left w:val="nil"/>
              <w:bottom w:val="nil"/>
              <w:right w:val="nil"/>
            </w:tcBorders>
            <w:shd w:val="clear" w:color="auto" w:fill="auto"/>
            <w:noWrap/>
            <w:vAlign w:val="bottom"/>
            <w:hideMark/>
          </w:tcPr>
          <w:p w14:paraId="0C1D16F4"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177" w:type="dxa"/>
            <w:gridSpan w:val="2"/>
            <w:tcBorders>
              <w:top w:val="nil"/>
              <w:left w:val="nil"/>
              <w:bottom w:val="nil"/>
              <w:right w:val="nil"/>
            </w:tcBorders>
            <w:shd w:val="clear" w:color="auto" w:fill="auto"/>
            <w:noWrap/>
            <w:vAlign w:val="bottom"/>
            <w:hideMark/>
          </w:tcPr>
          <w:p w14:paraId="53063813"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92" w:type="dxa"/>
            <w:gridSpan w:val="2"/>
            <w:tcBorders>
              <w:top w:val="nil"/>
              <w:left w:val="nil"/>
              <w:bottom w:val="nil"/>
              <w:right w:val="nil"/>
            </w:tcBorders>
            <w:shd w:val="clear" w:color="auto" w:fill="auto"/>
            <w:noWrap/>
            <w:vAlign w:val="bottom"/>
            <w:hideMark/>
          </w:tcPr>
          <w:p w14:paraId="30A21BE7"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38" w:type="dxa"/>
            <w:gridSpan w:val="2"/>
            <w:tcBorders>
              <w:top w:val="nil"/>
              <w:left w:val="nil"/>
              <w:bottom w:val="nil"/>
              <w:right w:val="nil"/>
            </w:tcBorders>
            <w:shd w:val="clear" w:color="auto" w:fill="auto"/>
            <w:noWrap/>
            <w:vAlign w:val="bottom"/>
            <w:hideMark/>
          </w:tcPr>
          <w:p w14:paraId="56152F14"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8" w:type="dxa"/>
            <w:gridSpan w:val="2"/>
            <w:tcBorders>
              <w:top w:val="nil"/>
              <w:left w:val="nil"/>
              <w:bottom w:val="nil"/>
              <w:right w:val="nil"/>
            </w:tcBorders>
            <w:shd w:val="clear" w:color="auto" w:fill="auto"/>
            <w:noWrap/>
            <w:vAlign w:val="bottom"/>
            <w:hideMark/>
          </w:tcPr>
          <w:p w14:paraId="05BBFB05"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8" w:type="dxa"/>
            <w:tcBorders>
              <w:top w:val="nil"/>
              <w:left w:val="nil"/>
              <w:bottom w:val="nil"/>
              <w:right w:val="single" w:sz="4" w:space="0" w:color="auto"/>
            </w:tcBorders>
            <w:shd w:val="clear" w:color="auto" w:fill="auto"/>
            <w:noWrap/>
            <w:vAlign w:val="bottom"/>
            <w:hideMark/>
          </w:tcPr>
          <w:p w14:paraId="17999FBF"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1C6945" w:rsidRPr="007256AA" w14:paraId="6F79E763"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31E1487B"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TED</w:t>
            </w:r>
          </w:p>
        </w:tc>
        <w:tc>
          <w:tcPr>
            <w:tcW w:w="1008" w:type="dxa"/>
            <w:gridSpan w:val="2"/>
            <w:tcBorders>
              <w:top w:val="nil"/>
              <w:left w:val="nil"/>
              <w:bottom w:val="nil"/>
              <w:right w:val="nil"/>
            </w:tcBorders>
            <w:shd w:val="clear" w:color="auto" w:fill="auto"/>
            <w:noWrap/>
            <w:vAlign w:val="bottom"/>
            <w:hideMark/>
          </w:tcPr>
          <w:p w14:paraId="2AA6583F"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-9.349</w:t>
            </w:r>
          </w:p>
        </w:tc>
        <w:tc>
          <w:tcPr>
            <w:tcW w:w="1316" w:type="dxa"/>
            <w:gridSpan w:val="2"/>
            <w:tcBorders>
              <w:top w:val="nil"/>
              <w:left w:val="nil"/>
              <w:bottom w:val="nil"/>
              <w:right w:val="nil"/>
            </w:tcBorders>
            <w:shd w:val="clear" w:color="auto" w:fill="auto"/>
            <w:noWrap/>
            <w:vAlign w:val="bottom"/>
            <w:hideMark/>
          </w:tcPr>
          <w:p w14:paraId="4A944041"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3.812</w:t>
            </w:r>
          </w:p>
        </w:tc>
        <w:tc>
          <w:tcPr>
            <w:tcW w:w="1177" w:type="dxa"/>
            <w:gridSpan w:val="2"/>
            <w:tcBorders>
              <w:top w:val="nil"/>
              <w:left w:val="nil"/>
              <w:bottom w:val="nil"/>
              <w:right w:val="nil"/>
            </w:tcBorders>
            <w:shd w:val="clear" w:color="auto" w:fill="auto"/>
            <w:noWrap/>
            <w:vAlign w:val="bottom"/>
            <w:hideMark/>
          </w:tcPr>
          <w:p w14:paraId="3471CF83"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-30.679</w:t>
            </w:r>
          </w:p>
        </w:tc>
        <w:tc>
          <w:tcPr>
            <w:tcW w:w="1092" w:type="dxa"/>
            <w:gridSpan w:val="2"/>
            <w:tcBorders>
              <w:top w:val="nil"/>
              <w:left w:val="nil"/>
              <w:bottom w:val="nil"/>
              <w:right w:val="nil"/>
            </w:tcBorders>
            <w:shd w:val="clear" w:color="auto" w:fill="auto"/>
            <w:noWrap/>
            <w:vAlign w:val="bottom"/>
            <w:hideMark/>
          </w:tcPr>
          <w:p w14:paraId="0D329C86"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-23.081</w:t>
            </w:r>
          </w:p>
        </w:tc>
        <w:tc>
          <w:tcPr>
            <w:tcW w:w="1038" w:type="dxa"/>
            <w:gridSpan w:val="2"/>
            <w:tcBorders>
              <w:top w:val="nil"/>
              <w:left w:val="nil"/>
              <w:bottom w:val="nil"/>
              <w:right w:val="nil"/>
            </w:tcBorders>
            <w:shd w:val="clear" w:color="auto" w:fill="auto"/>
            <w:noWrap/>
            <w:vAlign w:val="bottom"/>
            <w:hideMark/>
          </w:tcPr>
          <w:p w14:paraId="69AB828A"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4.852</w:t>
            </w:r>
          </w:p>
        </w:tc>
        <w:tc>
          <w:tcPr>
            <w:tcW w:w="968" w:type="dxa"/>
            <w:gridSpan w:val="2"/>
            <w:tcBorders>
              <w:top w:val="nil"/>
              <w:left w:val="nil"/>
              <w:bottom w:val="nil"/>
              <w:right w:val="nil"/>
            </w:tcBorders>
            <w:shd w:val="clear" w:color="auto" w:fill="auto"/>
            <w:noWrap/>
            <w:vAlign w:val="bottom"/>
            <w:hideMark/>
          </w:tcPr>
          <w:p w14:paraId="73BBDB5F"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8.841</w:t>
            </w:r>
          </w:p>
        </w:tc>
        <w:tc>
          <w:tcPr>
            <w:tcW w:w="968" w:type="dxa"/>
            <w:tcBorders>
              <w:top w:val="nil"/>
              <w:left w:val="nil"/>
              <w:bottom w:val="nil"/>
              <w:right w:val="single" w:sz="4" w:space="0" w:color="auto"/>
            </w:tcBorders>
            <w:shd w:val="clear" w:color="auto" w:fill="auto"/>
            <w:noWrap/>
            <w:vAlign w:val="bottom"/>
            <w:hideMark/>
          </w:tcPr>
          <w:p w14:paraId="08DBB34B"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3015882F"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32AEA213"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lastRenderedPageBreak/>
              <w:t> </w:t>
            </w:r>
          </w:p>
        </w:tc>
        <w:tc>
          <w:tcPr>
            <w:tcW w:w="1008" w:type="dxa"/>
            <w:gridSpan w:val="2"/>
            <w:tcBorders>
              <w:top w:val="nil"/>
              <w:left w:val="nil"/>
              <w:bottom w:val="nil"/>
              <w:right w:val="nil"/>
            </w:tcBorders>
            <w:shd w:val="clear" w:color="auto" w:fill="auto"/>
            <w:noWrap/>
            <w:vAlign w:val="bottom"/>
            <w:hideMark/>
          </w:tcPr>
          <w:p w14:paraId="708C75F6"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0.123</w:t>
            </w:r>
          </w:p>
        </w:tc>
        <w:tc>
          <w:tcPr>
            <w:tcW w:w="1316" w:type="dxa"/>
            <w:gridSpan w:val="2"/>
            <w:tcBorders>
              <w:top w:val="nil"/>
              <w:left w:val="nil"/>
              <w:bottom w:val="nil"/>
              <w:right w:val="nil"/>
            </w:tcBorders>
            <w:shd w:val="clear" w:color="auto" w:fill="auto"/>
            <w:noWrap/>
            <w:vAlign w:val="bottom"/>
            <w:hideMark/>
          </w:tcPr>
          <w:p w14:paraId="57964E02"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0.550</w:t>
            </w:r>
          </w:p>
        </w:tc>
        <w:tc>
          <w:tcPr>
            <w:tcW w:w="1177" w:type="dxa"/>
            <w:gridSpan w:val="2"/>
            <w:tcBorders>
              <w:top w:val="nil"/>
              <w:left w:val="nil"/>
              <w:bottom w:val="nil"/>
              <w:right w:val="nil"/>
            </w:tcBorders>
            <w:shd w:val="clear" w:color="auto" w:fill="auto"/>
            <w:noWrap/>
            <w:vAlign w:val="bottom"/>
            <w:hideMark/>
          </w:tcPr>
          <w:p w14:paraId="3C3B9571"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0.004</w:t>
            </w:r>
          </w:p>
        </w:tc>
        <w:tc>
          <w:tcPr>
            <w:tcW w:w="1092" w:type="dxa"/>
            <w:gridSpan w:val="2"/>
            <w:tcBorders>
              <w:top w:val="nil"/>
              <w:left w:val="nil"/>
              <w:bottom w:val="nil"/>
              <w:right w:val="nil"/>
            </w:tcBorders>
            <w:shd w:val="clear" w:color="auto" w:fill="auto"/>
            <w:noWrap/>
            <w:vAlign w:val="bottom"/>
            <w:hideMark/>
          </w:tcPr>
          <w:p w14:paraId="54E0ED69"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0.015</w:t>
            </w:r>
          </w:p>
        </w:tc>
        <w:tc>
          <w:tcPr>
            <w:tcW w:w="1038" w:type="dxa"/>
            <w:gridSpan w:val="2"/>
            <w:tcBorders>
              <w:top w:val="nil"/>
              <w:left w:val="nil"/>
              <w:bottom w:val="nil"/>
              <w:right w:val="nil"/>
            </w:tcBorders>
            <w:shd w:val="clear" w:color="auto" w:fill="auto"/>
            <w:noWrap/>
            <w:vAlign w:val="bottom"/>
            <w:hideMark/>
          </w:tcPr>
          <w:p w14:paraId="5400BB6C"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0.345</w:t>
            </w:r>
          </w:p>
        </w:tc>
        <w:tc>
          <w:tcPr>
            <w:tcW w:w="968" w:type="dxa"/>
            <w:gridSpan w:val="2"/>
            <w:tcBorders>
              <w:top w:val="nil"/>
              <w:left w:val="nil"/>
              <w:bottom w:val="nil"/>
              <w:right w:val="nil"/>
            </w:tcBorders>
            <w:shd w:val="clear" w:color="auto" w:fill="auto"/>
            <w:noWrap/>
            <w:vAlign w:val="bottom"/>
            <w:hideMark/>
          </w:tcPr>
          <w:p w14:paraId="3B22F5C0"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0.088</w:t>
            </w:r>
          </w:p>
        </w:tc>
        <w:tc>
          <w:tcPr>
            <w:tcW w:w="968" w:type="dxa"/>
            <w:tcBorders>
              <w:top w:val="nil"/>
              <w:left w:val="nil"/>
              <w:bottom w:val="nil"/>
              <w:right w:val="single" w:sz="4" w:space="0" w:color="auto"/>
            </w:tcBorders>
            <w:shd w:val="clear" w:color="auto" w:fill="auto"/>
            <w:noWrap/>
            <w:vAlign w:val="bottom"/>
            <w:hideMark/>
          </w:tcPr>
          <w:p w14:paraId="473AA695"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1C6945" w:rsidRPr="007256AA" w14:paraId="79FFD43F"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451635AF"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VIX</w:t>
            </w:r>
          </w:p>
        </w:tc>
        <w:tc>
          <w:tcPr>
            <w:tcW w:w="1008" w:type="dxa"/>
            <w:gridSpan w:val="2"/>
            <w:tcBorders>
              <w:top w:val="nil"/>
              <w:left w:val="nil"/>
              <w:bottom w:val="nil"/>
              <w:right w:val="nil"/>
            </w:tcBorders>
            <w:shd w:val="clear" w:color="auto" w:fill="auto"/>
            <w:noWrap/>
            <w:vAlign w:val="bottom"/>
            <w:hideMark/>
          </w:tcPr>
          <w:p w14:paraId="001666C6"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0.353</w:t>
            </w:r>
          </w:p>
        </w:tc>
        <w:tc>
          <w:tcPr>
            <w:tcW w:w="1316" w:type="dxa"/>
            <w:gridSpan w:val="2"/>
            <w:tcBorders>
              <w:top w:val="nil"/>
              <w:left w:val="nil"/>
              <w:bottom w:val="nil"/>
              <w:right w:val="nil"/>
            </w:tcBorders>
            <w:shd w:val="clear" w:color="auto" w:fill="auto"/>
            <w:noWrap/>
            <w:vAlign w:val="bottom"/>
            <w:hideMark/>
          </w:tcPr>
          <w:p w14:paraId="7671787E"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0.195</w:t>
            </w:r>
          </w:p>
        </w:tc>
        <w:tc>
          <w:tcPr>
            <w:tcW w:w="1177" w:type="dxa"/>
            <w:gridSpan w:val="2"/>
            <w:tcBorders>
              <w:top w:val="nil"/>
              <w:left w:val="nil"/>
              <w:bottom w:val="nil"/>
              <w:right w:val="nil"/>
            </w:tcBorders>
            <w:shd w:val="clear" w:color="auto" w:fill="auto"/>
            <w:noWrap/>
            <w:vAlign w:val="bottom"/>
            <w:hideMark/>
          </w:tcPr>
          <w:p w14:paraId="7A286D50"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0.284</w:t>
            </w:r>
          </w:p>
        </w:tc>
        <w:tc>
          <w:tcPr>
            <w:tcW w:w="1092" w:type="dxa"/>
            <w:gridSpan w:val="2"/>
            <w:tcBorders>
              <w:top w:val="nil"/>
              <w:left w:val="nil"/>
              <w:bottom w:val="nil"/>
              <w:right w:val="nil"/>
            </w:tcBorders>
            <w:shd w:val="clear" w:color="auto" w:fill="auto"/>
            <w:noWrap/>
            <w:vAlign w:val="bottom"/>
            <w:hideMark/>
          </w:tcPr>
          <w:p w14:paraId="7BF6812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0.552</w:t>
            </w:r>
          </w:p>
        </w:tc>
        <w:tc>
          <w:tcPr>
            <w:tcW w:w="1038" w:type="dxa"/>
            <w:gridSpan w:val="2"/>
            <w:tcBorders>
              <w:top w:val="nil"/>
              <w:left w:val="nil"/>
              <w:bottom w:val="nil"/>
              <w:right w:val="nil"/>
            </w:tcBorders>
            <w:shd w:val="clear" w:color="auto" w:fill="auto"/>
            <w:noWrap/>
            <w:vAlign w:val="bottom"/>
            <w:hideMark/>
          </w:tcPr>
          <w:p w14:paraId="3AC4E4EC"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-0.101</w:t>
            </w:r>
          </w:p>
        </w:tc>
        <w:tc>
          <w:tcPr>
            <w:tcW w:w="968" w:type="dxa"/>
            <w:gridSpan w:val="2"/>
            <w:tcBorders>
              <w:top w:val="nil"/>
              <w:left w:val="nil"/>
              <w:bottom w:val="nil"/>
              <w:right w:val="nil"/>
            </w:tcBorders>
            <w:shd w:val="clear" w:color="auto" w:fill="auto"/>
            <w:noWrap/>
            <w:vAlign w:val="bottom"/>
            <w:hideMark/>
          </w:tcPr>
          <w:p w14:paraId="2E8EF70B"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-0.511</w:t>
            </w:r>
          </w:p>
        </w:tc>
        <w:tc>
          <w:tcPr>
            <w:tcW w:w="968" w:type="dxa"/>
            <w:tcBorders>
              <w:top w:val="nil"/>
              <w:left w:val="nil"/>
              <w:bottom w:val="nil"/>
              <w:right w:val="single" w:sz="4" w:space="0" w:color="auto"/>
            </w:tcBorders>
            <w:shd w:val="clear" w:color="auto" w:fill="auto"/>
            <w:noWrap/>
            <w:vAlign w:val="bottom"/>
            <w:hideMark/>
          </w:tcPr>
          <w:p w14:paraId="3DA83B83"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367A0996"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667E75E9"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1C7E63C2"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0.183</w:t>
            </w:r>
          </w:p>
        </w:tc>
        <w:tc>
          <w:tcPr>
            <w:tcW w:w="1316" w:type="dxa"/>
            <w:gridSpan w:val="2"/>
            <w:tcBorders>
              <w:top w:val="nil"/>
              <w:left w:val="nil"/>
              <w:bottom w:val="nil"/>
              <w:right w:val="nil"/>
            </w:tcBorders>
            <w:shd w:val="clear" w:color="auto" w:fill="auto"/>
            <w:noWrap/>
            <w:vAlign w:val="bottom"/>
            <w:hideMark/>
          </w:tcPr>
          <w:p w14:paraId="37C5C379"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0.490</w:t>
            </w:r>
          </w:p>
        </w:tc>
        <w:tc>
          <w:tcPr>
            <w:tcW w:w="1177" w:type="dxa"/>
            <w:gridSpan w:val="2"/>
            <w:tcBorders>
              <w:top w:val="nil"/>
              <w:left w:val="nil"/>
              <w:bottom w:val="nil"/>
              <w:right w:val="nil"/>
            </w:tcBorders>
            <w:shd w:val="clear" w:color="auto" w:fill="auto"/>
            <w:noWrap/>
            <w:vAlign w:val="bottom"/>
            <w:hideMark/>
          </w:tcPr>
          <w:p w14:paraId="38E8C310"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0.472</w:t>
            </w:r>
          </w:p>
        </w:tc>
        <w:tc>
          <w:tcPr>
            <w:tcW w:w="1092" w:type="dxa"/>
            <w:gridSpan w:val="2"/>
            <w:tcBorders>
              <w:top w:val="nil"/>
              <w:left w:val="nil"/>
              <w:bottom w:val="nil"/>
              <w:right w:val="nil"/>
            </w:tcBorders>
            <w:shd w:val="clear" w:color="auto" w:fill="auto"/>
            <w:noWrap/>
            <w:vAlign w:val="bottom"/>
            <w:hideMark/>
          </w:tcPr>
          <w:p w14:paraId="549008F0"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0.154</w:t>
            </w:r>
          </w:p>
        </w:tc>
        <w:tc>
          <w:tcPr>
            <w:tcW w:w="1038" w:type="dxa"/>
            <w:gridSpan w:val="2"/>
            <w:tcBorders>
              <w:top w:val="nil"/>
              <w:left w:val="nil"/>
              <w:bottom w:val="nil"/>
              <w:right w:val="nil"/>
            </w:tcBorders>
            <w:shd w:val="clear" w:color="auto" w:fill="auto"/>
            <w:noWrap/>
            <w:vAlign w:val="bottom"/>
            <w:hideMark/>
          </w:tcPr>
          <w:p w14:paraId="34B3CE02"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0.654</w:t>
            </w:r>
          </w:p>
        </w:tc>
        <w:tc>
          <w:tcPr>
            <w:tcW w:w="968" w:type="dxa"/>
            <w:gridSpan w:val="2"/>
            <w:tcBorders>
              <w:top w:val="nil"/>
              <w:left w:val="nil"/>
              <w:bottom w:val="nil"/>
              <w:right w:val="nil"/>
            </w:tcBorders>
            <w:shd w:val="clear" w:color="auto" w:fill="auto"/>
            <w:noWrap/>
            <w:vAlign w:val="bottom"/>
            <w:hideMark/>
          </w:tcPr>
          <w:p w14:paraId="70F2EF00"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0.032</w:t>
            </w:r>
          </w:p>
        </w:tc>
        <w:tc>
          <w:tcPr>
            <w:tcW w:w="968" w:type="dxa"/>
            <w:tcBorders>
              <w:top w:val="nil"/>
              <w:left w:val="nil"/>
              <w:bottom w:val="nil"/>
              <w:right w:val="single" w:sz="4" w:space="0" w:color="auto"/>
            </w:tcBorders>
            <w:shd w:val="clear" w:color="auto" w:fill="auto"/>
            <w:noWrap/>
            <w:vAlign w:val="bottom"/>
            <w:hideMark/>
          </w:tcPr>
          <w:p w14:paraId="32C7CFC2"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1C6945" w:rsidRPr="007256AA" w14:paraId="5C3751A2"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02CE9D9B"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SENT</w:t>
            </w:r>
          </w:p>
        </w:tc>
        <w:tc>
          <w:tcPr>
            <w:tcW w:w="1008" w:type="dxa"/>
            <w:gridSpan w:val="2"/>
            <w:tcBorders>
              <w:top w:val="nil"/>
              <w:left w:val="nil"/>
              <w:bottom w:val="nil"/>
              <w:right w:val="nil"/>
            </w:tcBorders>
            <w:shd w:val="clear" w:color="auto" w:fill="auto"/>
            <w:noWrap/>
            <w:vAlign w:val="bottom"/>
            <w:hideMark/>
          </w:tcPr>
          <w:p w14:paraId="4B80FC2E"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-2.032</w:t>
            </w:r>
          </w:p>
        </w:tc>
        <w:tc>
          <w:tcPr>
            <w:tcW w:w="1316" w:type="dxa"/>
            <w:gridSpan w:val="2"/>
            <w:tcBorders>
              <w:top w:val="nil"/>
              <w:left w:val="nil"/>
              <w:bottom w:val="nil"/>
              <w:right w:val="nil"/>
            </w:tcBorders>
            <w:shd w:val="clear" w:color="auto" w:fill="auto"/>
            <w:noWrap/>
            <w:vAlign w:val="bottom"/>
            <w:hideMark/>
          </w:tcPr>
          <w:p w14:paraId="2E57456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-1.026</w:t>
            </w:r>
          </w:p>
        </w:tc>
        <w:tc>
          <w:tcPr>
            <w:tcW w:w="1177" w:type="dxa"/>
            <w:gridSpan w:val="2"/>
            <w:tcBorders>
              <w:top w:val="nil"/>
              <w:left w:val="nil"/>
              <w:bottom w:val="nil"/>
              <w:right w:val="nil"/>
            </w:tcBorders>
            <w:shd w:val="clear" w:color="auto" w:fill="auto"/>
            <w:noWrap/>
            <w:vAlign w:val="bottom"/>
            <w:hideMark/>
          </w:tcPr>
          <w:p w14:paraId="650D94D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-1.759</w:t>
            </w:r>
          </w:p>
        </w:tc>
        <w:tc>
          <w:tcPr>
            <w:tcW w:w="1092" w:type="dxa"/>
            <w:gridSpan w:val="2"/>
            <w:tcBorders>
              <w:top w:val="nil"/>
              <w:left w:val="nil"/>
              <w:bottom w:val="nil"/>
              <w:right w:val="nil"/>
            </w:tcBorders>
            <w:shd w:val="clear" w:color="auto" w:fill="auto"/>
            <w:noWrap/>
            <w:vAlign w:val="bottom"/>
            <w:hideMark/>
          </w:tcPr>
          <w:p w14:paraId="55131C6C"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-2.243</w:t>
            </w:r>
          </w:p>
        </w:tc>
        <w:tc>
          <w:tcPr>
            <w:tcW w:w="1038" w:type="dxa"/>
            <w:gridSpan w:val="2"/>
            <w:tcBorders>
              <w:top w:val="nil"/>
              <w:left w:val="nil"/>
              <w:bottom w:val="nil"/>
              <w:right w:val="nil"/>
            </w:tcBorders>
            <w:shd w:val="clear" w:color="auto" w:fill="auto"/>
            <w:noWrap/>
            <w:vAlign w:val="bottom"/>
            <w:hideMark/>
          </w:tcPr>
          <w:p w14:paraId="593636CC"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-0.317</w:t>
            </w:r>
          </w:p>
        </w:tc>
        <w:tc>
          <w:tcPr>
            <w:tcW w:w="968" w:type="dxa"/>
            <w:gridSpan w:val="2"/>
            <w:tcBorders>
              <w:top w:val="nil"/>
              <w:left w:val="nil"/>
              <w:bottom w:val="nil"/>
              <w:right w:val="nil"/>
            </w:tcBorders>
            <w:shd w:val="clear" w:color="auto" w:fill="auto"/>
            <w:noWrap/>
            <w:vAlign w:val="bottom"/>
            <w:hideMark/>
          </w:tcPr>
          <w:p w14:paraId="0FE1089A"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0.623</w:t>
            </w:r>
          </w:p>
        </w:tc>
        <w:tc>
          <w:tcPr>
            <w:tcW w:w="968" w:type="dxa"/>
            <w:tcBorders>
              <w:top w:val="nil"/>
              <w:left w:val="nil"/>
              <w:bottom w:val="nil"/>
              <w:right w:val="single" w:sz="4" w:space="0" w:color="auto"/>
            </w:tcBorders>
            <w:shd w:val="clear" w:color="auto" w:fill="auto"/>
            <w:noWrap/>
            <w:vAlign w:val="bottom"/>
            <w:hideMark/>
          </w:tcPr>
          <w:p w14:paraId="4713C347"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2380E4C3"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5143A1B2"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2A9F0E72"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0.402</w:t>
            </w:r>
          </w:p>
        </w:tc>
        <w:tc>
          <w:tcPr>
            <w:tcW w:w="1316" w:type="dxa"/>
            <w:gridSpan w:val="2"/>
            <w:tcBorders>
              <w:top w:val="nil"/>
              <w:left w:val="nil"/>
              <w:bottom w:val="nil"/>
              <w:right w:val="nil"/>
            </w:tcBorders>
            <w:shd w:val="clear" w:color="auto" w:fill="auto"/>
            <w:noWrap/>
            <w:vAlign w:val="bottom"/>
            <w:hideMark/>
          </w:tcPr>
          <w:p w14:paraId="32F9EAA8"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0.696</w:t>
            </w:r>
          </w:p>
        </w:tc>
        <w:tc>
          <w:tcPr>
            <w:tcW w:w="1177" w:type="dxa"/>
            <w:gridSpan w:val="2"/>
            <w:tcBorders>
              <w:top w:val="nil"/>
              <w:left w:val="nil"/>
              <w:bottom w:val="nil"/>
              <w:right w:val="nil"/>
            </w:tcBorders>
            <w:shd w:val="clear" w:color="auto" w:fill="auto"/>
            <w:noWrap/>
            <w:vAlign w:val="bottom"/>
            <w:hideMark/>
          </w:tcPr>
          <w:p w14:paraId="38ABEE32"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0.631</w:t>
            </w:r>
          </w:p>
        </w:tc>
        <w:tc>
          <w:tcPr>
            <w:tcW w:w="1092" w:type="dxa"/>
            <w:gridSpan w:val="2"/>
            <w:tcBorders>
              <w:top w:val="nil"/>
              <w:left w:val="nil"/>
              <w:bottom w:val="nil"/>
              <w:right w:val="nil"/>
            </w:tcBorders>
            <w:shd w:val="clear" w:color="auto" w:fill="auto"/>
            <w:noWrap/>
            <w:vAlign w:val="bottom"/>
            <w:hideMark/>
          </w:tcPr>
          <w:p w14:paraId="36DDD2B9"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0.521</w:t>
            </w:r>
          </w:p>
        </w:tc>
        <w:tc>
          <w:tcPr>
            <w:tcW w:w="1038" w:type="dxa"/>
            <w:gridSpan w:val="2"/>
            <w:tcBorders>
              <w:top w:val="nil"/>
              <w:left w:val="nil"/>
              <w:bottom w:val="nil"/>
              <w:right w:val="nil"/>
            </w:tcBorders>
            <w:shd w:val="clear" w:color="auto" w:fill="auto"/>
            <w:noWrap/>
            <w:vAlign w:val="bottom"/>
            <w:hideMark/>
          </w:tcPr>
          <w:p w14:paraId="76E9E5E2"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0.879</w:t>
            </w:r>
          </w:p>
        </w:tc>
        <w:tc>
          <w:tcPr>
            <w:tcW w:w="968" w:type="dxa"/>
            <w:gridSpan w:val="2"/>
            <w:tcBorders>
              <w:top w:val="nil"/>
              <w:left w:val="nil"/>
              <w:bottom w:val="nil"/>
              <w:right w:val="nil"/>
            </w:tcBorders>
            <w:shd w:val="clear" w:color="auto" w:fill="auto"/>
            <w:noWrap/>
            <w:vAlign w:val="bottom"/>
            <w:hideMark/>
          </w:tcPr>
          <w:p w14:paraId="062517C6"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0.758</w:t>
            </w:r>
          </w:p>
        </w:tc>
        <w:tc>
          <w:tcPr>
            <w:tcW w:w="968" w:type="dxa"/>
            <w:tcBorders>
              <w:top w:val="nil"/>
              <w:left w:val="nil"/>
              <w:bottom w:val="nil"/>
              <w:right w:val="single" w:sz="4" w:space="0" w:color="auto"/>
            </w:tcBorders>
            <w:shd w:val="clear" w:color="auto" w:fill="auto"/>
            <w:noWrap/>
            <w:vAlign w:val="bottom"/>
            <w:hideMark/>
          </w:tcPr>
          <w:p w14:paraId="580DC665"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1C6945" w:rsidRPr="007256AA" w14:paraId="154EC737"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22D4DF0A"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FEDFUND</w:t>
            </w:r>
          </w:p>
        </w:tc>
        <w:tc>
          <w:tcPr>
            <w:tcW w:w="1008" w:type="dxa"/>
            <w:gridSpan w:val="2"/>
            <w:tcBorders>
              <w:top w:val="nil"/>
              <w:left w:val="nil"/>
              <w:bottom w:val="nil"/>
              <w:right w:val="nil"/>
            </w:tcBorders>
            <w:shd w:val="clear" w:color="auto" w:fill="auto"/>
            <w:noWrap/>
            <w:vAlign w:val="bottom"/>
            <w:hideMark/>
          </w:tcPr>
          <w:p w14:paraId="5B7D4013"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0.753</w:t>
            </w:r>
          </w:p>
        </w:tc>
        <w:tc>
          <w:tcPr>
            <w:tcW w:w="1316" w:type="dxa"/>
            <w:gridSpan w:val="2"/>
            <w:tcBorders>
              <w:top w:val="nil"/>
              <w:left w:val="nil"/>
              <w:bottom w:val="nil"/>
              <w:right w:val="nil"/>
            </w:tcBorders>
            <w:shd w:val="clear" w:color="auto" w:fill="auto"/>
            <w:noWrap/>
            <w:vAlign w:val="bottom"/>
            <w:hideMark/>
          </w:tcPr>
          <w:p w14:paraId="6F0FF0A4"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0.599</w:t>
            </w:r>
          </w:p>
        </w:tc>
        <w:tc>
          <w:tcPr>
            <w:tcW w:w="1177" w:type="dxa"/>
            <w:gridSpan w:val="2"/>
            <w:tcBorders>
              <w:top w:val="nil"/>
              <w:left w:val="nil"/>
              <w:bottom w:val="nil"/>
              <w:right w:val="nil"/>
            </w:tcBorders>
            <w:shd w:val="clear" w:color="auto" w:fill="auto"/>
            <w:noWrap/>
            <w:vAlign w:val="bottom"/>
            <w:hideMark/>
          </w:tcPr>
          <w:p w14:paraId="518FB851"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2.402</w:t>
            </w:r>
          </w:p>
        </w:tc>
        <w:tc>
          <w:tcPr>
            <w:tcW w:w="1092" w:type="dxa"/>
            <w:gridSpan w:val="2"/>
            <w:tcBorders>
              <w:top w:val="nil"/>
              <w:left w:val="nil"/>
              <w:bottom w:val="nil"/>
              <w:right w:val="nil"/>
            </w:tcBorders>
            <w:shd w:val="clear" w:color="auto" w:fill="auto"/>
            <w:noWrap/>
            <w:vAlign w:val="bottom"/>
            <w:hideMark/>
          </w:tcPr>
          <w:p w14:paraId="119ED545"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-1.114</w:t>
            </w:r>
          </w:p>
        </w:tc>
        <w:tc>
          <w:tcPr>
            <w:tcW w:w="1038" w:type="dxa"/>
            <w:gridSpan w:val="2"/>
            <w:tcBorders>
              <w:top w:val="nil"/>
              <w:left w:val="nil"/>
              <w:bottom w:val="nil"/>
              <w:right w:val="nil"/>
            </w:tcBorders>
            <w:shd w:val="clear" w:color="auto" w:fill="auto"/>
            <w:noWrap/>
            <w:vAlign w:val="bottom"/>
            <w:hideMark/>
          </w:tcPr>
          <w:p w14:paraId="15686361"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0.452</w:t>
            </w:r>
          </w:p>
        </w:tc>
        <w:tc>
          <w:tcPr>
            <w:tcW w:w="968" w:type="dxa"/>
            <w:gridSpan w:val="2"/>
            <w:tcBorders>
              <w:top w:val="nil"/>
              <w:left w:val="nil"/>
              <w:bottom w:val="nil"/>
              <w:right w:val="nil"/>
            </w:tcBorders>
            <w:shd w:val="clear" w:color="auto" w:fill="auto"/>
            <w:noWrap/>
            <w:vAlign w:val="bottom"/>
            <w:hideMark/>
          </w:tcPr>
          <w:p w14:paraId="60B93343"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-0.110</w:t>
            </w:r>
          </w:p>
        </w:tc>
        <w:tc>
          <w:tcPr>
            <w:tcW w:w="968" w:type="dxa"/>
            <w:tcBorders>
              <w:top w:val="nil"/>
              <w:left w:val="nil"/>
              <w:bottom w:val="nil"/>
              <w:right w:val="single" w:sz="4" w:space="0" w:color="auto"/>
            </w:tcBorders>
            <w:shd w:val="clear" w:color="auto" w:fill="auto"/>
            <w:noWrap/>
            <w:vAlign w:val="bottom"/>
            <w:hideMark/>
          </w:tcPr>
          <w:p w14:paraId="3BF085EE"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57E709E5"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0A3D54F6"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6DF11BE2"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0.473</w:t>
            </w:r>
          </w:p>
        </w:tc>
        <w:tc>
          <w:tcPr>
            <w:tcW w:w="1316" w:type="dxa"/>
            <w:gridSpan w:val="2"/>
            <w:tcBorders>
              <w:top w:val="nil"/>
              <w:left w:val="nil"/>
              <w:bottom w:val="nil"/>
              <w:right w:val="nil"/>
            </w:tcBorders>
            <w:shd w:val="clear" w:color="auto" w:fill="auto"/>
            <w:noWrap/>
            <w:vAlign w:val="bottom"/>
            <w:hideMark/>
          </w:tcPr>
          <w:p w14:paraId="55C7A7FC"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0.600</w:t>
            </w:r>
          </w:p>
        </w:tc>
        <w:tc>
          <w:tcPr>
            <w:tcW w:w="1177" w:type="dxa"/>
            <w:gridSpan w:val="2"/>
            <w:tcBorders>
              <w:top w:val="nil"/>
              <w:left w:val="nil"/>
              <w:bottom w:val="nil"/>
              <w:right w:val="nil"/>
            </w:tcBorders>
            <w:shd w:val="clear" w:color="auto" w:fill="auto"/>
            <w:noWrap/>
            <w:vAlign w:val="bottom"/>
            <w:hideMark/>
          </w:tcPr>
          <w:p w14:paraId="67844430"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0.146</w:t>
            </w:r>
          </w:p>
        </w:tc>
        <w:tc>
          <w:tcPr>
            <w:tcW w:w="1092" w:type="dxa"/>
            <w:gridSpan w:val="2"/>
            <w:tcBorders>
              <w:top w:val="nil"/>
              <w:left w:val="nil"/>
              <w:bottom w:val="nil"/>
              <w:right w:val="nil"/>
            </w:tcBorders>
            <w:shd w:val="clear" w:color="auto" w:fill="auto"/>
            <w:noWrap/>
            <w:vAlign w:val="bottom"/>
            <w:hideMark/>
          </w:tcPr>
          <w:p w14:paraId="5838D6E1"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0.464</w:t>
            </w:r>
          </w:p>
        </w:tc>
        <w:tc>
          <w:tcPr>
            <w:tcW w:w="1038" w:type="dxa"/>
            <w:gridSpan w:val="2"/>
            <w:tcBorders>
              <w:top w:val="nil"/>
              <w:left w:val="nil"/>
              <w:bottom w:val="nil"/>
              <w:right w:val="nil"/>
            </w:tcBorders>
            <w:shd w:val="clear" w:color="auto" w:fill="auto"/>
            <w:noWrap/>
            <w:vAlign w:val="bottom"/>
            <w:hideMark/>
          </w:tcPr>
          <w:p w14:paraId="17984FBB"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0.619</w:t>
            </w:r>
          </w:p>
        </w:tc>
        <w:tc>
          <w:tcPr>
            <w:tcW w:w="968" w:type="dxa"/>
            <w:gridSpan w:val="2"/>
            <w:tcBorders>
              <w:top w:val="nil"/>
              <w:left w:val="nil"/>
              <w:bottom w:val="nil"/>
              <w:right w:val="nil"/>
            </w:tcBorders>
            <w:shd w:val="clear" w:color="auto" w:fill="auto"/>
            <w:noWrap/>
            <w:vAlign w:val="bottom"/>
            <w:hideMark/>
          </w:tcPr>
          <w:p w14:paraId="4937722E"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0.900</w:t>
            </w:r>
          </w:p>
        </w:tc>
        <w:tc>
          <w:tcPr>
            <w:tcW w:w="968" w:type="dxa"/>
            <w:tcBorders>
              <w:top w:val="nil"/>
              <w:left w:val="nil"/>
              <w:bottom w:val="nil"/>
              <w:right w:val="single" w:sz="4" w:space="0" w:color="auto"/>
            </w:tcBorders>
            <w:shd w:val="clear" w:color="auto" w:fill="auto"/>
            <w:noWrap/>
            <w:vAlign w:val="bottom"/>
            <w:hideMark/>
          </w:tcPr>
          <w:p w14:paraId="6F241FDB"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1C6945" w:rsidRPr="007256AA" w14:paraId="11233A8E"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5573816A"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INTERNET</w:t>
            </w:r>
          </w:p>
        </w:tc>
        <w:tc>
          <w:tcPr>
            <w:tcW w:w="1008" w:type="dxa"/>
            <w:gridSpan w:val="2"/>
            <w:tcBorders>
              <w:top w:val="nil"/>
              <w:left w:val="nil"/>
              <w:bottom w:val="nil"/>
              <w:right w:val="nil"/>
            </w:tcBorders>
            <w:shd w:val="clear" w:color="auto" w:fill="auto"/>
            <w:noWrap/>
            <w:vAlign w:val="bottom"/>
            <w:hideMark/>
          </w:tcPr>
          <w:p w14:paraId="4B389693"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-0.744</w:t>
            </w:r>
          </w:p>
        </w:tc>
        <w:tc>
          <w:tcPr>
            <w:tcW w:w="1316" w:type="dxa"/>
            <w:gridSpan w:val="2"/>
            <w:tcBorders>
              <w:top w:val="nil"/>
              <w:left w:val="nil"/>
              <w:bottom w:val="nil"/>
              <w:right w:val="nil"/>
            </w:tcBorders>
            <w:shd w:val="clear" w:color="auto" w:fill="auto"/>
            <w:noWrap/>
            <w:vAlign w:val="bottom"/>
            <w:hideMark/>
          </w:tcPr>
          <w:p w14:paraId="54F561CA"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-2.370</w:t>
            </w:r>
          </w:p>
        </w:tc>
        <w:tc>
          <w:tcPr>
            <w:tcW w:w="1177" w:type="dxa"/>
            <w:gridSpan w:val="2"/>
            <w:tcBorders>
              <w:top w:val="nil"/>
              <w:left w:val="nil"/>
              <w:bottom w:val="nil"/>
              <w:right w:val="nil"/>
            </w:tcBorders>
            <w:shd w:val="clear" w:color="auto" w:fill="auto"/>
            <w:noWrap/>
            <w:vAlign w:val="bottom"/>
            <w:hideMark/>
          </w:tcPr>
          <w:p w14:paraId="64B55ACC"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-0.984</w:t>
            </w:r>
          </w:p>
        </w:tc>
        <w:tc>
          <w:tcPr>
            <w:tcW w:w="1092" w:type="dxa"/>
            <w:gridSpan w:val="2"/>
            <w:tcBorders>
              <w:top w:val="nil"/>
              <w:left w:val="nil"/>
              <w:bottom w:val="nil"/>
              <w:right w:val="nil"/>
            </w:tcBorders>
            <w:shd w:val="clear" w:color="auto" w:fill="auto"/>
            <w:noWrap/>
            <w:vAlign w:val="bottom"/>
            <w:hideMark/>
          </w:tcPr>
          <w:p w14:paraId="1C692AD7"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-1.795</w:t>
            </w:r>
          </w:p>
        </w:tc>
        <w:tc>
          <w:tcPr>
            <w:tcW w:w="1038" w:type="dxa"/>
            <w:gridSpan w:val="2"/>
            <w:tcBorders>
              <w:top w:val="nil"/>
              <w:left w:val="nil"/>
              <w:bottom w:val="nil"/>
              <w:right w:val="nil"/>
            </w:tcBorders>
            <w:shd w:val="clear" w:color="auto" w:fill="auto"/>
            <w:noWrap/>
            <w:vAlign w:val="bottom"/>
            <w:hideMark/>
          </w:tcPr>
          <w:p w14:paraId="099D2EB5"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-2.202</w:t>
            </w:r>
          </w:p>
        </w:tc>
        <w:tc>
          <w:tcPr>
            <w:tcW w:w="968" w:type="dxa"/>
            <w:gridSpan w:val="2"/>
            <w:tcBorders>
              <w:top w:val="nil"/>
              <w:left w:val="nil"/>
              <w:bottom w:val="nil"/>
              <w:right w:val="nil"/>
            </w:tcBorders>
            <w:shd w:val="clear" w:color="auto" w:fill="auto"/>
            <w:noWrap/>
            <w:vAlign w:val="bottom"/>
            <w:hideMark/>
          </w:tcPr>
          <w:p w14:paraId="6E159CDC"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-0.426</w:t>
            </w:r>
          </w:p>
        </w:tc>
        <w:tc>
          <w:tcPr>
            <w:tcW w:w="968" w:type="dxa"/>
            <w:tcBorders>
              <w:top w:val="nil"/>
              <w:left w:val="nil"/>
              <w:bottom w:val="nil"/>
              <w:right w:val="single" w:sz="4" w:space="0" w:color="auto"/>
            </w:tcBorders>
            <w:shd w:val="clear" w:color="auto" w:fill="auto"/>
            <w:noWrap/>
            <w:vAlign w:val="bottom"/>
            <w:hideMark/>
          </w:tcPr>
          <w:p w14:paraId="4E2F8C39"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279CEA60"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0F8A16E1"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3F9C7F8B"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0.006</w:t>
            </w:r>
          </w:p>
        </w:tc>
        <w:tc>
          <w:tcPr>
            <w:tcW w:w="1316" w:type="dxa"/>
            <w:gridSpan w:val="2"/>
            <w:tcBorders>
              <w:top w:val="nil"/>
              <w:left w:val="nil"/>
              <w:bottom w:val="nil"/>
              <w:right w:val="nil"/>
            </w:tcBorders>
            <w:shd w:val="clear" w:color="auto" w:fill="auto"/>
            <w:noWrap/>
            <w:vAlign w:val="bottom"/>
            <w:hideMark/>
          </w:tcPr>
          <w:p w14:paraId="71D5CE1C"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177" w:type="dxa"/>
            <w:gridSpan w:val="2"/>
            <w:tcBorders>
              <w:top w:val="nil"/>
              <w:left w:val="nil"/>
              <w:bottom w:val="nil"/>
              <w:right w:val="nil"/>
            </w:tcBorders>
            <w:shd w:val="clear" w:color="auto" w:fill="auto"/>
            <w:noWrap/>
            <w:vAlign w:val="bottom"/>
            <w:hideMark/>
          </w:tcPr>
          <w:p w14:paraId="3251077A"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0.014</w:t>
            </w:r>
          </w:p>
        </w:tc>
        <w:tc>
          <w:tcPr>
            <w:tcW w:w="1092" w:type="dxa"/>
            <w:gridSpan w:val="2"/>
            <w:tcBorders>
              <w:top w:val="nil"/>
              <w:left w:val="nil"/>
              <w:bottom w:val="nil"/>
              <w:right w:val="nil"/>
            </w:tcBorders>
            <w:shd w:val="clear" w:color="auto" w:fill="auto"/>
            <w:noWrap/>
            <w:vAlign w:val="bottom"/>
            <w:hideMark/>
          </w:tcPr>
          <w:p w14:paraId="69989E2C"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38" w:type="dxa"/>
            <w:gridSpan w:val="2"/>
            <w:tcBorders>
              <w:top w:val="nil"/>
              <w:left w:val="nil"/>
              <w:bottom w:val="nil"/>
              <w:right w:val="nil"/>
            </w:tcBorders>
            <w:shd w:val="clear" w:color="auto" w:fill="auto"/>
            <w:noWrap/>
            <w:vAlign w:val="bottom"/>
            <w:hideMark/>
          </w:tcPr>
          <w:p w14:paraId="1EF8E96F"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8" w:type="dxa"/>
            <w:gridSpan w:val="2"/>
            <w:tcBorders>
              <w:top w:val="nil"/>
              <w:left w:val="nil"/>
              <w:bottom w:val="nil"/>
              <w:right w:val="nil"/>
            </w:tcBorders>
            <w:shd w:val="clear" w:color="auto" w:fill="auto"/>
            <w:noWrap/>
            <w:vAlign w:val="bottom"/>
            <w:hideMark/>
          </w:tcPr>
          <w:p w14:paraId="4E200CEF"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0.045</w:t>
            </w:r>
          </w:p>
        </w:tc>
        <w:tc>
          <w:tcPr>
            <w:tcW w:w="968" w:type="dxa"/>
            <w:tcBorders>
              <w:top w:val="nil"/>
              <w:left w:val="nil"/>
              <w:bottom w:val="nil"/>
              <w:right w:val="single" w:sz="4" w:space="0" w:color="auto"/>
            </w:tcBorders>
            <w:shd w:val="clear" w:color="auto" w:fill="auto"/>
            <w:noWrap/>
            <w:vAlign w:val="bottom"/>
            <w:hideMark/>
          </w:tcPr>
          <w:p w14:paraId="3E9CFCD9"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1C6945" w:rsidRPr="007256AA" w14:paraId="76EA1F30"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49D81AAC"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ERM</w:t>
            </w:r>
          </w:p>
        </w:tc>
        <w:tc>
          <w:tcPr>
            <w:tcW w:w="1008" w:type="dxa"/>
            <w:gridSpan w:val="2"/>
            <w:tcBorders>
              <w:top w:val="nil"/>
              <w:left w:val="nil"/>
              <w:bottom w:val="nil"/>
              <w:right w:val="nil"/>
            </w:tcBorders>
            <w:shd w:val="clear" w:color="auto" w:fill="auto"/>
            <w:noWrap/>
            <w:vAlign w:val="bottom"/>
            <w:hideMark/>
          </w:tcPr>
          <w:p w14:paraId="0284225D"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-14.453</w:t>
            </w:r>
          </w:p>
        </w:tc>
        <w:tc>
          <w:tcPr>
            <w:tcW w:w="1316" w:type="dxa"/>
            <w:gridSpan w:val="2"/>
            <w:tcBorders>
              <w:top w:val="nil"/>
              <w:left w:val="nil"/>
              <w:bottom w:val="nil"/>
              <w:right w:val="nil"/>
            </w:tcBorders>
            <w:shd w:val="clear" w:color="auto" w:fill="auto"/>
            <w:noWrap/>
            <w:vAlign w:val="bottom"/>
            <w:hideMark/>
          </w:tcPr>
          <w:p w14:paraId="2226F027"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-31.537</w:t>
            </w:r>
          </w:p>
        </w:tc>
        <w:tc>
          <w:tcPr>
            <w:tcW w:w="1177" w:type="dxa"/>
            <w:gridSpan w:val="2"/>
            <w:tcBorders>
              <w:top w:val="nil"/>
              <w:left w:val="nil"/>
              <w:bottom w:val="nil"/>
              <w:right w:val="nil"/>
            </w:tcBorders>
            <w:shd w:val="clear" w:color="auto" w:fill="auto"/>
            <w:noWrap/>
            <w:vAlign w:val="bottom"/>
            <w:hideMark/>
          </w:tcPr>
          <w:p w14:paraId="4AD7BBA5"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-18.244</w:t>
            </w:r>
          </w:p>
        </w:tc>
        <w:tc>
          <w:tcPr>
            <w:tcW w:w="1092" w:type="dxa"/>
            <w:gridSpan w:val="2"/>
            <w:tcBorders>
              <w:top w:val="nil"/>
              <w:left w:val="nil"/>
              <w:bottom w:val="nil"/>
              <w:right w:val="nil"/>
            </w:tcBorders>
            <w:shd w:val="clear" w:color="auto" w:fill="auto"/>
            <w:noWrap/>
            <w:vAlign w:val="bottom"/>
            <w:hideMark/>
          </w:tcPr>
          <w:p w14:paraId="5146919E"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-21.438</w:t>
            </w:r>
          </w:p>
        </w:tc>
        <w:tc>
          <w:tcPr>
            <w:tcW w:w="1038" w:type="dxa"/>
            <w:gridSpan w:val="2"/>
            <w:tcBorders>
              <w:top w:val="nil"/>
              <w:left w:val="nil"/>
              <w:bottom w:val="nil"/>
              <w:right w:val="nil"/>
            </w:tcBorders>
            <w:shd w:val="clear" w:color="auto" w:fill="auto"/>
            <w:noWrap/>
            <w:vAlign w:val="bottom"/>
            <w:hideMark/>
          </w:tcPr>
          <w:p w14:paraId="1B4D2AB9"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-25.259</w:t>
            </w:r>
          </w:p>
        </w:tc>
        <w:tc>
          <w:tcPr>
            <w:tcW w:w="968" w:type="dxa"/>
            <w:gridSpan w:val="2"/>
            <w:tcBorders>
              <w:top w:val="nil"/>
              <w:left w:val="nil"/>
              <w:bottom w:val="nil"/>
              <w:right w:val="nil"/>
            </w:tcBorders>
            <w:shd w:val="clear" w:color="auto" w:fill="auto"/>
            <w:noWrap/>
            <w:vAlign w:val="bottom"/>
            <w:hideMark/>
          </w:tcPr>
          <w:p w14:paraId="7A6CCA41"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2.925</w:t>
            </w:r>
          </w:p>
        </w:tc>
        <w:tc>
          <w:tcPr>
            <w:tcW w:w="968" w:type="dxa"/>
            <w:tcBorders>
              <w:top w:val="nil"/>
              <w:left w:val="nil"/>
              <w:bottom w:val="nil"/>
              <w:right w:val="single" w:sz="4" w:space="0" w:color="auto"/>
            </w:tcBorders>
            <w:shd w:val="clear" w:color="auto" w:fill="auto"/>
            <w:noWrap/>
            <w:vAlign w:val="bottom"/>
            <w:hideMark/>
          </w:tcPr>
          <w:p w14:paraId="3A9811A8"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0341F733"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0EBB6761"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bottom w:val="nil"/>
              <w:right w:val="nil"/>
            </w:tcBorders>
            <w:shd w:val="clear" w:color="auto" w:fill="auto"/>
            <w:noWrap/>
            <w:vAlign w:val="bottom"/>
            <w:hideMark/>
          </w:tcPr>
          <w:p w14:paraId="4679C04A"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0.024</w:t>
            </w:r>
          </w:p>
        </w:tc>
        <w:tc>
          <w:tcPr>
            <w:tcW w:w="1316" w:type="dxa"/>
            <w:gridSpan w:val="2"/>
            <w:tcBorders>
              <w:top w:val="nil"/>
              <w:left w:val="nil"/>
              <w:bottom w:val="nil"/>
              <w:right w:val="nil"/>
            </w:tcBorders>
            <w:shd w:val="clear" w:color="auto" w:fill="auto"/>
            <w:noWrap/>
            <w:vAlign w:val="bottom"/>
            <w:hideMark/>
          </w:tcPr>
          <w:p w14:paraId="47D2BEBC"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177" w:type="dxa"/>
            <w:gridSpan w:val="2"/>
            <w:tcBorders>
              <w:top w:val="nil"/>
              <w:left w:val="nil"/>
              <w:bottom w:val="nil"/>
              <w:right w:val="nil"/>
            </w:tcBorders>
            <w:shd w:val="clear" w:color="auto" w:fill="auto"/>
            <w:noWrap/>
            <w:vAlign w:val="bottom"/>
            <w:hideMark/>
          </w:tcPr>
          <w:p w14:paraId="7AEC02B1"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0.054</w:t>
            </w:r>
          </w:p>
        </w:tc>
        <w:tc>
          <w:tcPr>
            <w:tcW w:w="1092" w:type="dxa"/>
            <w:gridSpan w:val="2"/>
            <w:tcBorders>
              <w:top w:val="nil"/>
              <w:left w:val="nil"/>
              <w:bottom w:val="nil"/>
              <w:right w:val="nil"/>
            </w:tcBorders>
            <w:shd w:val="clear" w:color="auto" w:fill="auto"/>
            <w:noWrap/>
            <w:vAlign w:val="bottom"/>
            <w:hideMark/>
          </w:tcPr>
          <w:p w14:paraId="4B303CAE"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0.022</w:t>
            </w:r>
          </w:p>
        </w:tc>
        <w:tc>
          <w:tcPr>
            <w:tcW w:w="1038" w:type="dxa"/>
            <w:gridSpan w:val="2"/>
            <w:tcBorders>
              <w:top w:val="nil"/>
              <w:left w:val="nil"/>
              <w:bottom w:val="nil"/>
              <w:right w:val="nil"/>
            </w:tcBorders>
            <w:shd w:val="clear" w:color="auto" w:fill="auto"/>
            <w:noWrap/>
            <w:vAlign w:val="bottom"/>
            <w:hideMark/>
          </w:tcPr>
          <w:p w14:paraId="1494CD22"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8" w:type="dxa"/>
            <w:gridSpan w:val="2"/>
            <w:tcBorders>
              <w:top w:val="nil"/>
              <w:left w:val="nil"/>
              <w:bottom w:val="nil"/>
              <w:right w:val="nil"/>
            </w:tcBorders>
            <w:shd w:val="clear" w:color="auto" w:fill="auto"/>
            <w:noWrap/>
            <w:vAlign w:val="bottom"/>
            <w:hideMark/>
          </w:tcPr>
          <w:p w14:paraId="2B8E56BD"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0.551</w:t>
            </w:r>
          </w:p>
        </w:tc>
        <w:tc>
          <w:tcPr>
            <w:tcW w:w="968" w:type="dxa"/>
            <w:tcBorders>
              <w:top w:val="nil"/>
              <w:left w:val="nil"/>
              <w:bottom w:val="nil"/>
              <w:right w:val="single" w:sz="4" w:space="0" w:color="auto"/>
            </w:tcBorders>
            <w:shd w:val="clear" w:color="auto" w:fill="auto"/>
            <w:noWrap/>
            <w:vAlign w:val="bottom"/>
            <w:hideMark/>
          </w:tcPr>
          <w:p w14:paraId="0EA24BC8"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1C6945" w:rsidRPr="007256AA" w14:paraId="08E0A286" w14:textId="77777777" w:rsidTr="007272ED">
        <w:trPr>
          <w:trHeight w:val="288"/>
        </w:trPr>
        <w:tc>
          <w:tcPr>
            <w:tcW w:w="1208" w:type="dxa"/>
            <w:gridSpan w:val="2"/>
            <w:tcBorders>
              <w:top w:val="nil"/>
              <w:left w:val="single" w:sz="4" w:space="0" w:color="auto"/>
              <w:bottom w:val="nil"/>
              <w:right w:val="nil"/>
            </w:tcBorders>
            <w:shd w:val="clear" w:color="auto" w:fill="auto"/>
            <w:noWrap/>
            <w:vAlign w:val="bottom"/>
            <w:hideMark/>
          </w:tcPr>
          <w:p w14:paraId="14B51434"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Eurozone</w:t>
            </w:r>
          </w:p>
        </w:tc>
        <w:tc>
          <w:tcPr>
            <w:tcW w:w="1008" w:type="dxa"/>
            <w:gridSpan w:val="2"/>
            <w:tcBorders>
              <w:top w:val="nil"/>
              <w:left w:val="nil"/>
              <w:bottom w:val="nil"/>
              <w:right w:val="nil"/>
            </w:tcBorders>
            <w:shd w:val="clear" w:color="auto" w:fill="auto"/>
            <w:noWrap/>
            <w:vAlign w:val="bottom"/>
            <w:hideMark/>
          </w:tcPr>
          <w:p w14:paraId="01D4DCF9"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17.830</w:t>
            </w:r>
          </w:p>
        </w:tc>
        <w:tc>
          <w:tcPr>
            <w:tcW w:w="1316" w:type="dxa"/>
            <w:gridSpan w:val="2"/>
            <w:tcBorders>
              <w:top w:val="nil"/>
              <w:left w:val="nil"/>
              <w:bottom w:val="nil"/>
              <w:right w:val="nil"/>
            </w:tcBorders>
            <w:shd w:val="clear" w:color="auto" w:fill="auto"/>
            <w:noWrap/>
            <w:vAlign w:val="bottom"/>
            <w:hideMark/>
          </w:tcPr>
          <w:p w14:paraId="5E2DEAE9"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6.123</w:t>
            </w:r>
          </w:p>
        </w:tc>
        <w:tc>
          <w:tcPr>
            <w:tcW w:w="1177" w:type="dxa"/>
            <w:gridSpan w:val="2"/>
            <w:tcBorders>
              <w:top w:val="nil"/>
              <w:left w:val="nil"/>
              <w:bottom w:val="nil"/>
              <w:right w:val="nil"/>
            </w:tcBorders>
            <w:shd w:val="clear" w:color="auto" w:fill="auto"/>
            <w:noWrap/>
            <w:vAlign w:val="bottom"/>
            <w:hideMark/>
          </w:tcPr>
          <w:p w14:paraId="2299DE2A"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-18.027</w:t>
            </w:r>
          </w:p>
        </w:tc>
        <w:tc>
          <w:tcPr>
            <w:tcW w:w="1092" w:type="dxa"/>
            <w:gridSpan w:val="2"/>
            <w:tcBorders>
              <w:top w:val="nil"/>
              <w:left w:val="nil"/>
              <w:bottom w:val="nil"/>
              <w:right w:val="nil"/>
            </w:tcBorders>
            <w:shd w:val="clear" w:color="auto" w:fill="auto"/>
            <w:noWrap/>
            <w:vAlign w:val="bottom"/>
            <w:hideMark/>
          </w:tcPr>
          <w:p w14:paraId="03ECC2DC"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-15.059</w:t>
            </w:r>
          </w:p>
        </w:tc>
        <w:tc>
          <w:tcPr>
            <w:tcW w:w="1038" w:type="dxa"/>
            <w:gridSpan w:val="2"/>
            <w:tcBorders>
              <w:top w:val="nil"/>
              <w:left w:val="nil"/>
              <w:bottom w:val="nil"/>
              <w:right w:val="nil"/>
            </w:tcBorders>
            <w:shd w:val="clear" w:color="auto" w:fill="auto"/>
            <w:noWrap/>
            <w:vAlign w:val="bottom"/>
            <w:hideMark/>
          </w:tcPr>
          <w:p w14:paraId="2CFC1DFB"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9.321</w:t>
            </w:r>
          </w:p>
        </w:tc>
        <w:tc>
          <w:tcPr>
            <w:tcW w:w="968" w:type="dxa"/>
            <w:gridSpan w:val="2"/>
            <w:tcBorders>
              <w:top w:val="nil"/>
              <w:left w:val="nil"/>
              <w:bottom w:val="nil"/>
              <w:right w:val="nil"/>
            </w:tcBorders>
            <w:shd w:val="clear" w:color="auto" w:fill="auto"/>
            <w:noWrap/>
            <w:vAlign w:val="bottom"/>
            <w:hideMark/>
          </w:tcPr>
          <w:p w14:paraId="5F16F887"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-1.096</w:t>
            </w:r>
          </w:p>
        </w:tc>
        <w:tc>
          <w:tcPr>
            <w:tcW w:w="968" w:type="dxa"/>
            <w:tcBorders>
              <w:top w:val="nil"/>
              <w:left w:val="nil"/>
              <w:bottom w:val="nil"/>
              <w:right w:val="single" w:sz="4" w:space="0" w:color="auto"/>
            </w:tcBorders>
            <w:shd w:val="clear" w:color="auto" w:fill="auto"/>
            <w:noWrap/>
            <w:vAlign w:val="bottom"/>
            <w:hideMark/>
          </w:tcPr>
          <w:p w14:paraId="0F4944CA"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1C6945" w:rsidRPr="007256AA" w14:paraId="7B9B6170" w14:textId="77777777" w:rsidTr="007272ED">
        <w:trPr>
          <w:trHeight w:val="288"/>
        </w:trPr>
        <w:tc>
          <w:tcPr>
            <w:tcW w:w="1208" w:type="dxa"/>
            <w:gridSpan w:val="2"/>
            <w:tcBorders>
              <w:top w:val="nil"/>
              <w:left w:val="single" w:sz="4" w:space="0" w:color="auto"/>
              <w:right w:val="nil"/>
            </w:tcBorders>
            <w:shd w:val="clear" w:color="auto" w:fill="auto"/>
            <w:noWrap/>
            <w:vAlign w:val="bottom"/>
            <w:hideMark/>
          </w:tcPr>
          <w:p w14:paraId="2CC79771"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008" w:type="dxa"/>
            <w:gridSpan w:val="2"/>
            <w:tcBorders>
              <w:top w:val="nil"/>
              <w:left w:val="nil"/>
              <w:right w:val="nil"/>
            </w:tcBorders>
            <w:shd w:val="clear" w:color="auto" w:fill="auto"/>
            <w:noWrap/>
            <w:vAlign w:val="bottom"/>
            <w:hideMark/>
          </w:tcPr>
          <w:p w14:paraId="00099CB3"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0.007</w:t>
            </w:r>
          </w:p>
        </w:tc>
        <w:tc>
          <w:tcPr>
            <w:tcW w:w="1316" w:type="dxa"/>
            <w:gridSpan w:val="2"/>
            <w:tcBorders>
              <w:top w:val="nil"/>
              <w:left w:val="nil"/>
              <w:right w:val="nil"/>
            </w:tcBorders>
            <w:shd w:val="clear" w:color="auto" w:fill="auto"/>
            <w:noWrap/>
            <w:vAlign w:val="bottom"/>
            <w:hideMark/>
          </w:tcPr>
          <w:p w14:paraId="0BCD3FEB"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0.333</w:t>
            </w:r>
          </w:p>
        </w:tc>
        <w:tc>
          <w:tcPr>
            <w:tcW w:w="1177" w:type="dxa"/>
            <w:gridSpan w:val="2"/>
            <w:tcBorders>
              <w:top w:val="nil"/>
              <w:left w:val="nil"/>
              <w:right w:val="nil"/>
            </w:tcBorders>
            <w:shd w:val="clear" w:color="auto" w:fill="auto"/>
            <w:noWrap/>
            <w:vAlign w:val="bottom"/>
            <w:hideMark/>
          </w:tcPr>
          <w:p w14:paraId="5C19D963"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0.053</w:t>
            </w:r>
          </w:p>
        </w:tc>
        <w:tc>
          <w:tcPr>
            <w:tcW w:w="1092" w:type="dxa"/>
            <w:gridSpan w:val="2"/>
            <w:tcBorders>
              <w:top w:val="nil"/>
              <w:left w:val="nil"/>
              <w:right w:val="nil"/>
            </w:tcBorders>
            <w:shd w:val="clear" w:color="auto" w:fill="auto"/>
            <w:noWrap/>
            <w:vAlign w:val="bottom"/>
            <w:hideMark/>
          </w:tcPr>
          <w:p w14:paraId="66B5893E"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0.085</w:t>
            </w:r>
          </w:p>
        </w:tc>
        <w:tc>
          <w:tcPr>
            <w:tcW w:w="1038" w:type="dxa"/>
            <w:gridSpan w:val="2"/>
            <w:tcBorders>
              <w:top w:val="nil"/>
              <w:left w:val="nil"/>
              <w:right w:val="nil"/>
            </w:tcBorders>
            <w:shd w:val="clear" w:color="auto" w:fill="auto"/>
            <w:noWrap/>
            <w:vAlign w:val="bottom"/>
            <w:hideMark/>
          </w:tcPr>
          <w:p w14:paraId="5D5EF4D3"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0.077</w:t>
            </w:r>
          </w:p>
        </w:tc>
        <w:tc>
          <w:tcPr>
            <w:tcW w:w="968" w:type="dxa"/>
            <w:gridSpan w:val="2"/>
            <w:tcBorders>
              <w:top w:val="nil"/>
              <w:left w:val="nil"/>
              <w:right w:val="nil"/>
            </w:tcBorders>
            <w:shd w:val="clear" w:color="auto" w:fill="auto"/>
            <w:noWrap/>
            <w:vAlign w:val="bottom"/>
            <w:hideMark/>
          </w:tcPr>
          <w:p w14:paraId="1EE332AC" w14:textId="77777777" w:rsidR="001C6945" w:rsidRPr="007256AA" w:rsidRDefault="001C6945" w:rsidP="007272ED">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0.819</w:t>
            </w:r>
          </w:p>
        </w:tc>
        <w:tc>
          <w:tcPr>
            <w:tcW w:w="968" w:type="dxa"/>
            <w:tcBorders>
              <w:top w:val="nil"/>
              <w:left w:val="nil"/>
              <w:right w:val="single" w:sz="4" w:space="0" w:color="auto"/>
            </w:tcBorders>
            <w:shd w:val="clear" w:color="auto" w:fill="auto"/>
            <w:noWrap/>
            <w:vAlign w:val="bottom"/>
            <w:hideMark/>
          </w:tcPr>
          <w:p w14:paraId="0D1BB92B" w14:textId="77777777" w:rsidR="001C6945" w:rsidRPr="007256AA" w:rsidRDefault="001C6945" w:rsidP="007272ED">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1C6945" w:rsidRPr="007256AA" w14:paraId="799028ED" w14:textId="77777777" w:rsidTr="007272ED">
        <w:trPr>
          <w:trHeight w:val="288"/>
        </w:trPr>
        <w:tc>
          <w:tcPr>
            <w:tcW w:w="1208" w:type="dxa"/>
            <w:gridSpan w:val="2"/>
            <w:tcBorders>
              <w:top w:val="nil"/>
              <w:left w:val="single" w:sz="4" w:space="0" w:color="auto"/>
              <w:right w:val="nil"/>
            </w:tcBorders>
            <w:shd w:val="clear" w:color="auto" w:fill="auto"/>
            <w:noWrap/>
            <w:vAlign w:val="bottom"/>
            <w:hideMark/>
          </w:tcPr>
          <w:p w14:paraId="12F5F615" w14:textId="77777777" w:rsidR="001C6945" w:rsidRPr="007256AA"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Adj. R2</w:t>
            </w:r>
          </w:p>
        </w:tc>
        <w:tc>
          <w:tcPr>
            <w:tcW w:w="1008" w:type="dxa"/>
            <w:gridSpan w:val="2"/>
            <w:tcBorders>
              <w:top w:val="nil"/>
              <w:left w:val="nil"/>
              <w:right w:val="nil"/>
            </w:tcBorders>
            <w:shd w:val="clear" w:color="auto" w:fill="auto"/>
            <w:noWrap/>
            <w:vAlign w:val="bottom"/>
            <w:hideMark/>
          </w:tcPr>
          <w:p w14:paraId="00EE48CB"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0.618</w:t>
            </w:r>
          </w:p>
        </w:tc>
        <w:tc>
          <w:tcPr>
            <w:tcW w:w="1316" w:type="dxa"/>
            <w:gridSpan w:val="2"/>
            <w:tcBorders>
              <w:top w:val="nil"/>
              <w:left w:val="nil"/>
              <w:right w:val="nil"/>
            </w:tcBorders>
            <w:shd w:val="clear" w:color="auto" w:fill="auto"/>
            <w:noWrap/>
            <w:vAlign w:val="bottom"/>
            <w:hideMark/>
          </w:tcPr>
          <w:p w14:paraId="506B39F5"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0.935</w:t>
            </w:r>
          </w:p>
        </w:tc>
        <w:tc>
          <w:tcPr>
            <w:tcW w:w="1177" w:type="dxa"/>
            <w:gridSpan w:val="2"/>
            <w:tcBorders>
              <w:top w:val="nil"/>
              <w:left w:val="nil"/>
              <w:right w:val="nil"/>
            </w:tcBorders>
            <w:shd w:val="clear" w:color="auto" w:fill="auto"/>
            <w:noWrap/>
            <w:vAlign w:val="bottom"/>
            <w:hideMark/>
          </w:tcPr>
          <w:p w14:paraId="3C9B5E45"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0.827</w:t>
            </w:r>
          </w:p>
        </w:tc>
        <w:tc>
          <w:tcPr>
            <w:tcW w:w="1092" w:type="dxa"/>
            <w:gridSpan w:val="2"/>
            <w:tcBorders>
              <w:top w:val="nil"/>
              <w:left w:val="nil"/>
              <w:right w:val="nil"/>
            </w:tcBorders>
            <w:shd w:val="clear" w:color="auto" w:fill="auto"/>
            <w:noWrap/>
            <w:vAlign w:val="bottom"/>
            <w:hideMark/>
          </w:tcPr>
          <w:p w14:paraId="2F7C627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0.854</w:t>
            </w:r>
          </w:p>
        </w:tc>
        <w:tc>
          <w:tcPr>
            <w:tcW w:w="1038" w:type="dxa"/>
            <w:gridSpan w:val="2"/>
            <w:tcBorders>
              <w:top w:val="nil"/>
              <w:left w:val="nil"/>
              <w:right w:val="nil"/>
            </w:tcBorders>
            <w:shd w:val="clear" w:color="auto" w:fill="auto"/>
            <w:noWrap/>
            <w:vAlign w:val="bottom"/>
            <w:hideMark/>
          </w:tcPr>
          <w:p w14:paraId="51D98009"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0.950</w:t>
            </w:r>
          </w:p>
        </w:tc>
        <w:tc>
          <w:tcPr>
            <w:tcW w:w="968" w:type="dxa"/>
            <w:gridSpan w:val="2"/>
            <w:tcBorders>
              <w:top w:val="nil"/>
              <w:left w:val="nil"/>
              <w:right w:val="nil"/>
            </w:tcBorders>
            <w:shd w:val="clear" w:color="auto" w:fill="auto"/>
            <w:noWrap/>
            <w:vAlign w:val="bottom"/>
            <w:hideMark/>
          </w:tcPr>
          <w:p w14:paraId="2011C432" w14:textId="77777777" w:rsidR="001C6945" w:rsidRPr="007256AA" w:rsidRDefault="001C6945" w:rsidP="007272ED">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0.62</w:t>
            </w:r>
          </w:p>
        </w:tc>
        <w:tc>
          <w:tcPr>
            <w:tcW w:w="968" w:type="dxa"/>
            <w:tcBorders>
              <w:top w:val="nil"/>
              <w:left w:val="nil"/>
              <w:right w:val="single" w:sz="4" w:space="0" w:color="auto"/>
            </w:tcBorders>
            <w:shd w:val="clear" w:color="auto" w:fill="auto"/>
            <w:noWrap/>
            <w:vAlign w:val="bottom"/>
            <w:hideMark/>
          </w:tcPr>
          <w:p w14:paraId="64A06D5B" w14:textId="77777777" w:rsidR="001C6945" w:rsidRPr="007256AA" w:rsidRDefault="001C6945" w:rsidP="007272ED">
            <w:pPr>
              <w:spacing w:after="0" w:line="240" w:lineRule="auto"/>
              <w:rPr>
                <w:rFonts w:ascii="Calibri" w:eastAsia="Times New Roman" w:hAnsi="Calibri" w:cs="Calibri"/>
                <w:color w:val="000000"/>
                <w:lang w:eastAsia="en-IE"/>
              </w:rPr>
            </w:pPr>
          </w:p>
        </w:tc>
      </w:tr>
      <w:tr w:rsidR="001C6945" w:rsidRPr="008F5DD0" w14:paraId="63C4B2F0"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center"/>
          </w:tcPr>
          <w:p w14:paraId="2A7F0961" w14:textId="77777777" w:rsidR="001C6945" w:rsidRPr="00576A2F" w:rsidRDefault="001C6945" w:rsidP="007272ED">
            <w:pPr>
              <w:spacing w:after="0" w:line="240" w:lineRule="auto"/>
              <w:rPr>
                <w:rFonts w:ascii="Times New Roman" w:eastAsia="Times New Roman" w:hAnsi="Times New Roman" w:cs="Times New Roman"/>
                <w:sz w:val="20"/>
                <w:szCs w:val="20"/>
                <w:lang w:eastAsia="en-IE"/>
              </w:rPr>
            </w:pPr>
          </w:p>
        </w:tc>
        <w:tc>
          <w:tcPr>
            <w:tcW w:w="1036" w:type="dxa"/>
            <w:gridSpan w:val="2"/>
            <w:shd w:val="clear" w:color="auto" w:fill="auto"/>
            <w:noWrap/>
          </w:tcPr>
          <w:p w14:paraId="66979CB0" w14:textId="77777777" w:rsidR="001C6945" w:rsidRPr="00672A1A" w:rsidRDefault="001C6945" w:rsidP="007272ED">
            <w:pPr>
              <w:spacing w:after="0" w:line="240" w:lineRule="auto"/>
            </w:pPr>
          </w:p>
        </w:tc>
        <w:tc>
          <w:tcPr>
            <w:tcW w:w="4623" w:type="dxa"/>
            <w:gridSpan w:val="8"/>
            <w:shd w:val="clear" w:color="auto" w:fill="auto"/>
            <w:noWrap/>
          </w:tcPr>
          <w:p w14:paraId="6162EC98" w14:textId="77777777" w:rsidR="001C6945" w:rsidRPr="00672A1A" w:rsidRDefault="001C6945" w:rsidP="007272ED">
            <w:pPr>
              <w:spacing w:after="0" w:line="240" w:lineRule="auto"/>
              <w:jc w:val="center"/>
            </w:pPr>
          </w:p>
        </w:tc>
        <w:tc>
          <w:tcPr>
            <w:tcW w:w="1036" w:type="dxa"/>
            <w:gridSpan w:val="2"/>
            <w:shd w:val="clear" w:color="auto" w:fill="auto"/>
            <w:noWrap/>
          </w:tcPr>
          <w:p w14:paraId="2B1B6933" w14:textId="77777777" w:rsidR="001C6945" w:rsidRPr="00672A1A" w:rsidRDefault="001C6945" w:rsidP="007272ED">
            <w:pPr>
              <w:spacing w:after="0" w:line="240" w:lineRule="auto"/>
            </w:pPr>
          </w:p>
        </w:tc>
        <w:tc>
          <w:tcPr>
            <w:tcW w:w="975" w:type="dxa"/>
            <w:gridSpan w:val="2"/>
            <w:shd w:val="clear" w:color="auto" w:fill="auto"/>
            <w:noWrap/>
          </w:tcPr>
          <w:p w14:paraId="559F852B" w14:textId="77777777" w:rsidR="001C6945" w:rsidRPr="00672A1A" w:rsidRDefault="001C6945" w:rsidP="007272ED">
            <w:pPr>
              <w:spacing w:after="0" w:line="240" w:lineRule="auto"/>
            </w:pPr>
          </w:p>
        </w:tc>
      </w:tr>
      <w:tr w:rsidR="001C6945" w:rsidRPr="008F5DD0" w14:paraId="36C55E1B"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0C1185BF" w14:textId="77777777" w:rsidR="001C6945" w:rsidRPr="00576A2F" w:rsidRDefault="001C6945" w:rsidP="007272ED">
            <w:pPr>
              <w:spacing w:after="0" w:line="240" w:lineRule="auto"/>
              <w:rPr>
                <w:rFonts w:ascii="Times New Roman" w:eastAsia="Times New Roman" w:hAnsi="Times New Roman" w:cs="Times New Roman"/>
                <w:sz w:val="20"/>
                <w:szCs w:val="20"/>
                <w:lang w:eastAsia="en-IE"/>
              </w:rPr>
            </w:pPr>
            <w:r w:rsidRPr="007256AA">
              <w:rPr>
                <w:rFonts w:ascii="Calibri" w:eastAsia="Times New Roman" w:hAnsi="Calibri" w:cs="Calibri"/>
                <w:color w:val="000000"/>
                <w:lang w:eastAsia="en-IE"/>
              </w:rPr>
              <w:t> </w:t>
            </w:r>
          </w:p>
        </w:tc>
        <w:tc>
          <w:tcPr>
            <w:tcW w:w="1036" w:type="dxa"/>
            <w:gridSpan w:val="2"/>
            <w:shd w:val="clear" w:color="auto" w:fill="auto"/>
            <w:noWrap/>
            <w:vAlign w:val="bottom"/>
            <w:hideMark/>
          </w:tcPr>
          <w:p w14:paraId="17449AB9" w14:textId="77777777" w:rsidR="001C6945" w:rsidRPr="00576A2F"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All Assets</w:t>
            </w:r>
          </w:p>
        </w:tc>
        <w:tc>
          <w:tcPr>
            <w:tcW w:w="4623" w:type="dxa"/>
            <w:gridSpan w:val="8"/>
            <w:shd w:val="clear" w:color="auto" w:fill="auto"/>
            <w:noWrap/>
            <w:vAlign w:val="bottom"/>
            <w:hideMark/>
          </w:tcPr>
          <w:p w14:paraId="3DF076BC" w14:textId="77777777" w:rsidR="001C6945" w:rsidRPr="00576A2F" w:rsidRDefault="001C6945" w:rsidP="007272ED">
            <w:pPr>
              <w:spacing w:after="0" w:line="240" w:lineRule="auto"/>
              <w:jc w:val="center"/>
              <w:rPr>
                <w:rFonts w:ascii="Calibri" w:eastAsia="Times New Roman" w:hAnsi="Calibri" w:cs="Calibri"/>
                <w:color w:val="000000"/>
                <w:lang w:eastAsia="en-IE"/>
              </w:rPr>
            </w:pPr>
            <w:r w:rsidRPr="007256AA">
              <w:rPr>
                <w:rFonts w:ascii="Calibri" w:eastAsia="Times New Roman" w:hAnsi="Calibri" w:cs="Calibri"/>
                <w:color w:val="000000"/>
                <w:lang w:eastAsia="en-IE"/>
              </w:rPr>
              <w:t>Equity</w:t>
            </w:r>
          </w:p>
        </w:tc>
        <w:tc>
          <w:tcPr>
            <w:tcW w:w="1036" w:type="dxa"/>
            <w:gridSpan w:val="2"/>
            <w:shd w:val="clear" w:color="auto" w:fill="auto"/>
            <w:noWrap/>
            <w:vAlign w:val="bottom"/>
            <w:hideMark/>
          </w:tcPr>
          <w:p w14:paraId="4D07E7BB" w14:textId="77777777" w:rsidR="001C6945" w:rsidRPr="00576A2F"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Bond</w:t>
            </w:r>
          </w:p>
        </w:tc>
        <w:tc>
          <w:tcPr>
            <w:tcW w:w="975" w:type="dxa"/>
            <w:gridSpan w:val="2"/>
            <w:shd w:val="clear" w:color="auto" w:fill="auto"/>
            <w:noWrap/>
            <w:vAlign w:val="bottom"/>
            <w:hideMark/>
          </w:tcPr>
          <w:p w14:paraId="4351DE2E" w14:textId="77777777" w:rsidR="001C6945" w:rsidRPr="00576A2F"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REIT</w:t>
            </w:r>
          </w:p>
        </w:tc>
      </w:tr>
      <w:tr w:rsidR="001C6945" w:rsidRPr="008F5DD0" w14:paraId="3BCD4C02"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4CB81204" w14:textId="77777777" w:rsidR="001C6945" w:rsidRPr="00576A2F"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c>
          <w:tcPr>
            <w:tcW w:w="1036" w:type="dxa"/>
            <w:gridSpan w:val="2"/>
            <w:shd w:val="clear" w:color="auto" w:fill="auto"/>
            <w:noWrap/>
            <w:vAlign w:val="bottom"/>
            <w:hideMark/>
          </w:tcPr>
          <w:p w14:paraId="4C9805FC" w14:textId="77777777" w:rsidR="001C6945" w:rsidRPr="00576A2F" w:rsidRDefault="001C6945" w:rsidP="007272ED">
            <w:pPr>
              <w:spacing w:after="0" w:line="240" w:lineRule="auto"/>
              <w:rPr>
                <w:rFonts w:ascii="Calibri" w:eastAsia="Times New Roman" w:hAnsi="Calibri" w:cs="Calibri"/>
                <w:color w:val="000000"/>
                <w:lang w:eastAsia="en-IE"/>
              </w:rPr>
            </w:pPr>
          </w:p>
        </w:tc>
        <w:tc>
          <w:tcPr>
            <w:tcW w:w="1316" w:type="dxa"/>
            <w:gridSpan w:val="2"/>
            <w:shd w:val="clear" w:color="auto" w:fill="auto"/>
            <w:noWrap/>
            <w:vAlign w:val="bottom"/>
            <w:hideMark/>
          </w:tcPr>
          <w:p w14:paraId="7F2A68EA" w14:textId="77777777" w:rsidR="001C6945" w:rsidRPr="00576A2F" w:rsidRDefault="001C6945" w:rsidP="007272ED">
            <w:pPr>
              <w:spacing w:after="0" w:line="240" w:lineRule="auto"/>
              <w:jc w:val="both"/>
              <w:rPr>
                <w:rFonts w:ascii="Calibri" w:eastAsia="Times New Roman" w:hAnsi="Calibri" w:cs="Calibri"/>
                <w:color w:val="000000"/>
                <w:lang w:eastAsia="en-IE"/>
              </w:rPr>
            </w:pPr>
            <w:r>
              <w:rPr>
                <w:rFonts w:ascii="Calibri" w:eastAsia="Times New Roman" w:hAnsi="Calibri" w:cs="Calibri"/>
                <w:color w:val="000000"/>
                <w:lang w:eastAsia="en-IE"/>
              </w:rPr>
              <w:t>All</w:t>
            </w:r>
          </w:p>
        </w:tc>
        <w:tc>
          <w:tcPr>
            <w:tcW w:w="1177" w:type="dxa"/>
            <w:gridSpan w:val="2"/>
            <w:shd w:val="clear" w:color="auto" w:fill="auto"/>
            <w:noWrap/>
            <w:vAlign w:val="bottom"/>
            <w:hideMark/>
          </w:tcPr>
          <w:p w14:paraId="1907C715" w14:textId="77777777" w:rsidR="001C6945" w:rsidRPr="00576A2F" w:rsidRDefault="001C6945" w:rsidP="007272ED">
            <w:pPr>
              <w:spacing w:after="0" w:line="240" w:lineRule="auto"/>
              <w:jc w:val="both"/>
              <w:rPr>
                <w:rFonts w:ascii="Calibri" w:eastAsia="Times New Roman" w:hAnsi="Calibri" w:cs="Calibri"/>
                <w:color w:val="000000"/>
                <w:lang w:eastAsia="en-IE"/>
              </w:rPr>
            </w:pPr>
            <w:r w:rsidRPr="007256AA">
              <w:rPr>
                <w:rFonts w:ascii="Calibri" w:eastAsia="Times New Roman" w:hAnsi="Calibri" w:cs="Calibri"/>
                <w:color w:val="000000"/>
                <w:lang w:eastAsia="en-IE"/>
              </w:rPr>
              <w:t>Developed</w:t>
            </w:r>
          </w:p>
        </w:tc>
        <w:tc>
          <w:tcPr>
            <w:tcW w:w="1092" w:type="dxa"/>
            <w:gridSpan w:val="2"/>
            <w:shd w:val="clear" w:color="auto" w:fill="auto"/>
            <w:noWrap/>
            <w:vAlign w:val="bottom"/>
            <w:hideMark/>
          </w:tcPr>
          <w:p w14:paraId="5A6D1DA9" w14:textId="77777777" w:rsidR="001C6945" w:rsidRPr="00576A2F" w:rsidRDefault="001C6945" w:rsidP="007272ED">
            <w:pPr>
              <w:spacing w:after="0" w:line="240" w:lineRule="auto"/>
              <w:jc w:val="both"/>
              <w:rPr>
                <w:rFonts w:ascii="Calibri" w:eastAsia="Times New Roman" w:hAnsi="Calibri" w:cs="Calibri"/>
                <w:color w:val="000000"/>
                <w:lang w:eastAsia="en-IE"/>
              </w:rPr>
            </w:pPr>
            <w:r w:rsidRPr="007256AA">
              <w:rPr>
                <w:rFonts w:ascii="Calibri" w:eastAsia="Times New Roman" w:hAnsi="Calibri" w:cs="Calibri"/>
                <w:color w:val="000000"/>
                <w:lang w:eastAsia="en-IE"/>
              </w:rPr>
              <w:t>Emerging</w:t>
            </w:r>
          </w:p>
        </w:tc>
        <w:tc>
          <w:tcPr>
            <w:tcW w:w="1038" w:type="dxa"/>
            <w:gridSpan w:val="2"/>
            <w:shd w:val="clear" w:color="auto" w:fill="auto"/>
            <w:noWrap/>
            <w:vAlign w:val="bottom"/>
            <w:hideMark/>
          </w:tcPr>
          <w:p w14:paraId="2717BC9B" w14:textId="77777777" w:rsidR="001C6945" w:rsidRPr="00576A2F" w:rsidRDefault="001C6945" w:rsidP="007272ED">
            <w:pPr>
              <w:spacing w:after="0" w:line="240" w:lineRule="auto"/>
              <w:jc w:val="both"/>
              <w:rPr>
                <w:rFonts w:ascii="Calibri" w:eastAsia="Times New Roman" w:hAnsi="Calibri" w:cs="Calibri"/>
                <w:color w:val="000000"/>
                <w:lang w:eastAsia="en-IE"/>
              </w:rPr>
            </w:pPr>
            <w:r w:rsidRPr="007256AA">
              <w:rPr>
                <w:rFonts w:ascii="Calibri" w:eastAsia="Times New Roman" w:hAnsi="Calibri" w:cs="Calibri"/>
                <w:color w:val="000000"/>
                <w:lang w:eastAsia="en-IE"/>
              </w:rPr>
              <w:t>Frontier</w:t>
            </w:r>
          </w:p>
        </w:tc>
        <w:tc>
          <w:tcPr>
            <w:tcW w:w="1036" w:type="dxa"/>
            <w:gridSpan w:val="2"/>
            <w:shd w:val="clear" w:color="auto" w:fill="auto"/>
            <w:noWrap/>
            <w:vAlign w:val="bottom"/>
            <w:hideMark/>
          </w:tcPr>
          <w:p w14:paraId="54AB427A" w14:textId="77777777" w:rsidR="001C6945" w:rsidRPr="00576A2F" w:rsidRDefault="001C6945" w:rsidP="007272ED">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All</w:t>
            </w:r>
          </w:p>
        </w:tc>
        <w:tc>
          <w:tcPr>
            <w:tcW w:w="975" w:type="dxa"/>
            <w:gridSpan w:val="2"/>
            <w:shd w:val="clear" w:color="auto" w:fill="auto"/>
            <w:noWrap/>
            <w:vAlign w:val="bottom"/>
            <w:hideMark/>
          </w:tcPr>
          <w:p w14:paraId="492216B0" w14:textId="77777777" w:rsidR="001C6945" w:rsidRPr="00576A2F" w:rsidRDefault="001C6945" w:rsidP="007272ED">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r>
              <w:rPr>
                <w:rFonts w:ascii="Calibri" w:eastAsia="Times New Roman" w:hAnsi="Calibri" w:cs="Calibri"/>
                <w:color w:val="000000"/>
                <w:lang w:eastAsia="en-IE"/>
              </w:rPr>
              <w:t>All</w:t>
            </w:r>
          </w:p>
        </w:tc>
      </w:tr>
      <w:tr w:rsidR="001C6945" w:rsidRPr="008F5DD0" w14:paraId="160F6136"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4DE9BC0C" w14:textId="77777777" w:rsidR="001C6945" w:rsidRPr="00576A2F" w:rsidRDefault="001C6945" w:rsidP="007272ED">
            <w:pPr>
              <w:spacing w:after="0" w:line="240" w:lineRule="auto"/>
              <w:rPr>
                <w:rFonts w:ascii="Calibri" w:eastAsia="Times New Roman" w:hAnsi="Calibri" w:cs="Calibri"/>
                <w:color w:val="000000"/>
                <w:lang w:eastAsia="en-IE"/>
              </w:rPr>
            </w:pPr>
            <w:r w:rsidRPr="00576A2F">
              <w:rPr>
                <w:rFonts w:ascii="Calibri" w:eastAsia="Times New Roman" w:hAnsi="Calibri" w:cs="Calibri"/>
                <w:color w:val="000000"/>
                <w:lang w:eastAsia="en-IE"/>
              </w:rPr>
              <w:t>Intercept</w:t>
            </w:r>
          </w:p>
        </w:tc>
        <w:tc>
          <w:tcPr>
            <w:tcW w:w="1036" w:type="dxa"/>
            <w:gridSpan w:val="2"/>
            <w:shd w:val="clear" w:color="auto" w:fill="auto"/>
            <w:noWrap/>
            <w:vAlign w:val="bottom"/>
            <w:hideMark/>
          </w:tcPr>
          <w:p w14:paraId="1ADFF19A"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87.753</w:t>
            </w:r>
          </w:p>
        </w:tc>
        <w:tc>
          <w:tcPr>
            <w:tcW w:w="1316" w:type="dxa"/>
            <w:gridSpan w:val="2"/>
            <w:shd w:val="clear" w:color="auto" w:fill="auto"/>
            <w:noWrap/>
            <w:vAlign w:val="bottom"/>
            <w:hideMark/>
          </w:tcPr>
          <w:p w14:paraId="1C44613C"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92.524</w:t>
            </w:r>
          </w:p>
        </w:tc>
        <w:tc>
          <w:tcPr>
            <w:tcW w:w="1177" w:type="dxa"/>
            <w:gridSpan w:val="2"/>
            <w:shd w:val="clear" w:color="auto" w:fill="auto"/>
            <w:noWrap/>
            <w:vAlign w:val="bottom"/>
            <w:hideMark/>
          </w:tcPr>
          <w:p w14:paraId="06530ECC"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87.486</w:t>
            </w:r>
          </w:p>
        </w:tc>
        <w:tc>
          <w:tcPr>
            <w:tcW w:w="1092" w:type="dxa"/>
            <w:gridSpan w:val="2"/>
            <w:shd w:val="clear" w:color="auto" w:fill="auto"/>
            <w:noWrap/>
            <w:vAlign w:val="bottom"/>
            <w:hideMark/>
          </w:tcPr>
          <w:p w14:paraId="3B6B4CFA"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96.907</w:t>
            </w:r>
          </w:p>
        </w:tc>
        <w:tc>
          <w:tcPr>
            <w:tcW w:w="1038" w:type="dxa"/>
            <w:gridSpan w:val="2"/>
            <w:shd w:val="clear" w:color="auto" w:fill="auto"/>
            <w:noWrap/>
            <w:vAlign w:val="bottom"/>
            <w:hideMark/>
          </w:tcPr>
          <w:p w14:paraId="1E74D463"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94.809</w:t>
            </w:r>
          </w:p>
        </w:tc>
        <w:tc>
          <w:tcPr>
            <w:tcW w:w="1036" w:type="dxa"/>
            <w:gridSpan w:val="2"/>
            <w:shd w:val="clear" w:color="auto" w:fill="auto"/>
            <w:noWrap/>
            <w:vAlign w:val="bottom"/>
            <w:hideMark/>
          </w:tcPr>
          <w:p w14:paraId="03048AF9"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70.474</w:t>
            </w:r>
          </w:p>
        </w:tc>
        <w:tc>
          <w:tcPr>
            <w:tcW w:w="975" w:type="dxa"/>
            <w:gridSpan w:val="2"/>
            <w:shd w:val="clear" w:color="auto" w:fill="auto"/>
            <w:noWrap/>
            <w:vAlign w:val="bottom"/>
            <w:hideMark/>
          </w:tcPr>
          <w:p w14:paraId="60541DFD"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90.212</w:t>
            </w:r>
          </w:p>
        </w:tc>
      </w:tr>
      <w:tr w:rsidR="001C6945" w:rsidRPr="008F5DD0" w14:paraId="1A357026"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6711071E" w14:textId="77777777" w:rsidR="001C6945" w:rsidRPr="00576A2F" w:rsidRDefault="001C6945" w:rsidP="007272ED">
            <w:pPr>
              <w:spacing w:after="0" w:line="240" w:lineRule="auto"/>
              <w:jc w:val="right"/>
              <w:rPr>
                <w:rFonts w:ascii="Calibri" w:eastAsia="Times New Roman" w:hAnsi="Calibri" w:cs="Calibri"/>
                <w:color w:val="000000"/>
                <w:lang w:eastAsia="en-IE"/>
              </w:rPr>
            </w:pPr>
          </w:p>
        </w:tc>
        <w:tc>
          <w:tcPr>
            <w:tcW w:w="1036" w:type="dxa"/>
            <w:gridSpan w:val="2"/>
            <w:shd w:val="clear" w:color="auto" w:fill="auto"/>
            <w:noWrap/>
            <w:vAlign w:val="bottom"/>
            <w:hideMark/>
          </w:tcPr>
          <w:p w14:paraId="134AF413"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0.000</w:t>
            </w:r>
          </w:p>
        </w:tc>
        <w:tc>
          <w:tcPr>
            <w:tcW w:w="1316" w:type="dxa"/>
            <w:gridSpan w:val="2"/>
            <w:shd w:val="clear" w:color="auto" w:fill="auto"/>
            <w:noWrap/>
            <w:vAlign w:val="bottom"/>
            <w:hideMark/>
          </w:tcPr>
          <w:p w14:paraId="3D823F24"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0.000</w:t>
            </w:r>
          </w:p>
        </w:tc>
        <w:tc>
          <w:tcPr>
            <w:tcW w:w="1177" w:type="dxa"/>
            <w:gridSpan w:val="2"/>
            <w:shd w:val="clear" w:color="auto" w:fill="auto"/>
            <w:noWrap/>
            <w:vAlign w:val="bottom"/>
            <w:hideMark/>
          </w:tcPr>
          <w:p w14:paraId="48BD116F"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0.000</w:t>
            </w:r>
          </w:p>
        </w:tc>
        <w:tc>
          <w:tcPr>
            <w:tcW w:w="1092" w:type="dxa"/>
            <w:gridSpan w:val="2"/>
            <w:shd w:val="clear" w:color="auto" w:fill="auto"/>
            <w:noWrap/>
            <w:vAlign w:val="bottom"/>
            <w:hideMark/>
          </w:tcPr>
          <w:p w14:paraId="1852A27F"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0.000</w:t>
            </w:r>
          </w:p>
        </w:tc>
        <w:tc>
          <w:tcPr>
            <w:tcW w:w="1038" w:type="dxa"/>
            <w:gridSpan w:val="2"/>
            <w:shd w:val="clear" w:color="auto" w:fill="auto"/>
            <w:noWrap/>
            <w:vAlign w:val="bottom"/>
            <w:hideMark/>
          </w:tcPr>
          <w:p w14:paraId="3530AD71"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0.000</w:t>
            </w:r>
          </w:p>
        </w:tc>
        <w:tc>
          <w:tcPr>
            <w:tcW w:w="1036" w:type="dxa"/>
            <w:gridSpan w:val="2"/>
            <w:shd w:val="clear" w:color="auto" w:fill="auto"/>
            <w:noWrap/>
            <w:vAlign w:val="bottom"/>
            <w:hideMark/>
          </w:tcPr>
          <w:p w14:paraId="277A9095"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0.000</w:t>
            </w:r>
          </w:p>
        </w:tc>
        <w:tc>
          <w:tcPr>
            <w:tcW w:w="975" w:type="dxa"/>
            <w:gridSpan w:val="2"/>
            <w:shd w:val="clear" w:color="auto" w:fill="auto"/>
            <w:noWrap/>
            <w:vAlign w:val="bottom"/>
            <w:hideMark/>
          </w:tcPr>
          <w:p w14:paraId="24097760"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0.000</w:t>
            </w:r>
          </w:p>
        </w:tc>
      </w:tr>
      <w:tr w:rsidR="001C6945" w:rsidRPr="008F5DD0" w14:paraId="40B3C504"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0F1C2638" w14:textId="77777777" w:rsidR="001C6945" w:rsidRPr="00576A2F" w:rsidRDefault="001C6945" w:rsidP="007272ED">
            <w:pPr>
              <w:spacing w:after="0" w:line="240" w:lineRule="auto"/>
              <w:rPr>
                <w:rFonts w:ascii="Calibri" w:eastAsia="Times New Roman" w:hAnsi="Calibri" w:cs="Calibri"/>
                <w:color w:val="000000"/>
                <w:lang w:eastAsia="en-IE"/>
              </w:rPr>
            </w:pPr>
            <w:r w:rsidRPr="00576A2F">
              <w:rPr>
                <w:rFonts w:ascii="Calibri" w:eastAsia="Times New Roman" w:hAnsi="Calibri" w:cs="Calibri"/>
                <w:color w:val="000000"/>
                <w:lang w:eastAsia="en-IE"/>
              </w:rPr>
              <w:t>TED</w:t>
            </w:r>
          </w:p>
        </w:tc>
        <w:tc>
          <w:tcPr>
            <w:tcW w:w="1036" w:type="dxa"/>
            <w:gridSpan w:val="2"/>
            <w:shd w:val="clear" w:color="auto" w:fill="auto"/>
            <w:noWrap/>
            <w:vAlign w:val="bottom"/>
            <w:hideMark/>
          </w:tcPr>
          <w:p w14:paraId="45F2DF9A"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-14.246</w:t>
            </w:r>
          </w:p>
        </w:tc>
        <w:tc>
          <w:tcPr>
            <w:tcW w:w="1316" w:type="dxa"/>
            <w:gridSpan w:val="2"/>
            <w:shd w:val="clear" w:color="auto" w:fill="auto"/>
            <w:noWrap/>
            <w:vAlign w:val="bottom"/>
            <w:hideMark/>
          </w:tcPr>
          <w:p w14:paraId="1178E5B3"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-11.893</w:t>
            </w:r>
          </w:p>
        </w:tc>
        <w:tc>
          <w:tcPr>
            <w:tcW w:w="1177" w:type="dxa"/>
            <w:gridSpan w:val="2"/>
            <w:shd w:val="clear" w:color="auto" w:fill="auto"/>
            <w:noWrap/>
            <w:vAlign w:val="bottom"/>
            <w:hideMark/>
          </w:tcPr>
          <w:p w14:paraId="6610B3D4"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-12.164</w:t>
            </w:r>
          </w:p>
        </w:tc>
        <w:tc>
          <w:tcPr>
            <w:tcW w:w="1092" w:type="dxa"/>
            <w:gridSpan w:val="2"/>
            <w:shd w:val="clear" w:color="auto" w:fill="auto"/>
            <w:noWrap/>
            <w:vAlign w:val="bottom"/>
            <w:hideMark/>
          </w:tcPr>
          <w:p w14:paraId="29CFC7E0"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-17.981</w:t>
            </w:r>
          </w:p>
        </w:tc>
        <w:tc>
          <w:tcPr>
            <w:tcW w:w="1038" w:type="dxa"/>
            <w:gridSpan w:val="2"/>
            <w:shd w:val="clear" w:color="auto" w:fill="auto"/>
            <w:noWrap/>
            <w:vAlign w:val="bottom"/>
            <w:hideMark/>
          </w:tcPr>
          <w:p w14:paraId="23339985"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-11.904</w:t>
            </w:r>
          </w:p>
        </w:tc>
        <w:tc>
          <w:tcPr>
            <w:tcW w:w="1036" w:type="dxa"/>
            <w:gridSpan w:val="2"/>
            <w:shd w:val="clear" w:color="auto" w:fill="auto"/>
            <w:noWrap/>
            <w:vAlign w:val="bottom"/>
            <w:hideMark/>
          </w:tcPr>
          <w:p w14:paraId="0D953F30"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-18.030</w:t>
            </w:r>
          </w:p>
        </w:tc>
        <w:tc>
          <w:tcPr>
            <w:tcW w:w="975" w:type="dxa"/>
            <w:gridSpan w:val="2"/>
            <w:shd w:val="clear" w:color="auto" w:fill="auto"/>
            <w:noWrap/>
            <w:vAlign w:val="bottom"/>
            <w:hideMark/>
          </w:tcPr>
          <w:p w14:paraId="31A5CCEF"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-20.687</w:t>
            </w:r>
          </w:p>
        </w:tc>
      </w:tr>
      <w:tr w:rsidR="001C6945" w:rsidRPr="008F5DD0" w14:paraId="69331067"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4B99FC46" w14:textId="77777777" w:rsidR="001C6945" w:rsidRPr="00576A2F" w:rsidRDefault="001C6945" w:rsidP="007272ED">
            <w:pPr>
              <w:spacing w:after="0" w:line="240" w:lineRule="auto"/>
              <w:jc w:val="right"/>
              <w:rPr>
                <w:rFonts w:ascii="Calibri" w:eastAsia="Times New Roman" w:hAnsi="Calibri" w:cs="Calibri"/>
                <w:color w:val="000000"/>
                <w:lang w:eastAsia="en-IE"/>
              </w:rPr>
            </w:pPr>
          </w:p>
        </w:tc>
        <w:tc>
          <w:tcPr>
            <w:tcW w:w="1036" w:type="dxa"/>
            <w:gridSpan w:val="2"/>
            <w:shd w:val="clear" w:color="auto" w:fill="auto"/>
            <w:noWrap/>
            <w:vAlign w:val="bottom"/>
            <w:hideMark/>
          </w:tcPr>
          <w:p w14:paraId="6D6FF0C1"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0.012</w:t>
            </w:r>
          </w:p>
        </w:tc>
        <w:tc>
          <w:tcPr>
            <w:tcW w:w="1316" w:type="dxa"/>
            <w:gridSpan w:val="2"/>
            <w:shd w:val="clear" w:color="auto" w:fill="auto"/>
            <w:noWrap/>
            <w:vAlign w:val="bottom"/>
            <w:hideMark/>
          </w:tcPr>
          <w:p w14:paraId="7A740875"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0.030</w:t>
            </w:r>
          </w:p>
        </w:tc>
        <w:tc>
          <w:tcPr>
            <w:tcW w:w="1177" w:type="dxa"/>
            <w:gridSpan w:val="2"/>
            <w:shd w:val="clear" w:color="auto" w:fill="auto"/>
            <w:noWrap/>
            <w:vAlign w:val="bottom"/>
            <w:hideMark/>
          </w:tcPr>
          <w:p w14:paraId="50756385"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0.211</w:t>
            </w:r>
          </w:p>
        </w:tc>
        <w:tc>
          <w:tcPr>
            <w:tcW w:w="1092" w:type="dxa"/>
            <w:gridSpan w:val="2"/>
            <w:shd w:val="clear" w:color="auto" w:fill="auto"/>
            <w:noWrap/>
            <w:vAlign w:val="bottom"/>
            <w:hideMark/>
          </w:tcPr>
          <w:p w14:paraId="4277B843"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0.000</w:t>
            </w:r>
          </w:p>
        </w:tc>
        <w:tc>
          <w:tcPr>
            <w:tcW w:w="1038" w:type="dxa"/>
            <w:gridSpan w:val="2"/>
            <w:shd w:val="clear" w:color="auto" w:fill="auto"/>
            <w:noWrap/>
            <w:vAlign w:val="bottom"/>
            <w:hideMark/>
          </w:tcPr>
          <w:p w14:paraId="05E4BF1B"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0.000</w:t>
            </w:r>
          </w:p>
        </w:tc>
        <w:tc>
          <w:tcPr>
            <w:tcW w:w="1036" w:type="dxa"/>
            <w:gridSpan w:val="2"/>
            <w:shd w:val="clear" w:color="auto" w:fill="auto"/>
            <w:noWrap/>
            <w:vAlign w:val="bottom"/>
            <w:hideMark/>
          </w:tcPr>
          <w:p w14:paraId="33841D57"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0.054</w:t>
            </w:r>
          </w:p>
        </w:tc>
        <w:tc>
          <w:tcPr>
            <w:tcW w:w="975" w:type="dxa"/>
            <w:gridSpan w:val="2"/>
            <w:shd w:val="clear" w:color="auto" w:fill="auto"/>
            <w:noWrap/>
            <w:vAlign w:val="bottom"/>
            <w:hideMark/>
          </w:tcPr>
          <w:p w14:paraId="6E6664B9"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0.001</w:t>
            </w:r>
          </w:p>
        </w:tc>
      </w:tr>
      <w:tr w:rsidR="001C6945" w:rsidRPr="008F5DD0" w14:paraId="11FA11C3"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670941B7" w14:textId="77777777" w:rsidR="001C6945" w:rsidRPr="00576A2F" w:rsidRDefault="001C6945" w:rsidP="007272ED">
            <w:pPr>
              <w:spacing w:after="0" w:line="240" w:lineRule="auto"/>
              <w:rPr>
                <w:rFonts w:ascii="Calibri" w:eastAsia="Times New Roman" w:hAnsi="Calibri" w:cs="Calibri"/>
                <w:color w:val="000000"/>
                <w:lang w:eastAsia="en-IE"/>
              </w:rPr>
            </w:pPr>
            <w:r w:rsidRPr="00576A2F">
              <w:rPr>
                <w:rFonts w:ascii="Calibri" w:eastAsia="Times New Roman" w:hAnsi="Calibri" w:cs="Calibri"/>
                <w:color w:val="000000"/>
                <w:lang w:eastAsia="en-IE"/>
              </w:rPr>
              <w:t>VIX</w:t>
            </w:r>
          </w:p>
        </w:tc>
        <w:tc>
          <w:tcPr>
            <w:tcW w:w="1036" w:type="dxa"/>
            <w:gridSpan w:val="2"/>
            <w:shd w:val="clear" w:color="auto" w:fill="auto"/>
            <w:noWrap/>
            <w:vAlign w:val="bottom"/>
            <w:hideMark/>
          </w:tcPr>
          <w:p w14:paraId="692B04CF"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0.555</w:t>
            </w:r>
          </w:p>
        </w:tc>
        <w:tc>
          <w:tcPr>
            <w:tcW w:w="1316" w:type="dxa"/>
            <w:gridSpan w:val="2"/>
            <w:shd w:val="clear" w:color="auto" w:fill="auto"/>
            <w:noWrap/>
            <w:vAlign w:val="bottom"/>
            <w:hideMark/>
          </w:tcPr>
          <w:p w14:paraId="326478A7"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0.310</w:t>
            </w:r>
          </w:p>
        </w:tc>
        <w:tc>
          <w:tcPr>
            <w:tcW w:w="1177" w:type="dxa"/>
            <w:gridSpan w:val="2"/>
            <w:shd w:val="clear" w:color="auto" w:fill="auto"/>
            <w:noWrap/>
            <w:vAlign w:val="bottom"/>
            <w:hideMark/>
          </w:tcPr>
          <w:p w14:paraId="53757762"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0.374</w:t>
            </w:r>
          </w:p>
        </w:tc>
        <w:tc>
          <w:tcPr>
            <w:tcW w:w="1092" w:type="dxa"/>
            <w:gridSpan w:val="2"/>
            <w:shd w:val="clear" w:color="auto" w:fill="auto"/>
            <w:noWrap/>
            <w:vAlign w:val="bottom"/>
            <w:hideMark/>
          </w:tcPr>
          <w:p w14:paraId="5C71C6D6"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0.505</w:t>
            </w:r>
          </w:p>
        </w:tc>
        <w:tc>
          <w:tcPr>
            <w:tcW w:w="1038" w:type="dxa"/>
            <w:gridSpan w:val="2"/>
            <w:shd w:val="clear" w:color="auto" w:fill="auto"/>
            <w:noWrap/>
            <w:vAlign w:val="bottom"/>
            <w:hideMark/>
          </w:tcPr>
          <w:p w14:paraId="13E5F096"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0.289</w:t>
            </w:r>
          </w:p>
        </w:tc>
        <w:tc>
          <w:tcPr>
            <w:tcW w:w="1036" w:type="dxa"/>
            <w:gridSpan w:val="2"/>
            <w:shd w:val="clear" w:color="auto" w:fill="auto"/>
            <w:noWrap/>
            <w:vAlign w:val="bottom"/>
            <w:hideMark/>
          </w:tcPr>
          <w:p w14:paraId="774B7318"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1.310</w:t>
            </w:r>
          </w:p>
        </w:tc>
        <w:tc>
          <w:tcPr>
            <w:tcW w:w="975" w:type="dxa"/>
            <w:gridSpan w:val="2"/>
            <w:shd w:val="clear" w:color="auto" w:fill="auto"/>
            <w:noWrap/>
            <w:vAlign w:val="bottom"/>
            <w:hideMark/>
          </w:tcPr>
          <w:p w14:paraId="248B604C"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0.730</w:t>
            </w:r>
          </w:p>
        </w:tc>
      </w:tr>
      <w:tr w:rsidR="001C6945" w:rsidRPr="008F5DD0" w14:paraId="11FB63AB"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41882AA0" w14:textId="77777777" w:rsidR="001C6945" w:rsidRPr="00576A2F" w:rsidRDefault="001C6945" w:rsidP="007272ED">
            <w:pPr>
              <w:spacing w:after="0" w:line="240" w:lineRule="auto"/>
              <w:jc w:val="right"/>
              <w:rPr>
                <w:rFonts w:ascii="Calibri" w:eastAsia="Times New Roman" w:hAnsi="Calibri" w:cs="Calibri"/>
                <w:color w:val="000000"/>
                <w:lang w:eastAsia="en-IE"/>
              </w:rPr>
            </w:pPr>
          </w:p>
        </w:tc>
        <w:tc>
          <w:tcPr>
            <w:tcW w:w="1036" w:type="dxa"/>
            <w:gridSpan w:val="2"/>
            <w:shd w:val="clear" w:color="auto" w:fill="auto"/>
            <w:noWrap/>
            <w:vAlign w:val="bottom"/>
            <w:hideMark/>
          </w:tcPr>
          <w:p w14:paraId="1FD80C3A"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0.035</w:t>
            </w:r>
          </w:p>
        </w:tc>
        <w:tc>
          <w:tcPr>
            <w:tcW w:w="1316" w:type="dxa"/>
            <w:gridSpan w:val="2"/>
            <w:shd w:val="clear" w:color="auto" w:fill="auto"/>
            <w:noWrap/>
            <w:vAlign w:val="bottom"/>
            <w:hideMark/>
          </w:tcPr>
          <w:p w14:paraId="3E59C737"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0.214</w:t>
            </w:r>
          </w:p>
        </w:tc>
        <w:tc>
          <w:tcPr>
            <w:tcW w:w="1177" w:type="dxa"/>
            <w:gridSpan w:val="2"/>
            <w:shd w:val="clear" w:color="auto" w:fill="auto"/>
            <w:noWrap/>
            <w:vAlign w:val="bottom"/>
            <w:hideMark/>
          </w:tcPr>
          <w:p w14:paraId="153C6106"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0.420</w:t>
            </w:r>
          </w:p>
        </w:tc>
        <w:tc>
          <w:tcPr>
            <w:tcW w:w="1092" w:type="dxa"/>
            <w:gridSpan w:val="2"/>
            <w:shd w:val="clear" w:color="auto" w:fill="auto"/>
            <w:noWrap/>
            <w:vAlign w:val="bottom"/>
            <w:hideMark/>
          </w:tcPr>
          <w:p w14:paraId="4862E711"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0.015</w:t>
            </w:r>
          </w:p>
        </w:tc>
        <w:tc>
          <w:tcPr>
            <w:tcW w:w="1038" w:type="dxa"/>
            <w:gridSpan w:val="2"/>
            <w:shd w:val="clear" w:color="auto" w:fill="auto"/>
            <w:noWrap/>
            <w:vAlign w:val="bottom"/>
            <w:hideMark/>
          </w:tcPr>
          <w:p w14:paraId="15474062"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0.003</w:t>
            </w:r>
          </w:p>
        </w:tc>
        <w:tc>
          <w:tcPr>
            <w:tcW w:w="1036" w:type="dxa"/>
            <w:gridSpan w:val="2"/>
            <w:shd w:val="clear" w:color="auto" w:fill="auto"/>
            <w:noWrap/>
            <w:vAlign w:val="bottom"/>
            <w:hideMark/>
          </w:tcPr>
          <w:p w14:paraId="697DB4D5"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0.007</w:t>
            </w:r>
          </w:p>
        </w:tc>
        <w:tc>
          <w:tcPr>
            <w:tcW w:w="975" w:type="dxa"/>
            <w:gridSpan w:val="2"/>
            <w:shd w:val="clear" w:color="auto" w:fill="auto"/>
            <w:noWrap/>
            <w:vAlign w:val="bottom"/>
            <w:hideMark/>
          </w:tcPr>
          <w:p w14:paraId="168F494A"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0.007</w:t>
            </w:r>
          </w:p>
        </w:tc>
      </w:tr>
      <w:tr w:rsidR="001C6945" w:rsidRPr="008F5DD0" w14:paraId="1006A1BC"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742B4B0B" w14:textId="77777777" w:rsidR="001C6945" w:rsidRPr="00576A2F" w:rsidRDefault="001C6945" w:rsidP="007272ED">
            <w:pPr>
              <w:spacing w:after="0" w:line="240" w:lineRule="auto"/>
              <w:rPr>
                <w:rFonts w:ascii="Calibri" w:eastAsia="Times New Roman" w:hAnsi="Calibri" w:cs="Calibri"/>
                <w:color w:val="000000"/>
                <w:lang w:eastAsia="en-IE"/>
              </w:rPr>
            </w:pPr>
            <w:r w:rsidRPr="00576A2F">
              <w:rPr>
                <w:rFonts w:ascii="Calibri" w:eastAsia="Times New Roman" w:hAnsi="Calibri" w:cs="Calibri"/>
                <w:color w:val="000000"/>
                <w:lang w:eastAsia="en-IE"/>
              </w:rPr>
              <w:t>SENT</w:t>
            </w:r>
          </w:p>
        </w:tc>
        <w:tc>
          <w:tcPr>
            <w:tcW w:w="1036" w:type="dxa"/>
            <w:gridSpan w:val="2"/>
            <w:shd w:val="clear" w:color="auto" w:fill="auto"/>
            <w:noWrap/>
            <w:vAlign w:val="bottom"/>
            <w:hideMark/>
          </w:tcPr>
          <w:p w14:paraId="3BEAE07A"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0.300</w:t>
            </w:r>
          </w:p>
        </w:tc>
        <w:tc>
          <w:tcPr>
            <w:tcW w:w="1316" w:type="dxa"/>
            <w:gridSpan w:val="2"/>
            <w:shd w:val="clear" w:color="auto" w:fill="auto"/>
            <w:noWrap/>
            <w:vAlign w:val="bottom"/>
            <w:hideMark/>
          </w:tcPr>
          <w:p w14:paraId="3CB28F59"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0.031</w:t>
            </w:r>
          </w:p>
        </w:tc>
        <w:tc>
          <w:tcPr>
            <w:tcW w:w="1177" w:type="dxa"/>
            <w:gridSpan w:val="2"/>
            <w:shd w:val="clear" w:color="auto" w:fill="auto"/>
            <w:noWrap/>
            <w:vAlign w:val="bottom"/>
            <w:hideMark/>
          </w:tcPr>
          <w:p w14:paraId="293219CF"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1.069</w:t>
            </w:r>
          </w:p>
        </w:tc>
        <w:tc>
          <w:tcPr>
            <w:tcW w:w="1092" w:type="dxa"/>
            <w:gridSpan w:val="2"/>
            <w:shd w:val="clear" w:color="auto" w:fill="auto"/>
            <w:noWrap/>
            <w:vAlign w:val="bottom"/>
            <w:hideMark/>
          </w:tcPr>
          <w:p w14:paraId="0214D0D3"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-0.759</w:t>
            </w:r>
          </w:p>
        </w:tc>
        <w:tc>
          <w:tcPr>
            <w:tcW w:w="1038" w:type="dxa"/>
            <w:gridSpan w:val="2"/>
            <w:shd w:val="clear" w:color="auto" w:fill="auto"/>
            <w:noWrap/>
            <w:vAlign w:val="bottom"/>
            <w:hideMark/>
          </w:tcPr>
          <w:p w14:paraId="739BF216"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0.083</w:t>
            </w:r>
          </w:p>
        </w:tc>
        <w:tc>
          <w:tcPr>
            <w:tcW w:w="1036" w:type="dxa"/>
            <w:gridSpan w:val="2"/>
            <w:shd w:val="clear" w:color="auto" w:fill="auto"/>
            <w:noWrap/>
            <w:vAlign w:val="bottom"/>
            <w:hideMark/>
          </w:tcPr>
          <w:p w14:paraId="40A3221E"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0.410</w:t>
            </w:r>
          </w:p>
        </w:tc>
        <w:tc>
          <w:tcPr>
            <w:tcW w:w="975" w:type="dxa"/>
            <w:gridSpan w:val="2"/>
            <w:shd w:val="clear" w:color="auto" w:fill="auto"/>
            <w:noWrap/>
            <w:vAlign w:val="bottom"/>
            <w:hideMark/>
          </w:tcPr>
          <w:p w14:paraId="4D60A77F"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2.505</w:t>
            </w:r>
          </w:p>
        </w:tc>
      </w:tr>
      <w:tr w:rsidR="001C6945" w:rsidRPr="008F5DD0" w14:paraId="2617DA70"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697760AB" w14:textId="77777777" w:rsidR="001C6945" w:rsidRPr="00576A2F" w:rsidRDefault="001C6945" w:rsidP="007272ED">
            <w:pPr>
              <w:spacing w:after="0" w:line="240" w:lineRule="auto"/>
              <w:jc w:val="right"/>
              <w:rPr>
                <w:rFonts w:ascii="Calibri" w:eastAsia="Times New Roman" w:hAnsi="Calibri" w:cs="Calibri"/>
                <w:color w:val="000000"/>
                <w:lang w:eastAsia="en-IE"/>
              </w:rPr>
            </w:pPr>
          </w:p>
        </w:tc>
        <w:tc>
          <w:tcPr>
            <w:tcW w:w="1036" w:type="dxa"/>
            <w:gridSpan w:val="2"/>
            <w:shd w:val="clear" w:color="auto" w:fill="auto"/>
            <w:noWrap/>
            <w:vAlign w:val="bottom"/>
            <w:hideMark/>
          </w:tcPr>
          <w:p w14:paraId="23C462E1"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0.901</w:t>
            </w:r>
          </w:p>
        </w:tc>
        <w:tc>
          <w:tcPr>
            <w:tcW w:w="1316" w:type="dxa"/>
            <w:gridSpan w:val="2"/>
            <w:shd w:val="clear" w:color="auto" w:fill="auto"/>
            <w:noWrap/>
            <w:vAlign w:val="bottom"/>
            <w:hideMark/>
          </w:tcPr>
          <w:p w14:paraId="401214A6"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0.990</w:t>
            </w:r>
          </w:p>
        </w:tc>
        <w:tc>
          <w:tcPr>
            <w:tcW w:w="1177" w:type="dxa"/>
            <w:gridSpan w:val="2"/>
            <w:shd w:val="clear" w:color="auto" w:fill="auto"/>
            <w:noWrap/>
            <w:vAlign w:val="bottom"/>
            <w:hideMark/>
          </w:tcPr>
          <w:p w14:paraId="10AF0604"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0.816</w:t>
            </w:r>
          </w:p>
        </w:tc>
        <w:tc>
          <w:tcPr>
            <w:tcW w:w="1092" w:type="dxa"/>
            <w:gridSpan w:val="2"/>
            <w:shd w:val="clear" w:color="auto" w:fill="auto"/>
            <w:noWrap/>
            <w:vAlign w:val="bottom"/>
            <w:hideMark/>
          </w:tcPr>
          <w:p w14:paraId="25867589"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0.683</w:t>
            </w:r>
          </w:p>
        </w:tc>
        <w:tc>
          <w:tcPr>
            <w:tcW w:w="1038" w:type="dxa"/>
            <w:gridSpan w:val="2"/>
            <w:shd w:val="clear" w:color="auto" w:fill="auto"/>
            <w:noWrap/>
            <w:vAlign w:val="bottom"/>
            <w:hideMark/>
          </w:tcPr>
          <w:p w14:paraId="3257D772"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0.919</w:t>
            </w:r>
          </w:p>
        </w:tc>
        <w:tc>
          <w:tcPr>
            <w:tcW w:w="1036" w:type="dxa"/>
            <w:gridSpan w:val="2"/>
            <w:shd w:val="clear" w:color="auto" w:fill="auto"/>
            <w:noWrap/>
            <w:vAlign w:val="bottom"/>
            <w:hideMark/>
          </w:tcPr>
          <w:p w14:paraId="6EF0FF9C"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0.923</w:t>
            </w:r>
          </w:p>
        </w:tc>
        <w:tc>
          <w:tcPr>
            <w:tcW w:w="975" w:type="dxa"/>
            <w:gridSpan w:val="2"/>
            <w:shd w:val="clear" w:color="auto" w:fill="auto"/>
            <w:noWrap/>
            <w:vAlign w:val="bottom"/>
            <w:hideMark/>
          </w:tcPr>
          <w:p w14:paraId="2E8B03A7"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0.292</w:t>
            </w:r>
          </w:p>
        </w:tc>
      </w:tr>
      <w:tr w:rsidR="001C6945" w:rsidRPr="008F5DD0" w14:paraId="50F0EE4E"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7C23BA13" w14:textId="77777777" w:rsidR="001C6945" w:rsidRPr="00576A2F" w:rsidRDefault="001C6945" w:rsidP="007272ED">
            <w:pPr>
              <w:spacing w:after="0" w:line="240" w:lineRule="auto"/>
              <w:rPr>
                <w:rFonts w:ascii="Calibri" w:eastAsia="Times New Roman" w:hAnsi="Calibri" w:cs="Calibri"/>
                <w:color w:val="000000"/>
                <w:lang w:eastAsia="en-IE"/>
              </w:rPr>
            </w:pPr>
            <w:r w:rsidRPr="00576A2F">
              <w:rPr>
                <w:rFonts w:ascii="Calibri" w:eastAsia="Times New Roman" w:hAnsi="Calibri" w:cs="Calibri"/>
                <w:color w:val="000000"/>
                <w:lang w:eastAsia="en-IE"/>
              </w:rPr>
              <w:t>FEDFUND</w:t>
            </w:r>
          </w:p>
        </w:tc>
        <w:tc>
          <w:tcPr>
            <w:tcW w:w="1036" w:type="dxa"/>
            <w:gridSpan w:val="2"/>
            <w:shd w:val="clear" w:color="auto" w:fill="auto"/>
            <w:noWrap/>
            <w:vAlign w:val="bottom"/>
            <w:hideMark/>
          </w:tcPr>
          <w:p w14:paraId="01A65E5F"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1.514</w:t>
            </w:r>
          </w:p>
        </w:tc>
        <w:tc>
          <w:tcPr>
            <w:tcW w:w="1316" w:type="dxa"/>
            <w:gridSpan w:val="2"/>
            <w:shd w:val="clear" w:color="auto" w:fill="auto"/>
            <w:noWrap/>
            <w:vAlign w:val="bottom"/>
            <w:hideMark/>
          </w:tcPr>
          <w:p w14:paraId="667F128A"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1.159</w:t>
            </w:r>
          </w:p>
        </w:tc>
        <w:tc>
          <w:tcPr>
            <w:tcW w:w="1177" w:type="dxa"/>
            <w:gridSpan w:val="2"/>
            <w:shd w:val="clear" w:color="auto" w:fill="auto"/>
            <w:noWrap/>
            <w:vAlign w:val="bottom"/>
            <w:hideMark/>
          </w:tcPr>
          <w:p w14:paraId="33F72289"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1.824</w:t>
            </w:r>
          </w:p>
        </w:tc>
        <w:tc>
          <w:tcPr>
            <w:tcW w:w="1092" w:type="dxa"/>
            <w:gridSpan w:val="2"/>
            <w:shd w:val="clear" w:color="auto" w:fill="auto"/>
            <w:noWrap/>
            <w:vAlign w:val="bottom"/>
            <w:hideMark/>
          </w:tcPr>
          <w:p w14:paraId="2AF49E03"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0.571</w:t>
            </w:r>
          </w:p>
        </w:tc>
        <w:tc>
          <w:tcPr>
            <w:tcW w:w="1038" w:type="dxa"/>
            <w:gridSpan w:val="2"/>
            <w:shd w:val="clear" w:color="auto" w:fill="auto"/>
            <w:noWrap/>
            <w:vAlign w:val="bottom"/>
            <w:hideMark/>
          </w:tcPr>
          <w:p w14:paraId="055EB46E"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1.044</w:t>
            </w:r>
          </w:p>
        </w:tc>
        <w:tc>
          <w:tcPr>
            <w:tcW w:w="1036" w:type="dxa"/>
            <w:gridSpan w:val="2"/>
            <w:shd w:val="clear" w:color="auto" w:fill="auto"/>
            <w:noWrap/>
            <w:vAlign w:val="bottom"/>
            <w:hideMark/>
          </w:tcPr>
          <w:p w14:paraId="1D3CA38C"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2.536</w:t>
            </w:r>
          </w:p>
        </w:tc>
        <w:tc>
          <w:tcPr>
            <w:tcW w:w="975" w:type="dxa"/>
            <w:gridSpan w:val="2"/>
            <w:shd w:val="clear" w:color="auto" w:fill="auto"/>
            <w:noWrap/>
            <w:vAlign w:val="bottom"/>
            <w:hideMark/>
          </w:tcPr>
          <w:p w14:paraId="3A5B058E"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1.595</w:t>
            </w:r>
          </w:p>
        </w:tc>
      </w:tr>
      <w:tr w:rsidR="001C6945" w:rsidRPr="008F5DD0" w14:paraId="1437CDF5"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45F2F862" w14:textId="77777777" w:rsidR="001C6945" w:rsidRPr="00576A2F" w:rsidRDefault="001C6945" w:rsidP="007272ED">
            <w:pPr>
              <w:spacing w:after="0" w:line="240" w:lineRule="auto"/>
              <w:jc w:val="right"/>
              <w:rPr>
                <w:rFonts w:ascii="Calibri" w:eastAsia="Times New Roman" w:hAnsi="Calibri" w:cs="Calibri"/>
                <w:color w:val="000000"/>
                <w:lang w:eastAsia="en-IE"/>
              </w:rPr>
            </w:pPr>
          </w:p>
        </w:tc>
        <w:tc>
          <w:tcPr>
            <w:tcW w:w="1036" w:type="dxa"/>
            <w:gridSpan w:val="2"/>
            <w:shd w:val="clear" w:color="auto" w:fill="auto"/>
            <w:noWrap/>
            <w:vAlign w:val="bottom"/>
            <w:hideMark/>
          </w:tcPr>
          <w:p w14:paraId="152F9D79"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0.110</w:t>
            </w:r>
          </w:p>
        </w:tc>
        <w:tc>
          <w:tcPr>
            <w:tcW w:w="1316" w:type="dxa"/>
            <w:gridSpan w:val="2"/>
            <w:shd w:val="clear" w:color="auto" w:fill="auto"/>
            <w:noWrap/>
            <w:vAlign w:val="bottom"/>
            <w:hideMark/>
          </w:tcPr>
          <w:p w14:paraId="5EB8E493"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0.215</w:t>
            </w:r>
          </w:p>
        </w:tc>
        <w:tc>
          <w:tcPr>
            <w:tcW w:w="1177" w:type="dxa"/>
            <w:gridSpan w:val="2"/>
            <w:shd w:val="clear" w:color="auto" w:fill="auto"/>
            <w:noWrap/>
            <w:vAlign w:val="bottom"/>
            <w:hideMark/>
          </w:tcPr>
          <w:p w14:paraId="7625CF63"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0.298</w:t>
            </w:r>
          </w:p>
        </w:tc>
        <w:tc>
          <w:tcPr>
            <w:tcW w:w="1092" w:type="dxa"/>
            <w:gridSpan w:val="2"/>
            <w:shd w:val="clear" w:color="auto" w:fill="auto"/>
            <w:noWrap/>
            <w:vAlign w:val="bottom"/>
            <w:hideMark/>
          </w:tcPr>
          <w:p w14:paraId="23921010"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0.417</w:t>
            </w:r>
          </w:p>
        </w:tc>
        <w:tc>
          <w:tcPr>
            <w:tcW w:w="1038" w:type="dxa"/>
            <w:gridSpan w:val="2"/>
            <w:shd w:val="clear" w:color="auto" w:fill="auto"/>
            <w:noWrap/>
            <w:vAlign w:val="bottom"/>
            <w:hideMark/>
          </w:tcPr>
          <w:p w14:paraId="357EFC79"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0.004</w:t>
            </w:r>
          </w:p>
        </w:tc>
        <w:tc>
          <w:tcPr>
            <w:tcW w:w="1036" w:type="dxa"/>
            <w:gridSpan w:val="2"/>
            <w:shd w:val="clear" w:color="auto" w:fill="auto"/>
            <w:noWrap/>
            <w:vAlign w:val="bottom"/>
            <w:hideMark/>
          </w:tcPr>
          <w:p w14:paraId="63A86C72"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0.126</w:t>
            </w:r>
          </w:p>
        </w:tc>
        <w:tc>
          <w:tcPr>
            <w:tcW w:w="975" w:type="dxa"/>
            <w:gridSpan w:val="2"/>
            <w:shd w:val="clear" w:color="auto" w:fill="auto"/>
            <w:noWrap/>
            <w:vAlign w:val="bottom"/>
            <w:hideMark/>
          </w:tcPr>
          <w:p w14:paraId="4F553DFC"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0.084</w:t>
            </w:r>
          </w:p>
        </w:tc>
      </w:tr>
      <w:tr w:rsidR="001C6945" w:rsidRPr="008F5DD0" w14:paraId="2FAFB6FA"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3BE4E893" w14:textId="77777777" w:rsidR="001C6945" w:rsidRPr="00576A2F" w:rsidRDefault="001C6945" w:rsidP="007272ED">
            <w:pPr>
              <w:spacing w:after="0" w:line="240" w:lineRule="auto"/>
              <w:rPr>
                <w:rFonts w:ascii="Calibri" w:eastAsia="Times New Roman" w:hAnsi="Calibri" w:cs="Calibri"/>
                <w:color w:val="000000"/>
                <w:lang w:eastAsia="en-IE"/>
              </w:rPr>
            </w:pPr>
            <w:r w:rsidRPr="00576A2F">
              <w:rPr>
                <w:rFonts w:ascii="Calibri" w:eastAsia="Times New Roman" w:hAnsi="Calibri" w:cs="Calibri"/>
                <w:color w:val="000000"/>
                <w:lang w:eastAsia="en-IE"/>
              </w:rPr>
              <w:t>INTERNET</w:t>
            </w:r>
          </w:p>
        </w:tc>
        <w:tc>
          <w:tcPr>
            <w:tcW w:w="1036" w:type="dxa"/>
            <w:gridSpan w:val="2"/>
            <w:shd w:val="clear" w:color="auto" w:fill="auto"/>
            <w:noWrap/>
            <w:vAlign w:val="bottom"/>
            <w:hideMark/>
          </w:tcPr>
          <w:p w14:paraId="57BB2E8F"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-7.184</w:t>
            </w:r>
          </w:p>
        </w:tc>
        <w:tc>
          <w:tcPr>
            <w:tcW w:w="1316" w:type="dxa"/>
            <w:gridSpan w:val="2"/>
            <w:shd w:val="clear" w:color="auto" w:fill="auto"/>
            <w:noWrap/>
            <w:vAlign w:val="bottom"/>
            <w:hideMark/>
          </w:tcPr>
          <w:p w14:paraId="42F61803"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-8.184</w:t>
            </w:r>
          </w:p>
        </w:tc>
        <w:tc>
          <w:tcPr>
            <w:tcW w:w="1177" w:type="dxa"/>
            <w:gridSpan w:val="2"/>
            <w:shd w:val="clear" w:color="auto" w:fill="auto"/>
            <w:noWrap/>
            <w:vAlign w:val="bottom"/>
            <w:hideMark/>
          </w:tcPr>
          <w:p w14:paraId="760412CA"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-16.255</w:t>
            </w:r>
          </w:p>
        </w:tc>
        <w:tc>
          <w:tcPr>
            <w:tcW w:w="1092" w:type="dxa"/>
            <w:gridSpan w:val="2"/>
            <w:shd w:val="clear" w:color="auto" w:fill="auto"/>
            <w:noWrap/>
            <w:vAlign w:val="bottom"/>
            <w:hideMark/>
          </w:tcPr>
          <w:p w14:paraId="1551B836"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-6.931</w:t>
            </w:r>
          </w:p>
        </w:tc>
        <w:tc>
          <w:tcPr>
            <w:tcW w:w="1038" w:type="dxa"/>
            <w:gridSpan w:val="2"/>
            <w:shd w:val="clear" w:color="auto" w:fill="auto"/>
            <w:noWrap/>
            <w:vAlign w:val="bottom"/>
            <w:hideMark/>
          </w:tcPr>
          <w:p w14:paraId="7B14A796"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-1.071</w:t>
            </w:r>
          </w:p>
        </w:tc>
        <w:tc>
          <w:tcPr>
            <w:tcW w:w="1036" w:type="dxa"/>
            <w:gridSpan w:val="2"/>
            <w:shd w:val="clear" w:color="auto" w:fill="auto"/>
            <w:noWrap/>
            <w:vAlign w:val="bottom"/>
            <w:hideMark/>
          </w:tcPr>
          <w:p w14:paraId="626E19A1"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-4.105</w:t>
            </w:r>
          </w:p>
        </w:tc>
        <w:tc>
          <w:tcPr>
            <w:tcW w:w="975" w:type="dxa"/>
            <w:gridSpan w:val="2"/>
            <w:shd w:val="clear" w:color="auto" w:fill="auto"/>
            <w:noWrap/>
            <w:vAlign w:val="bottom"/>
            <w:hideMark/>
          </w:tcPr>
          <w:p w14:paraId="34DA244F"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-6.888</w:t>
            </w:r>
          </w:p>
        </w:tc>
      </w:tr>
      <w:tr w:rsidR="001C6945" w:rsidRPr="008F5DD0" w14:paraId="5F51A607"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030B6B37" w14:textId="77777777" w:rsidR="001C6945" w:rsidRPr="00576A2F" w:rsidRDefault="001C6945" w:rsidP="007272ED">
            <w:pPr>
              <w:spacing w:after="0" w:line="240" w:lineRule="auto"/>
              <w:jc w:val="right"/>
              <w:rPr>
                <w:rFonts w:ascii="Calibri" w:eastAsia="Times New Roman" w:hAnsi="Calibri" w:cs="Calibri"/>
                <w:color w:val="000000"/>
                <w:lang w:eastAsia="en-IE"/>
              </w:rPr>
            </w:pPr>
          </w:p>
        </w:tc>
        <w:tc>
          <w:tcPr>
            <w:tcW w:w="1036" w:type="dxa"/>
            <w:gridSpan w:val="2"/>
            <w:shd w:val="clear" w:color="auto" w:fill="auto"/>
            <w:noWrap/>
            <w:vAlign w:val="bottom"/>
            <w:hideMark/>
          </w:tcPr>
          <w:p w14:paraId="681CE103"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0.001</w:t>
            </w:r>
          </w:p>
        </w:tc>
        <w:tc>
          <w:tcPr>
            <w:tcW w:w="1316" w:type="dxa"/>
            <w:gridSpan w:val="2"/>
            <w:shd w:val="clear" w:color="auto" w:fill="auto"/>
            <w:noWrap/>
            <w:vAlign w:val="bottom"/>
            <w:hideMark/>
          </w:tcPr>
          <w:p w14:paraId="36F12D99"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0.000</w:t>
            </w:r>
          </w:p>
        </w:tc>
        <w:tc>
          <w:tcPr>
            <w:tcW w:w="1177" w:type="dxa"/>
            <w:gridSpan w:val="2"/>
            <w:shd w:val="clear" w:color="auto" w:fill="auto"/>
            <w:noWrap/>
            <w:vAlign w:val="bottom"/>
            <w:hideMark/>
          </w:tcPr>
          <w:p w14:paraId="5D6F1A93"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0.000</w:t>
            </w:r>
          </w:p>
        </w:tc>
        <w:tc>
          <w:tcPr>
            <w:tcW w:w="1092" w:type="dxa"/>
            <w:gridSpan w:val="2"/>
            <w:shd w:val="clear" w:color="auto" w:fill="auto"/>
            <w:noWrap/>
            <w:vAlign w:val="bottom"/>
            <w:hideMark/>
          </w:tcPr>
          <w:p w14:paraId="0A5B6AFF"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0.000</w:t>
            </w:r>
          </w:p>
        </w:tc>
        <w:tc>
          <w:tcPr>
            <w:tcW w:w="1038" w:type="dxa"/>
            <w:gridSpan w:val="2"/>
            <w:shd w:val="clear" w:color="auto" w:fill="auto"/>
            <w:noWrap/>
            <w:vAlign w:val="bottom"/>
            <w:hideMark/>
          </w:tcPr>
          <w:p w14:paraId="70247A32"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0.076</w:t>
            </w:r>
          </w:p>
        </w:tc>
        <w:tc>
          <w:tcPr>
            <w:tcW w:w="1036" w:type="dxa"/>
            <w:gridSpan w:val="2"/>
            <w:shd w:val="clear" w:color="auto" w:fill="auto"/>
            <w:noWrap/>
            <w:vAlign w:val="bottom"/>
            <w:hideMark/>
          </w:tcPr>
          <w:p w14:paraId="4270CDE5"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0.179</w:t>
            </w:r>
          </w:p>
        </w:tc>
        <w:tc>
          <w:tcPr>
            <w:tcW w:w="975" w:type="dxa"/>
            <w:gridSpan w:val="2"/>
            <w:shd w:val="clear" w:color="auto" w:fill="auto"/>
            <w:noWrap/>
            <w:vAlign w:val="bottom"/>
            <w:hideMark/>
          </w:tcPr>
          <w:p w14:paraId="7C979C3C"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0.001</w:t>
            </w:r>
          </w:p>
        </w:tc>
      </w:tr>
      <w:tr w:rsidR="001C6945" w:rsidRPr="008F5DD0" w14:paraId="108D0FFC"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5A5B3AAD" w14:textId="77777777" w:rsidR="001C6945" w:rsidRPr="00576A2F" w:rsidRDefault="001C6945" w:rsidP="007272ED">
            <w:pPr>
              <w:spacing w:after="0" w:line="240" w:lineRule="auto"/>
              <w:rPr>
                <w:rFonts w:ascii="Calibri" w:eastAsia="Times New Roman" w:hAnsi="Calibri" w:cs="Calibri"/>
                <w:color w:val="000000"/>
                <w:lang w:eastAsia="en-IE"/>
              </w:rPr>
            </w:pPr>
            <w:r w:rsidRPr="00576A2F">
              <w:rPr>
                <w:rFonts w:ascii="Calibri" w:eastAsia="Times New Roman" w:hAnsi="Calibri" w:cs="Calibri"/>
                <w:color w:val="000000"/>
                <w:lang w:eastAsia="en-IE"/>
              </w:rPr>
              <w:t>ERM</w:t>
            </w:r>
          </w:p>
        </w:tc>
        <w:tc>
          <w:tcPr>
            <w:tcW w:w="1036" w:type="dxa"/>
            <w:gridSpan w:val="2"/>
            <w:shd w:val="clear" w:color="auto" w:fill="auto"/>
            <w:noWrap/>
            <w:vAlign w:val="bottom"/>
            <w:hideMark/>
          </w:tcPr>
          <w:p w14:paraId="78E6DA68"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-15.442</w:t>
            </w:r>
          </w:p>
        </w:tc>
        <w:tc>
          <w:tcPr>
            <w:tcW w:w="1316" w:type="dxa"/>
            <w:gridSpan w:val="2"/>
            <w:shd w:val="clear" w:color="auto" w:fill="auto"/>
            <w:noWrap/>
            <w:vAlign w:val="bottom"/>
            <w:hideMark/>
          </w:tcPr>
          <w:p w14:paraId="4B55C6A2"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-12.631</w:t>
            </w:r>
          </w:p>
        </w:tc>
        <w:tc>
          <w:tcPr>
            <w:tcW w:w="1177" w:type="dxa"/>
            <w:gridSpan w:val="2"/>
            <w:shd w:val="clear" w:color="auto" w:fill="auto"/>
            <w:noWrap/>
            <w:vAlign w:val="bottom"/>
            <w:hideMark/>
          </w:tcPr>
          <w:p w14:paraId="34B2229F"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-17.934</w:t>
            </w:r>
          </w:p>
        </w:tc>
        <w:tc>
          <w:tcPr>
            <w:tcW w:w="1092" w:type="dxa"/>
            <w:gridSpan w:val="2"/>
            <w:shd w:val="clear" w:color="auto" w:fill="auto"/>
            <w:noWrap/>
            <w:vAlign w:val="bottom"/>
            <w:hideMark/>
          </w:tcPr>
          <w:p w14:paraId="30E70B93"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-7.138</w:t>
            </w:r>
          </w:p>
        </w:tc>
        <w:tc>
          <w:tcPr>
            <w:tcW w:w="1038" w:type="dxa"/>
            <w:gridSpan w:val="2"/>
            <w:shd w:val="clear" w:color="auto" w:fill="auto"/>
            <w:noWrap/>
            <w:vAlign w:val="bottom"/>
            <w:hideMark/>
          </w:tcPr>
          <w:p w14:paraId="2AB3C9C4"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-4.643</w:t>
            </w:r>
          </w:p>
        </w:tc>
        <w:tc>
          <w:tcPr>
            <w:tcW w:w="1036" w:type="dxa"/>
            <w:gridSpan w:val="2"/>
            <w:shd w:val="clear" w:color="auto" w:fill="auto"/>
            <w:noWrap/>
            <w:vAlign w:val="bottom"/>
            <w:hideMark/>
          </w:tcPr>
          <w:p w14:paraId="4E5022FE"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-21.960</w:t>
            </w:r>
          </w:p>
        </w:tc>
        <w:tc>
          <w:tcPr>
            <w:tcW w:w="975" w:type="dxa"/>
            <w:gridSpan w:val="2"/>
            <w:shd w:val="clear" w:color="auto" w:fill="auto"/>
            <w:noWrap/>
            <w:vAlign w:val="bottom"/>
            <w:hideMark/>
          </w:tcPr>
          <w:p w14:paraId="735B4C5A"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-14.926</w:t>
            </w:r>
          </w:p>
        </w:tc>
      </w:tr>
      <w:tr w:rsidR="001C6945" w:rsidRPr="008F5DD0" w14:paraId="44979A5F"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0EAAF09F" w14:textId="77777777" w:rsidR="001C6945" w:rsidRPr="00576A2F" w:rsidRDefault="001C6945" w:rsidP="007272ED">
            <w:pPr>
              <w:spacing w:after="0" w:line="240" w:lineRule="auto"/>
              <w:jc w:val="right"/>
              <w:rPr>
                <w:rFonts w:ascii="Calibri" w:eastAsia="Times New Roman" w:hAnsi="Calibri" w:cs="Calibri"/>
                <w:color w:val="000000"/>
                <w:lang w:eastAsia="en-IE"/>
              </w:rPr>
            </w:pPr>
          </w:p>
        </w:tc>
        <w:tc>
          <w:tcPr>
            <w:tcW w:w="1036" w:type="dxa"/>
            <w:gridSpan w:val="2"/>
            <w:shd w:val="clear" w:color="auto" w:fill="auto"/>
            <w:noWrap/>
            <w:vAlign w:val="bottom"/>
            <w:hideMark/>
          </w:tcPr>
          <w:p w14:paraId="4EDDAE78"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0.016</w:t>
            </w:r>
          </w:p>
        </w:tc>
        <w:tc>
          <w:tcPr>
            <w:tcW w:w="1316" w:type="dxa"/>
            <w:gridSpan w:val="2"/>
            <w:shd w:val="clear" w:color="auto" w:fill="auto"/>
            <w:noWrap/>
            <w:vAlign w:val="bottom"/>
            <w:hideMark/>
          </w:tcPr>
          <w:p w14:paraId="297B1FF7"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0.041</w:t>
            </w:r>
          </w:p>
        </w:tc>
        <w:tc>
          <w:tcPr>
            <w:tcW w:w="1177" w:type="dxa"/>
            <w:gridSpan w:val="2"/>
            <w:shd w:val="clear" w:color="auto" w:fill="auto"/>
            <w:noWrap/>
            <w:vAlign w:val="bottom"/>
            <w:hideMark/>
          </w:tcPr>
          <w:p w14:paraId="73860F8F"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0.113</w:t>
            </w:r>
          </w:p>
        </w:tc>
        <w:tc>
          <w:tcPr>
            <w:tcW w:w="1092" w:type="dxa"/>
            <w:gridSpan w:val="2"/>
            <w:shd w:val="clear" w:color="auto" w:fill="auto"/>
            <w:noWrap/>
            <w:vAlign w:val="bottom"/>
            <w:hideMark/>
          </w:tcPr>
          <w:p w14:paraId="790FD011"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0.119</w:t>
            </w:r>
          </w:p>
        </w:tc>
        <w:tc>
          <w:tcPr>
            <w:tcW w:w="1038" w:type="dxa"/>
            <w:gridSpan w:val="2"/>
            <w:shd w:val="clear" w:color="auto" w:fill="auto"/>
            <w:noWrap/>
            <w:vAlign w:val="bottom"/>
            <w:hideMark/>
          </w:tcPr>
          <w:p w14:paraId="6EAE0466"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0.028</w:t>
            </w:r>
          </w:p>
        </w:tc>
        <w:tc>
          <w:tcPr>
            <w:tcW w:w="1036" w:type="dxa"/>
            <w:gridSpan w:val="2"/>
            <w:shd w:val="clear" w:color="auto" w:fill="auto"/>
            <w:noWrap/>
            <w:vAlign w:val="bottom"/>
            <w:hideMark/>
          </w:tcPr>
          <w:p w14:paraId="24EBB05F"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0.042</w:t>
            </w:r>
          </w:p>
        </w:tc>
        <w:tc>
          <w:tcPr>
            <w:tcW w:w="975" w:type="dxa"/>
            <w:gridSpan w:val="2"/>
            <w:shd w:val="clear" w:color="auto" w:fill="auto"/>
            <w:noWrap/>
            <w:vAlign w:val="bottom"/>
            <w:hideMark/>
          </w:tcPr>
          <w:p w14:paraId="00D9F4F9"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0.015</w:t>
            </w:r>
          </w:p>
        </w:tc>
      </w:tr>
      <w:tr w:rsidR="001C6945" w:rsidRPr="008F5DD0" w14:paraId="21FDDAEF"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070A04E9" w14:textId="77777777" w:rsidR="001C6945" w:rsidRPr="00576A2F" w:rsidRDefault="001C6945" w:rsidP="007272ED">
            <w:pPr>
              <w:spacing w:after="0" w:line="240" w:lineRule="auto"/>
              <w:rPr>
                <w:rFonts w:ascii="Calibri" w:eastAsia="Times New Roman" w:hAnsi="Calibri" w:cs="Calibri"/>
                <w:color w:val="000000"/>
                <w:lang w:eastAsia="en-IE"/>
              </w:rPr>
            </w:pPr>
            <w:r w:rsidRPr="00576A2F">
              <w:rPr>
                <w:rFonts w:ascii="Calibri" w:eastAsia="Times New Roman" w:hAnsi="Calibri" w:cs="Calibri"/>
                <w:color w:val="000000"/>
                <w:lang w:eastAsia="en-IE"/>
              </w:rPr>
              <w:t>Eurozone</w:t>
            </w:r>
          </w:p>
        </w:tc>
        <w:tc>
          <w:tcPr>
            <w:tcW w:w="1036" w:type="dxa"/>
            <w:gridSpan w:val="2"/>
            <w:shd w:val="clear" w:color="auto" w:fill="auto"/>
            <w:noWrap/>
            <w:vAlign w:val="bottom"/>
            <w:hideMark/>
          </w:tcPr>
          <w:p w14:paraId="266B07C8"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-11.664</w:t>
            </w:r>
          </w:p>
        </w:tc>
        <w:tc>
          <w:tcPr>
            <w:tcW w:w="1316" w:type="dxa"/>
            <w:gridSpan w:val="2"/>
            <w:shd w:val="clear" w:color="auto" w:fill="auto"/>
            <w:noWrap/>
            <w:vAlign w:val="bottom"/>
            <w:hideMark/>
          </w:tcPr>
          <w:p w14:paraId="731652C7"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-6.818</w:t>
            </w:r>
          </w:p>
        </w:tc>
        <w:tc>
          <w:tcPr>
            <w:tcW w:w="1177" w:type="dxa"/>
            <w:gridSpan w:val="2"/>
            <w:shd w:val="clear" w:color="auto" w:fill="auto"/>
            <w:noWrap/>
            <w:vAlign w:val="bottom"/>
            <w:hideMark/>
          </w:tcPr>
          <w:p w14:paraId="3A72954E"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-4.019</w:t>
            </w:r>
          </w:p>
        </w:tc>
        <w:tc>
          <w:tcPr>
            <w:tcW w:w="1092" w:type="dxa"/>
            <w:gridSpan w:val="2"/>
            <w:shd w:val="clear" w:color="auto" w:fill="auto"/>
            <w:noWrap/>
            <w:vAlign w:val="bottom"/>
            <w:hideMark/>
          </w:tcPr>
          <w:p w14:paraId="58D6924C"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-14.514</w:t>
            </w:r>
          </w:p>
        </w:tc>
        <w:tc>
          <w:tcPr>
            <w:tcW w:w="1038" w:type="dxa"/>
            <w:gridSpan w:val="2"/>
            <w:shd w:val="clear" w:color="auto" w:fill="auto"/>
            <w:noWrap/>
            <w:vAlign w:val="bottom"/>
            <w:hideMark/>
          </w:tcPr>
          <w:p w14:paraId="3AB759F5"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-9.789</w:t>
            </w:r>
          </w:p>
        </w:tc>
        <w:tc>
          <w:tcPr>
            <w:tcW w:w="1036" w:type="dxa"/>
            <w:gridSpan w:val="2"/>
            <w:shd w:val="clear" w:color="auto" w:fill="auto"/>
            <w:noWrap/>
            <w:vAlign w:val="bottom"/>
            <w:hideMark/>
          </w:tcPr>
          <w:p w14:paraId="2702D882"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-26.008</w:t>
            </w:r>
          </w:p>
        </w:tc>
        <w:tc>
          <w:tcPr>
            <w:tcW w:w="975" w:type="dxa"/>
            <w:gridSpan w:val="2"/>
            <w:shd w:val="clear" w:color="auto" w:fill="auto"/>
            <w:noWrap/>
            <w:vAlign w:val="bottom"/>
            <w:hideMark/>
          </w:tcPr>
          <w:p w14:paraId="3338B829"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-16.977</w:t>
            </w:r>
          </w:p>
        </w:tc>
      </w:tr>
      <w:tr w:rsidR="001C6945" w:rsidRPr="008F5DD0" w14:paraId="79B88918"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22C4B4BB" w14:textId="77777777" w:rsidR="001C6945" w:rsidRPr="00576A2F" w:rsidRDefault="001C6945" w:rsidP="007272ED">
            <w:pPr>
              <w:spacing w:after="0" w:line="240" w:lineRule="auto"/>
              <w:jc w:val="right"/>
              <w:rPr>
                <w:rFonts w:ascii="Calibri" w:eastAsia="Times New Roman" w:hAnsi="Calibri" w:cs="Calibri"/>
                <w:color w:val="000000"/>
                <w:lang w:eastAsia="en-IE"/>
              </w:rPr>
            </w:pPr>
          </w:p>
        </w:tc>
        <w:tc>
          <w:tcPr>
            <w:tcW w:w="1036" w:type="dxa"/>
            <w:gridSpan w:val="2"/>
            <w:shd w:val="clear" w:color="auto" w:fill="auto"/>
            <w:noWrap/>
            <w:vAlign w:val="bottom"/>
            <w:hideMark/>
          </w:tcPr>
          <w:p w14:paraId="6F561C5C"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0.029</w:t>
            </w:r>
          </w:p>
        </w:tc>
        <w:tc>
          <w:tcPr>
            <w:tcW w:w="1316" w:type="dxa"/>
            <w:gridSpan w:val="2"/>
            <w:shd w:val="clear" w:color="auto" w:fill="auto"/>
            <w:noWrap/>
            <w:vAlign w:val="bottom"/>
            <w:hideMark/>
          </w:tcPr>
          <w:p w14:paraId="558AD8A0"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0.179</w:t>
            </w:r>
          </w:p>
        </w:tc>
        <w:tc>
          <w:tcPr>
            <w:tcW w:w="1177" w:type="dxa"/>
            <w:gridSpan w:val="2"/>
            <w:shd w:val="clear" w:color="auto" w:fill="auto"/>
            <w:noWrap/>
            <w:vAlign w:val="bottom"/>
            <w:hideMark/>
          </w:tcPr>
          <w:p w14:paraId="4AA55ED8"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0.665</w:t>
            </w:r>
          </w:p>
        </w:tc>
        <w:tc>
          <w:tcPr>
            <w:tcW w:w="1092" w:type="dxa"/>
            <w:gridSpan w:val="2"/>
            <w:shd w:val="clear" w:color="auto" w:fill="auto"/>
            <w:noWrap/>
            <w:vAlign w:val="bottom"/>
            <w:hideMark/>
          </w:tcPr>
          <w:p w14:paraId="453473D0"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0.002</w:t>
            </w:r>
          </w:p>
        </w:tc>
        <w:tc>
          <w:tcPr>
            <w:tcW w:w="1038" w:type="dxa"/>
            <w:gridSpan w:val="2"/>
            <w:shd w:val="clear" w:color="auto" w:fill="auto"/>
            <w:noWrap/>
            <w:vAlign w:val="bottom"/>
            <w:hideMark/>
          </w:tcPr>
          <w:p w14:paraId="084BC942"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0.000</w:t>
            </w:r>
          </w:p>
        </w:tc>
        <w:tc>
          <w:tcPr>
            <w:tcW w:w="1036" w:type="dxa"/>
            <w:gridSpan w:val="2"/>
            <w:shd w:val="clear" w:color="auto" w:fill="auto"/>
            <w:noWrap/>
            <w:vAlign w:val="bottom"/>
            <w:hideMark/>
          </w:tcPr>
          <w:p w14:paraId="5E74A285"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0.008</w:t>
            </w:r>
          </w:p>
        </w:tc>
        <w:tc>
          <w:tcPr>
            <w:tcW w:w="975" w:type="dxa"/>
            <w:gridSpan w:val="2"/>
            <w:shd w:val="clear" w:color="auto" w:fill="auto"/>
            <w:noWrap/>
            <w:vAlign w:val="bottom"/>
            <w:hideMark/>
          </w:tcPr>
          <w:p w14:paraId="3B8BB556" w14:textId="77777777" w:rsidR="001C6945" w:rsidRPr="00576A2F" w:rsidRDefault="001C6945" w:rsidP="007272ED">
            <w:pPr>
              <w:spacing w:after="0" w:line="240" w:lineRule="auto"/>
              <w:jc w:val="right"/>
              <w:rPr>
                <w:rFonts w:ascii="Calibri" w:eastAsia="Times New Roman" w:hAnsi="Calibri" w:cs="Calibri"/>
                <w:b/>
                <w:bCs/>
                <w:i/>
                <w:iCs/>
                <w:color w:val="000000"/>
                <w:lang w:eastAsia="en-IE"/>
              </w:rPr>
            </w:pPr>
            <w:r w:rsidRPr="00576A2F">
              <w:rPr>
                <w:rFonts w:ascii="Calibri" w:eastAsia="Times New Roman" w:hAnsi="Calibri" w:cs="Calibri"/>
                <w:b/>
                <w:bCs/>
                <w:i/>
                <w:iCs/>
                <w:color w:val="000000"/>
                <w:lang w:eastAsia="en-IE"/>
              </w:rPr>
              <w:t>0.003</w:t>
            </w:r>
          </w:p>
        </w:tc>
      </w:tr>
      <w:tr w:rsidR="001C6945" w:rsidRPr="008F5DD0" w14:paraId="31FD73BD" w14:textId="77777777" w:rsidTr="007272ED">
        <w:tblPrEx>
          <w:tblBorders>
            <w:top w:val="single" w:sz="4" w:space="0" w:color="auto"/>
            <w:left w:val="single" w:sz="4" w:space="0" w:color="auto"/>
            <w:bottom w:val="single" w:sz="4" w:space="0" w:color="auto"/>
            <w:right w:val="single" w:sz="4" w:space="0" w:color="auto"/>
          </w:tblBorders>
        </w:tblPrEx>
        <w:trPr>
          <w:trHeight w:val="285"/>
        </w:trPr>
        <w:tc>
          <w:tcPr>
            <w:tcW w:w="1105" w:type="dxa"/>
            <w:shd w:val="clear" w:color="auto" w:fill="auto"/>
            <w:noWrap/>
            <w:vAlign w:val="bottom"/>
            <w:hideMark/>
          </w:tcPr>
          <w:p w14:paraId="37704A4A" w14:textId="77777777" w:rsidR="001C6945" w:rsidRPr="00576A2F" w:rsidRDefault="001C6945" w:rsidP="007272ED">
            <w:pPr>
              <w:spacing w:after="0" w:line="240" w:lineRule="auto"/>
              <w:rPr>
                <w:rFonts w:ascii="Calibri" w:eastAsia="Times New Roman" w:hAnsi="Calibri" w:cs="Calibri"/>
                <w:color w:val="000000"/>
                <w:lang w:eastAsia="en-IE"/>
              </w:rPr>
            </w:pPr>
            <w:r w:rsidRPr="00576A2F">
              <w:rPr>
                <w:rFonts w:ascii="Calibri" w:eastAsia="Times New Roman" w:hAnsi="Calibri" w:cs="Calibri"/>
                <w:color w:val="000000"/>
                <w:lang w:eastAsia="en-IE"/>
              </w:rPr>
              <w:t>Adj. R2</w:t>
            </w:r>
          </w:p>
        </w:tc>
        <w:tc>
          <w:tcPr>
            <w:tcW w:w="1036" w:type="dxa"/>
            <w:gridSpan w:val="2"/>
            <w:shd w:val="clear" w:color="auto" w:fill="auto"/>
            <w:noWrap/>
            <w:vAlign w:val="bottom"/>
            <w:hideMark/>
          </w:tcPr>
          <w:p w14:paraId="69DEDA5D"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0.819</w:t>
            </w:r>
          </w:p>
        </w:tc>
        <w:tc>
          <w:tcPr>
            <w:tcW w:w="1316" w:type="dxa"/>
            <w:gridSpan w:val="2"/>
            <w:shd w:val="clear" w:color="auto" w:fill="auto"/>
            <w:noWrap/>
            <w:vAlign w:val="bottom"/>
            <w:hideMark/>
          </w:tcPr>
          <w:p w14:paraId="256C07B1"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0.816</w:t>
            </w:r>
          </w:p>
        </w:tc>
        <w:tc>
          <w:tcPr>
            <w:tcW w:w="1177" w:type="dxa"/>
            <w:gridSpan w:val="2"/>
            <w:shd w:val="clear" w:color="auto" w:fill="auto"/>
            <w:noWrap/>
            <w:vAlign w:val="bottom"/>
            <w:hideMark/>
          </w:tcPr>
          <w:p w14:paraId="3C6FC5FA"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0.796</w:t>
            </w:r>
          </w:p>
        </w:tc>
        <w:tc>
          <w:tcPr>
            <w:tcW w:w="1092" w:type="dxa"/>
            <w:gridSpan w:val="2"/>
            <w:shd w:val="clear" w:color="auto" w:fill="auto"/>
            <w:noWrap/>
            <w:vAlign w:val="bottom"/>
            <w:hideMark/>
          </w:tcPr>
          <w:p w14:paraId="270AD5E6"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0.878</w:t>
            </w:r>
          </w:p>
        </w:tc>
        <w:tc>
          <w:tcPr>
            <w:tcW w:w="1038" w:type="dxa"/>
            <w:gridSpan w:val="2"/>
            <w:shd w:val="clear" w:color="auto" w:fill="auto"/>
            <w:noWrap/>
            <w:vAlign w:val="bottom"/>
            <w:hideMark/>
          </w:tcPr>
          <w:p w14:paraId="65BC965E"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0.891</w:t>
            </w:r>
          </w:p>
        </w:tc>
        <w:tc>
          <w:tcPr>
            <w:tcW w:w="1036" w:type="dxa"/>
            <w:gridSpan w:val="2"/>
            <w:shd w:val="clear" w:color="auto" w:fill="auto"/>
            <w:noWrap/>
            <w:vAlign w:val="bottom"/>
            <w:hideMark/>
          </w:tcPr>
          <w:p w14:paraId="0EE18EBC"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0.645</w:t>
            </w:r>
          </w:p>
        </w:tc>
        <w:tc>
          <w:tcPr>
            <w:tcW w:w="975" w:type="dxa"/>
            <w:gridSpan w:val="2"/>
            <w:shd w:val="clear" w:color="auto" w:fill="auto"/>
            <w:noWrap/>
            <w:vAlign w:val="bottom"/>
            <w:hideMark/>
          </w:tcPr>
          <w:p w14:paraId="7E2D7C10" w14:textId="77777777" w:rsidR="001C6945" w:rsidRPr="00576A2F" w:rsidRDefault="001C6945" w:rsidP="007272ED">
            <w:pPr>
              <w:spacing w:after="0" w:line="240" w:lineRule="auto"/>
              <w:jc w:val="right"/>
              <w:rPr>
                <w:rFonts w:ascii="Calibri" w:eastAsia="Times New Roman" w:hAnsi="Calibri" w:cs="Calibri"/>
                <w:color w:val="000000"/>
                <w:lang w:eastAsia="en-IE"/>
              </w:rPr>
            </w:pPr>
            <w:r w:rsidRPr="00576A2F">
              <w:rPr>
                <w:rFonts w:ascii="Calibri" w:eastAsia="Times New Roman" w:hAnsi="Calibri" w:cs="Calibri"/>
                <w:color w:val="000000"/>
                <w:lang w:eastAsia="en-IE"/>
              </w:rPr>
              <w:t>0.856</w:t>
            </w:r>
          </w:p>
        </w:tc>
      </w:tr>
    </w:tbl>
    <w:p w14:paraId="0AC798BF" w14:textId="77777777" w:rsidR="008F5DD0" w:rsidRDefault="00ED02A4" w:rsidP="00D87285">
      <w:pPr>
        <w:spacing w:after="0" w:line="240" w:lineRule="auto"/>
        <w:jc w:val="both"/>
      </w:pPr>
      <w:r>
        <w:t xml:space="preserve">Notes: </w:t>
      </w:r>
      <w:r w:rsidRPr="00535389">
        <w:t xml:space="preserve">The </w:t>
      </w:r>
      <w:r>
        <w:t xml:space="preserve">OLS </w:t>
      </w:r>
      <w:r w:rsidRPr="00535389">
        <w:t>regressions estimate the relation between</w:t>
      </w:r>
      <w:r>
        <w:t xml:space="preserve"> </w:t>
      </w:r>
      <w:r w:rsidRPr="00535389">
        <w:t>diversification indexes</w:t>
      </w:r>
      <w:r>
        <w:t xml:space="preserve"> </w:t>
      </w:r>
      <w:r w:rsidRPr="00535389">
        <w:t xml:space="preserve">and proxies for macro-financial and developmental factors.  </w:t>
      </w:r>
      <w:r w:rsidRPr="003E2028">
        <w:t xml:space="preserve">Definitions of the independent variables considered for the regressions and their data sources are given in Table 5.  </w:t>
      </w:r>
      <w:r>
        <w:t>The relation is examined for a combination of a</w:t>
      </w:r>
      <w:r w:rsidRPr="007941D8">
        <w:t xml:space="preserve">ll Assets, </w:t>
      </w:r>
      <w:r>
        <w:t xml:space="preserve">all </w:t>
      </w:r>
      <w:r w:rsidRPr="007941D8">
        <w:t>Equit</w:t>
      </w:r>
      <w:r>
        <w:t xml:space="preserve">ies, Equities for developed and emerging markets, All </w:t>
      </w:r>
      <w:r w:rsidRPr="007941D8">
        <w:t>Bond</w:t>
      </w:r>
      <w:r>
        <w:t xml:space="preserve">s, All </w:t>
      </w:r>
      <w:r w:rsidRPr="007941D8">
        <w:t>REIT</w:t>
      </w:r>
      <w:r>
        <w:t>s</w:t>
      </w:r>
      <w:r w:rsidRPr="007941D8">
        <w:t xml:space="preserve">, </w:t>
      </w:r>
      <w:r>
        <w:t xml:space="preserve">and all assets for </w:t>
      </w:r>
      <w:proofErr w:type="gramStart"/>
      <w:r>
        <w:t>a number of</w:t>
      </w:r>
      <w:proofErr w:type="gramEnd"/>
      <w:r>
        <w:t xml:space="preserve"> specific countries.  The regressions for the individual countries are for those </w:t>
      </w:r>
      <w:r w:rsidRPr="000F596B">
        <w:t xml:space="preserve">where the three asset classes, equities, </w:t>
      </w:r>
      <w:proofErr w:type="gramStart"/>
      <w:r w:rsidRPr="000F596B">
        <w:t>bonds</w:t>
      </w:r>
      <w:proofErr w:type="gramEnd"/>
      <w:r w:rsidRPr="000F596B">
        <w:t xml:space="preserve"> and REITs are available. </w:t>
      </w:r>
      <w:r w:rsidRPr="00535389">
        <w:t xml:space="preserve">P-values are in </w:t>
      </w:r>
      <w:r>
        <w:t>bold and italics</w:t>
      </w:r>
      <w:r w:rsidRPr="00535389">
        <w:t xml:space="preserve">. </w:t>
      </w:r>
    </w:p>
    <w:p w14:paraId="7E906770" w14:textId="77777777" w:rsidR="008F5DD0" w:rsidRPr="008F5DD0" w:rsidRDefault="008F5DD0" w:rsidP="00D87285">
      <w:pPr>
        <w:spacing w:after="0" w:line="240" w:lineRule="auto"/>
        <w:jc w:val="both"/>
        <w:rPr>
          <w:rFonts w:ascii="Calibri" w:eastAsia="Calibri" w:hAnsi="Calibri" w:cs="Times New Roman"/>
        </w:rPr>
      </w:pPr>
      <w:r w:rsidRPr="008F5DD0">
        <w:rPr>
          <w:rFonts w:ascii="Calibri" w:eastAsia="Calibri" w:hAnsi="Calibri" w:cs="Times New Roman"/>
        </w:rPr>
        <w:t xml:space="preserve">Our analysis examines a multitude of specifications for the relationship between the diversification indexes and their drivers.  The results reported throughout the text look at a regression of the levels of all variables both left-and-right-hand side. We also looked at regressions with the change in levels of all variables, the change in levels of internet only, the change in levels of all right-hand side variables, and a relationship between lagged right-hand side variables and contemporaneous diversification.  The findings are consistent for these different models with an illustration of the findings for the relationship between the diversification indexes with the level of all right-hand side variables except for the change in levels of internet presented at the bottom of the table.  </w:t>
      </w:r>
    </w:p>
    <w:p w14:paraId="2DACE7BB" w14:textId="77777777" w:rsidR="00ED02A4" w:rsidRPr="001D5400" w:rsidRDefault="00ED02A4" w:rsidP="00ED02A4">
      <w:pPr>
        <w:spacing w:after="0" w:line="240" w:lineRule="auto"/>
        <w:jc w:val="center"/>
        <w:rPr>
          <w:rFonts w:ascii="Calibri" w:eastAsia="Times New Roman" w:hAnsi="Calibri" w:cs="Times New Roman"/>
          <w:b/>
          <w:bCs/>
          <w:color w:val="000000"/>
          <w:sz w:val="24"/>
          <w:szCs w:val="24"/>
          <w:lang w:eastAsia="en-IE"/>
        </w:rPr>
      </w:pPr>
      <w:r w:rsidRPr="001D5400">
        <w:rPr>
          <w:rFonts w:ascii="Calibri" w:eastAsia="Times New Roman" w:hAnsi="Calibri" w:cs="Times New Roman"/>
          <w:b/>
          <w:bCs/>
          <w:color w:val="000000"/>
          <w:sz w:val="24"/>
          <w:szCs w:val="24"/>
          <w:lang w:eastAsia="en-IE"/>
        </w:rPr>
        <w:lastRenderedPageBreak/>
        <w:t xml:space="preserve">Table </w:t>
      </w:r>
      <w:r>
        <w:rPr>
          <w:rFonts w:ascii="Calibri" w:eastAsia="Times New Roman" w:hAnsi="Calibri" w:cs="Times New Roman"/>
          <w:b/>
          <w:bCs/>
          <w:color w:val="000000"/>
          <w:sz w:val="24"/>
          <w:szCs w:val="24"/>
          <w:lang w:eastAsia="en-IE"/>
        </w:rPr>
        <w:t>8</w:t>
      </w:r>
    </w:p>
    <w:p w14:paraId="5D42AF46" w14:textId="77777777" w:rsidR="00ED02A4" w:rsidRDefault="00ED02A4" w:rsidP="00ED02A4">
      <w:pPr>
        <w:jc w:val="center"/>
        <w:rPr>
          <w:rFonts w:ascii="Calibri" w:eastAsia="Times New Roman" w:hAnsi="Calibri" w:cs="Times New Roman"/>
          <w:b/>
          <w:bCs/>
          <w:color w:val="000000"/>
          <w:sz w:val="24"/>
          <w:szCs w:val="24"/>
          <w:lang w:eastAsia="en-IE"/>
        </w:rPr>
      </w:pPr>
      <w:r w:rsidRPr="001D5400">
        <w:rPr>
          <w:rFonts w:ascii="Calibri" w:eastAsia="Times New Roman" w:hAnsi="Calibri" w:cs="Times New Roman"/>
          <w:b/>
          <w:bCs/>
          <w:color w:val="000000"/>
          <w:sz w:val="24"/>
          <w:szCs w:val="24"/>
          <w:lang w:eastAsia="en-IE"/>
        </w:rPr>
        <w:t>Panel Regression Analysis of Diversification</w:t>
      </w:r>
      <w:r>
        <w:rPr>
          <w:rFonts w:ascii="Calibri" w:eastAsia="Times New Roman" w:hAnsi="Calibri" w:cs="Times New Roman"/>
          <w:b/>
          <w:bCs/>
          <w:color w:val="000000"/>
          <w:sz w:val="24"/>
          <w:szCs w:val="24"/>
          <w:lang w:eastAsia="en-IE"/>
        </w:rPr>
        <w:t xml:space="preserve"> </w:t>
      </w:r>
      <w:r w:rsidRPr="001D5400">
        <w:rPr>
          <w:rFonts w:ascii="Calibri" w:eastAsia="Times New Roman" w:hAnsi="Calibri" w:cs="Times New Roman"/>
          <w:b/>
          <w:bCs/>
          <w:color w:val="000000"/>
          <w:sz w:val="24"/>
          <w:szCs w:val="24"/>
          <w:lang w:eastAsia="en-IE"/>
        </w:rPr>
        <w:t>Indexes</w:t>
      </w:r>
      <w:r>
        <w:rPr>
          <w:rFonts w:ascii="Calibri" w:eastAsia="Times New Roman" w:hAnsi="Calibri" w:cs="Times New Roman"/>
          <w:b/>
          <w:bCs/>
          <w:color w:val="000000"/>
          <w:sz w:val="24"/>
          <w:szCs w:val="24"/>
          <w:lang w:eastAsia="en-IE"/>
        </w:rPr>
        <w:t xml:space="preserve"> with Global and Country Developmental Factors</w:t>
      </w:r>
    </w:p>
    <w:tbl>
      <w:tblPr>
        <w:tblW w:w="10186" w:type="dxa"/>
        <w:tblInd w:w="103" w:type="dxa"/>
        <w:tblLook w:val="04A0" w:firstRow="1" w:lastRow="0" w:firstColumn="1" w:lastColumn="0" w:noHBand="0" w:noVBand="1"/>
      </w:tblPr>
      <w:tblGrid>
        <w:gridCol w:w="1520"/>
        <w:gridCol w:w="851"/>
        <w:gridCol w:w="1019"/>
        <w:gridCol w:w="1019"/>
        <w:gridCol w:w="963"/>
        <w:gridCol w:w="963"/>
        <w:gridCol w:w="963"/>
        <w:gridCol w:w="961"/>
        <w:gridCol w:w="960"/>
        <w:gridCol w:w="967"/>
      </w:tblGrid>
      <w:tr w:rsidR="00ED02A4" w:rsidRPr="007256AA" w14:paraId="0F180B85" w14:textId="77777777" w:rsidTr="00367A87">
        <w:trPr>
          <w:trHeight w:val="288"/>
        </w:trPr>
        <w:tc>
          <w:tcPr>
            <w:tcW w:w="1520" w:type="dxa"/>
            <w:tcBorders>
              <w:top w:val="single" w:sz="4" w:space="0" w:color="auto"/>
              <w:left w:val="single" w:sz="4" w:space="0" w:color="auto"/>
              <w:bottom w:val="nil"/>
              <w:right w:val="nil"/>
            </w:tcBorders>
            <w:shd w:val="clear" w:color="auto" w:fill="auto"/>
            <w:noWrap/>
            <w:vAlign w:val="bottom"/>
            <w:hideMark/>
          </w:tcPr>
          <w:p w14:paraId="624AEF10"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c>
          <w:tcPr>
            <w:tcW w:w="2889" w:type="dxa"/>
            <w:gridSpan w:val="3"/>
            <w:tcBorders>
              <w:top w:val="single" w:sz="4" w:space="0" w:color="auto"/>
              <w:left w:val="nil"/>
              <w:bottom w:val="nil"/>
              <w:right w:val="nil"/>
            </w:tcBorders>
            <w:shd w:val="clear" w:color="auto" w:fill="auto"/>
            <w:noWrap/>
            <w:vAlign w:val="bottom"/>
            <w:hideMark/>
          </w:tcPr>
          <w:p w14:paraId="6FC22275" w14:textId="77777777" w:rsidR="00ED02A4" w:rsidRPr="007256AA" w:rsidRDefault="00ED02A4" w:rsidP="00367A87">
            <w:pPr>
              <w:spacing w:after="0" w:line="240" w:lineRule="auto"/>
              <w:jc w:val="center"/>
              <w:rPr>
                <w:rFonts w:ascii="Calibri" w:eastAsia="Times New Roman" w:hAnsi="Calibri" w:cs="Calibri"/>
                <w:color w:val="000000"/>
                <w:lang w:eastAsia="en-IE"/>
              </w:rPr>
            </w:pPr>
            <w:r w:rsidRPr="007256AA">
              <w:rPr>
                <w:rFonts w:ascii="Calibri" w:eastAsia="Times New Roman" w:hAnsi="Calibri" w:cs="Calibri"/>
                <w:color w:val="000000"/>
                <w:lang w:eastAsia="en-IE"/>
              </w:rPr>
              <w:t>Global Internet</w:t>
            </w:r>
          </w:p>
        </w:tc>
        <w:tc>
          <w:tcPr>
            <w:tcW w:w="2889" w:type="dxa"/>
            <w:gridSpan w:val="3"/>
            <w:tcBorders>
              <w:top w:val="single" w:sz="4" w:space="0" w:color="auto"/>
              <w:left w:val="nil"/>
              <w:bottom w:val="nil"/>
              <w:right w:val="nil"/>
            </w:tcBorders>
            <w:shd w:val="clear" w:color="auto" w:fill="auto"/>
            <w:noWrap/>
            <w:vAlign w:val="bottom"/>
            <w:hideMark/>
          </w:tcPr>
          <w:p w14:paraId="05B0E70E" w14:textId="77777777" w:rsidR="00ED02A4" w:rsidRPr="007256AA" w:rsidRDefault="00ED02A4" w:rsidP="00367A87">
            <w:pPr>
              <w:spacing w:after="0" w:line="240" w:lineRule="auto"/>
              <w:jc w:val="center"/>
              <w:rPr>
                <w:rFonts w:ascii="Calibri" w:eastAsia="Times New Roman" w:hAnsi="Calibri" w:cs="Calibri"/>
                <w:color w:val="000000"/>
                <w:lang w:eastAsia="en-IE"/>
              </w:rPr>
            </w:pPr>
            <w:r w:rsidRPr="007256AA">
              <w:rPr>
                <w:rFonts w:ascii="Calibri" w:eastAsia="Times New Roman" w:hAnsi="Calibri" w:cs="Calibri"/>
                <w:color w:val="000000"/>
                <w:lang w:eastAsia="en-IE"/>
              </w:rPr>
              <w:t>Country Internet</w:t>
            </w:r>
          </w:p>
        </w:tc>
        <w:tc>
          <w:tcPr>
            <w:tcW w:w="2888" w:type="dxa"/>
            <w:gridSpan w:val="3"/>
            <w:tcBorders>
              <w:top w:val="single" w:sz="4" w:space="0" w:color="auto"/>
              <w:left w:val="nil"/>
              <w:bottom w:val="nil"/>
              <w:right w:val="single" w:sz="4" w:space="0" w:color="000000"/>
            </w:tcBorders>
            <w:shd w:val="clear" w:color="auto" w:fill="auto"/>
            <w:noWrap/>
            <w:vAlign w:val="bottom"/>
            <w:hideMark/>
          </w:tcPr>
          <w:p w14:paraId="6E9CC3FF"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1st PC as Developmental Factor</w:t>
            </w:r>
          </w:p>
        </w:tc>
      </w:tr>
      <w:tr w:rsidR="00ED02A4" w:rsidRPr="007256AA" w14:paraId="5369FBDE"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287EA6CA"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c>
          <w:tcPr>
            <w:tcW w:w="851" w:type="dxa"/>
            <w:tcBorders>
              <w:top w:val="nil"/>
              <w:left w:val="nil"/>
              <w:bottom w:val="nil"/>
              <w:right w:val="nil"/>
            </w:tcBorders>
            <w:shd w:val="clear" w:color="auto" w:fill="auto"/>
            <w:noWrap/>
            <w:vAlign w:val="bottom"/>
            <w:hideMark/>
          </w:tcPr>
          <w:p w14:paraId="1DD15313"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Equity</w:t>
            </w:r>
          </w:p>
        </w:tc>
        <w:tc>
          <w:tcPr>
            <w:tcW w:w="1019" w:type="dxa"/>
            <w:tcBorders>
              <w:top w:val="nil"/>
              <w:left w:val="nil"/>
              <w:bottom w:val="nil"/>
              <w:right w:val="nil"/>
            </w:tcBorders>
            <w:shd w:val="clear" w:color="auto" w:fill="auto"/>
            <w:noWrap/>
            <w:vAlign w:val="bottom"/>
            <w:hideMark/>
          </w:tcPr>
          <w:p w14:paraId="026CC285"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Bond</w:t>
            </w:r>
          </w:p>
        </w:tc>
        <w:tc>
          <w:tcPr>
            <w:tcW w:w="1019" w:type="dxa"/>
            <w:tcBorders>
              <w:top w:val="nil"/>
              <w:left w:val="nil"/>
              <w:bottom w:val="nil"/>
              <w:right w:val="nil"/>
            </w:tcBorders>
            <w:shd w:val="clear" w:color="auto" w:fill="auto"/>
            <w:noWrap/>
            <w:vAlign w:val="bottom"/>
            <w:hideMark/>
          </w:tcPr>
          <w:p w14:paraId="216F07CA"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REIT</w:t>
            </w:r>
          </w:p>
        </w:tc>
        <w:tc>
          <w:tcPr>
            <w:tcW w:w="963" w:type="dxa"/>
            <w:tcBorders>
              <w:top w:val="nil"/>
              <w:left w:val="nil"/>
              <w:bottom w:val="nil"/>
              <w:right w:val="nil"/>
            </w:tcBorders>
            <w:shd w:val="clear" w:color="auto" w:fill="auto"/>
            <w:noWrap/>
            <w:vAlign w:val="bottom"/>
            <w:hideMark/>
          </w:tcPr>
          <w:p w14:paraId="3B8A8EF3"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Equity</w:t>
            </w:r>
          </w:p>
        </w:tc>
        <w:tc>
          <w:tcPr>
            <w:tcW w:w="963" w:type="dxa"/>
            <w:tcBorders>
              <w:top w:val="nil"/>
              <w:left w:val="nil"/>
              <w:bottom w:val="nil"/>
              <w:right w:val="nil"/>
            </w:tcBorders>
            <w:shd w:val="clear" w:color="auto" w:fill="auto"/>
            <w:noWrap/>
            <w:vAlign w:val="bottom"/>
            <w:hideMark/>
          </w:tcPr>
          <w:p w14:paraId="4D9AE475"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Bond</w:t>
            </w:r>
          </w:p>
        </w:tc>
        <w:tc>
          <w:tcPr>
            <w:tcW w:w="963" w:type="dxa"/>
            <w:tcBorders>
              <w:top w:val="nil"/>
              <w:left w:val="nil"/>
              <w:bottom w:val="nil"/>
              <w:right w:val="nil"/>
            </w:tcBorders>
            <w:shd w:val="clear" w:color="auto" w:fill="auto"/>
            <w:noWrap/>
            <w:vAlign w:val="bottom"/>
            <w:hideMark/>
          </w:tcPr>
          <w:p w14:paraId="4A3B30B9"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REIT</w:t>
            </w:r>
          </w:p>
        </w:tc>
        <w:tc>
          <w:tcPr>
            <w:tcW w:w="961" w:type="dxa"/>
            <w:tcBorders>
              <w:top w:val="nil"/>
              <w:left w:val="nil"/>
              <w:bottom w:val="nil"/>
              <w:right w:val="nil"/>
            </w:tcBorders>
            <w:shd w:val="clear" w:color="auto" w:fill="auto"/>
            <w:noWrap/>
            <w:vAlign w:val="bottom"/>
            <w:hideMark/>
          </w:tcPr>
          <w:p w14:paraId="5BC90957"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Equity</w:t>
            </w:r>
          </w:p>
        </w:tc>
        <w:tc>
          <w:tcPr>
            <w:tcW w:w="960" w:type="dxa"/>
            <w:tcBorders>
              <w:top w:val="nil"/>
              <w:left w:val="nil"/>
              <w:bottom w:val="nil"/>
              <w:right w:val="nil"/>
            </w:tcBorders>
            <w:shd w:val="clear" w:color="auto" w:fill="auto"/>
            <w:noWrap/>
            <w:vAlign w:val="bottom"/>
            <w:hideMark/>
          </w:tcPr>
          <w:p w14:paraId="4A782A2B"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Bond</w:t>
            </w:r>
          </w:p>
        </w:tc>
        <w:tc>
          <w:tcPr>
            <w:tcW w:w="967" w:type="dxa"/>
            <w:tcBorders>
              <w:top w:val="nil"/>
              <w:left w:val="nil"/>
              <w:bottom w:val="nil"/>
              <w:right w:val="single" w:sz="4" w:space="0" w:color="auto"/>
            </w:tcBorders>
            <w:shd w:val="clear" w:color="auto" w:fill="auto"/>
            <w:noWrap/>
            <w:vAlign w:val="bottom"/>
            <w:hideMark/>
          </w:tcPr>
          <w:p w14:paraId="7EF68C1C"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REIT</w:t>
            </w:r>
          </w:p>
        </w:tc>
      </w:tr>
      <w:tr w:rsidR="00ED02A4" w:rsidRPr="007256AA" w14:paraId="395914C4"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23F04A7E"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TED</w:t>
            </w:r>
          </w:p>
        </w:tc>
        <w:tc>
          <w:tcPr>
            <w:tcW w:w="851" w:type="dxa"/>
            <w:tcBorders>
              <w:top w:val="nil"/>
              <w:left w:val="nil"/>
              <w:bottom w:val="nil"/>
              <w:right w:val="nil"/>
            </w:tcBorders>
            <w:shd w:val="clear" w:color="auto" w:fill="auto"/>
            <w:noWrap/>
            <w:vAlign w:val="bottom"/>
            <w:hideMark/>
          </w:tcPr>
          <w:p w14:paraId="54668B41" w14:textId="02AC1ABD" w:rsidR="00ED02A4" w:rsidRPr="007256AA" w:rsidRDefault="00171AB7" w:rsidP="00367A87">
            <w:pPr>
              <w:spacing w:after="0" w:line="240" w:lineRule="auto"/>
              <w:jc w:val="right"/>
              <w:rPr>
                <w:rFonts w:ascii="Calibri" w:eastAsia="Times New Roman" w:hAnsi="Calibri" w:cs="Calibri"/>
                <w:color w:val="000000"/>
                <w:lang w:eastAsia="en-IE"/>
              </w:rPr>
            </w:pPr>
            <w:r>
              <w:t>-3.333</w:t>
            </w:r>
          </w:p>
        </w:tc>
        <w:tc>
          <w:tcPr>
            <w:tcW w:w="1019" w:type="dxa"/>
            <w:tcBorders>
              <w:top w:val="nil"/>
              <w:left w:val="nil"/>
              <w:bottom w:val="nil"/>
              <w:right w:val="nil"/>
            </w:tcBorders>
            <w:shd w:val="clear" w:color="auto" w:fill="auto"/>
            <w:noWrap/>
            <w:vAlign w:val="bottom"/>
            <w:hideMark/>
          </w:tcPr>
          <w:p w14:paraId="7CF92163" w14:textId="7875F545" w:rsidR="00ED02A4" w:rsidRPr="007256AA" w:rsidRDefault="00171AB7" w:rsidP="00367A87">
            <w:pPr>
              <w:spacing w:after="0" w:line="240" w:lineRule="auto"/>
              <w:jc w:val="right"/>
              <w:rPr>
                <w:rFonts w:ascii="Calibri" w:eastAsia="Times New Roman" w:hAnsi="Calibri" w:cs="Calibri"/>
                <w:color w:val="000000"/>
                <w:lang w:eastAsia="en-IE"/>
              </w:rPr>
            </w:pPr>
            <w:r>
              <w:t>-1.969</w:t>
            </w:r>
          </w:p>
        </w:tc>
        <w:tc>
          <w:tcPr>
            <w:tcW w:w="1019" w:type="dxa"/>
            <w:tcBorders>
              <w:top w:val="nil"/>
              <w:left w:val="nil"/>
              <w:bottom w:val="nil"/>
              <w:right w:val="nil"/>
            </w:tcBorders>
            <w:shd w:val="clear" w:color="auto" w:fill="auto"/>
            <w:noWrap/>
            <w:vAlign w:val="bottom"/>
            <w:hideMark/>
          </w:tcPr>
          <w:p w14:paraId="7C82DEED" w14:textId="7058B4B1" w:rsidR="00ED02A4" w:rsidRPr="007256AA" w:rsidRDefault="00171AB7" w:rsidP="00367A87">
            <w:pPr>
              <w:spacing w:after="0" w:line="240" w:lineRule="auto"/>
              <w:jc w:val="right"/>
              <w:rPr>
                <w:rFonts w:ascii="Calibri" w:eastAsia="Times New Roman" w:hAnsi="Calibri" w:cs="Calibri"/>
                <w:color w:val="000000"/>
                <w:lang w:eastAsia="en-IE"/>
              </w:rPr>
            </w:pPr>
            <w:r>
              <w:rPr>
                <w:rFonts w:ascii="Calibri" w:eastAsia="Times New Roman" w:hAnsi="Calibri" w:cs="Calibri"/>
                <w:color w:val="000000"/>
                <w:lang w:eastAsia="en-IE"/>
              </w:rPr>
              <w:t>-10.900</w:t>
            </w:r>
          </w:p>
        </w:tc>
        <w:tc>
          <w:tcPr>
            <w:tcW w:w="963" w:type="dxa"/>
            <w:tcBorders>
              <w:top w:val="nil"/>
              <w:left w:val="nil"/>
              <w:bottom w:val="nil"/>
              <w:right w:val="nil"/>
            </w:tcBorders>
            <w:shd w:val="clear" w:color="auto" w:fill="auto"/>
            <w:noWrap/>
            <w:vAlign w:val="bottom"/>
            <w:hideMark/>
          </w:tcPr>
          <w:p w14:paraId="43AF35FD" w14:textId="5BC0E7DB" w:rsidR="00ED02A4" w:rsidRPr="007256AA" w:rsidRDefault="003724F1" w:rsidP="00367A87">
            <w:pPr>
              <w:spacing w:after="0" w:line="240" w:lineRule="auto"/>
              <w:jc w:val="right"/>
              <w:rPr>
                <w:rFonts w:ascii="Calibri" w:eastAsia="Times New Roman" w:hAnsi="Calibri" w:cs="Calibri"/>
                <w:color w:val="000000"/>
                <w:lang w:eastAsia="en-IE"/>
              </w:rPr>
            </w:pPr>
            <w:r>
              <w:t>-5.962</w:t>
            </w:r>
          </w:p>
        </w:tc>
        <w:tc>
          <w:tcPr>
            <w:tcW w:w="963" w:type="dxa"/>
            <w:tcBorders>
              <w:top w:val="nil"/>
              <w:left w:val="nil"/>
              <w:bottom w:val="nil"/>
              <w:right w:val="nil"/>
            </w:tcBorders>
            <w:shd w:val="clear" w:color="auto" w:fill="auto"/>
            <w:noWrap/>
            <w:vAlign w:val="bottom"/>
            <w:hideMark/>
          </w:tcPr>
          <w:p w14:paraId="33B7098C" w14:textId="3360F52D" w:rsidR="00ED02A4" w:rsidRPr="007256AA" w:rsidRDefault="00EE6318" w:rsidP="00367A87">
            <w:pPr>
              <w:spacing w:after="0" w:line="240" w:lineRule="auto"/>
              <w:jc w:val="right"/>
              <w:rPr>
                <w:rFonts w:ascii="Calibri" w:eastAsia="Times New Roman" w:hAnsi="Calibri" w:cs="Calibri"/>
                <w:color w:val="000000"/>
                <w:lang w:eastAsia="en-IE"/>
              </w:rPr>
            </w:pPr>
            <w:r>
              <w:t>-3.140</w:t>
            </w:r>
          </w:p>
        </w:tc>
        <w:tc>
          <w:tcPr>
            <w:tcW w:w="963" w:type="dxa"/>
            <w:tcBorders>
              <w:top w:val="nil"/>
              <w:left w:val="nil"/>
              <w:bottom w:val="nil"/>
              <w:right w:val="nil"/>
            </w:tcBorders>
            <w:shd w:val="clear" w:color="auto" w:fill="auto"/>
            <w:noWrap/>
            <w:vAlign w:val="bottom"/>
            <w:hideMark/>
          </w:tcPr>
          <w:p w14:paraId="0FF60326"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-23.034</w:t>
            </w:r>
          </w:p>
        </w:tc>
        <w:tc>
          <w:tcPr>
            <w:tcW w:w="961" w:type="dxa"/>
            <w:tcBorders>
              <w:top w:val="nil"/>
              <w:left w:val="nil"/>
              <w:bottom w:val="nil"/>
              <w:right w:val="nil"/>
            </w:tcBorders>
            <w:shd w:val="clear" w:color="auto" w:fill="auto"/>
            <w:noWrap/>
            <w:vAlign w:val="bottom"/>
            <w:hideMark/>
          </w:tcPr>
          <w:p w14:paraId="6BE380A0" w14:textId="561F6481" w:rsidR="00ED02A4" w:rsidRPr="007256AA" w:rsidRDefault="00EE6318" w:rsidP="00367A87">
            <w:pPr>
              <w:spacing w:after="0" w:line="240" w:lineRule="auto"/>
              <w:jc w:val="right"/>
              <w:rPr>
                <w:rFonts w:ascii="Calibri" w:eastAsia="Times New Roman" w:hAnsi="Calibri" w:cs="Calibri"/>
                <w:color w:val="000000"/>
                <w:lang w:eastAsia="en-IE"/>
              </w:rPr>
            </w:pPr>
            <w:r>
              <w:t>-3.869</w:t>
            </w:r>
          </w:p>
        </w:tc>
        <w:tc>
          <w:tcPr>
            <w:tcW w:w="960" w:type="dxa"/>
            <w:tcBorders>
              <w:top w:val="nil"/>
              <w:left w:val="nil"/>
              <w:bottom w:val="nil"/>
              <w:right w:val="nil"/>
            </w:tcBorders>
            <w:shd w:val="clear" w:color="auto" w:fill="auto"/>
            <w:noWrap/>
            <w:vAlign w:val="bottom"/>
            <w:hideMark/>
          </w:tcPr>
          <w:p w14:paraId="11CA6055" w14:textId="1E2EF45F" w:rsidR="00ED02A4" w:rsidRPr="007256AA" w:rsidRDefault="00E833E9" w:rsidP="00367A87">
            <w:pPr>
              <w:spacing w:after="0" w:line="240" w:lineRule="auto"/>
              <w:jc w:val="right"/>
              <w:rPr>
                <w:rFonts w:ascii="Calibri" w:eastAsia="Times New Roman" w:hAnsi="Calibri" w:cs="Calibri"/>
                <w:color w:val="000000"/>
                <w:lang w:eastAsia="en-IE"/>
              </w:rPr>
            </w:pPr>
            <w:r>
              <w:t>-0.588</w:t>
            </w:r>
          </w:p>
        </w:tc>
        <w:tc>
          <w:tcPr>
            <w:tcW w:w="967" w:type="dxa"/>
            <w:tcBorders>
              <w:top w:val="nil"/>
              <w:left w:val="nil"/>
              <w:bottom w:val="nil"/>
              <w:right w:val="single" w:sz="4" w:space="0" w:color="auto"/>
            </w:tcBorders>
            <w:shd w:val="clear" w:color="auto" w:fill="auto"/>
            <w:noWrap/>
            <w:vAlign w:val="bottom"/>
            <w:hideMark/>
          </w:tcPr>
          <w:p w14:paraId="1BDE4711" w14:textId="0880650F" w:rsidR="00ED02A4" w:rsidRPr="007256AA" w:rsidRDefault="00517DE4" w:rsidP="00367A87">
            <w:pPr>
              <w:spacing w:after="0" w:line="240" w:lineRule="auto"/>
              <w:jc w:val="right"/>
              <w:rPr>
                <w:rFonts w:ascii="Calibri" w:eastAsia="Times New Roman" w:hAnsi="Calibri" w:cs="Calibri"/>
                <w:color w:val="000000"/>
                <w:lang w:eastAsia="en-IE"/>
              </w:rPr>
            </w:pPr>
            <w:r>
              <w:t>-11.58</w:t>
            </w:r>
            <w:r>
              <w:t>0</w:t>
            </w:r>
          </w:p>
        </w:tc>
      </w:tr>
      <w:tr w:rsidR="00ED02A4" w:rsidRPr="007256AA" w14:paraId="0A7EA13F"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297E88E2"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851" w:type="dxa"/>
            <w:tcBorders>
              <w:top w:val="nil"/>
              <w:left w:val="nil"/>
              <w:bottom w:val="nil"/>
              <w:right w:val="nil"/>
            </w:tcBorders>
            <w:shd w:val="clear" w:color="auto" w:fill="auto"/>
            <w:noWrap/>
            <w:vAlign w:val="bottom"/>
            <w:hideMark/>
          </w:tcPr>
          <w:p w14:paraId="76560C3B" w14:textId="6671068B"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171AB7">
              <w:rPr>
                <w:rFonts w:ascii="Calibri" w:eastAsia="Times New Roman" w:hAnsi="Calibri" w:cs="Calibri"/>
                <w:b/>
                <w:bCs/>
                <w:i/>
                <w:iCs/>
                <w:color w:val="000000"/>
                <w:lang w:eastAsia="en-IE"/>
              </w:rPr>
              <w:t>000</w:t>
            </w:r>
          </w:p>
        </w:tc>
        <w:tc>
          <w:tcPr>
            <w:tcW w:w="1019" w:type="dxa"/>
            <w:tcBorders>
              <w:top w:val="nil"/>
              <w:left w:val="nil"/>
              <w:bottom w:val="nil"/>
              <w:right w:val="nil"/>
            </w:tcBorders>
            <w:shd w:val="clear" w:color="auto" w:fill="auto"/>
            <w:noWrap/>
            <w:vAlign w:val="bottom"/>
            <w:hideMark/>
          </w:tcPr>
          <w:p w14:paraId="5E20343C" w14:textId="39513005"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171AB7">
              <w:rPr>
                <w:rFonts w:ascii="Calibri" w:eastAsia="Times New Roman" w:hAnsi="Calibri" w:cs="Calibri"/>
                <w:b/>
                <w:bCs/>
                <w:i/>
                <w:iCs/>
                <w:color w:val="000000"/>
                <w:lang w:eastAsia="en-IE"/>
              </w:rPr>
              <w:t>11</w:t>
            </w:r>
            <w:r w:rsidRPr="007256AA">
              <w:rPr>
                <w:rFonts w:ascii="Calibri" w:eastAsia="Times New Roman" w:hAnsi="Calibri" w:cs="Calibri"/>
                <w:b/>
                <w:bCs/>
                <w:i/>
                <w:iCs/>
                <w:color w:val="000000"/>
                <w:lang w:eastAsia="en-IE"/>
              </w:rPr>
              <w:t>0</w:t>
            </w:r>
          </w:p>
        </w:tc>
        <w:tc>
          <w:tcPr>
            <w:tcW w:w="1019" w:type="dxa"/>
            <w:tcBorders>
              <w:top w:val="nil"/>
              <w:left w:val="nil"/>
              <w:bottom w:val="nil"/>
              <w:right w:val="nil"/>
            </w:tcBorders>
            <w:shd w:val="clear" w:color="auto" w:fill="auto"/>
            <w:noWrap/>
            <w:vAlign w:val="bottom"/>
            <w:hideMark/>
          </w:tcPr>
          <w:p w14:paraId="1480C4EE" w14:textId="50265F72"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w:t>
            </w:r>
            <w:r w:rsidR="00171AB7">
              <w:rPr>
                <w:rFonts w:ascii="Calibri" w:eastAsia="Times New Roman" w:hAnsi="Calibri" w:cs="Calibri"/>
                <w:b/>
                <w:bCs/>
                <w:i/>
                <w:iCs/>
                <w:color w:val="000000"/>
                <w:lang w:eastAsia="en-IE"/>
              </w:rPr>
              <w:t>0</w:t>
            </w:r>
          </w:p>
        </w:tc>
        <w:tc>
          <w:tcPr>
            <w:tcW w:w="963" w:type="dxa"/>
            <w:tcBorders>
              <w:top w:val="nil"/>
              <w:left w:val="nil"/>
              <w:bottom w:val="nil"/>
              <w:right w:val="nil"/>
            </w:tcBorders>
            <w:shd w:val="clear" w:color="auto" w:fill="auto"/>
            <w:noWrap/>
            <w:vAlign w:val="bottom"/>
            <w:hideMark/>
          </w:tcPr>
          <w:p w14:paraId="2B0F9DDA" w14:textId="0985B024"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w:t>
            </w:r>
            <w:r w:rsidR="003724F1">
              <w:rPr>
                <w:rFonts w:ascii="Calibri" w:eastAsia="Times New Roman" w:hAnsi="Calibri" w:cs="Calibri"/>
                <w:b/>
                <w:bCs/>
                <w:i/>
                <w:iCs/>
                <w:color w:val="000000"/>
                <w:lang w:eastAsia="en-IE"/>
              </w:rPr>
              <w:t>0</w:t>
            </w:r>
          </w:p>
        </w:tc>
        <w:tc>
          <w:tcPr>
            <w:tcW w:w="963" w:type="dxa"/>
            <w:tcBorders>
              <w:top w:val="nil"/>
              <w:left w:val="nil"/>
              <w:bottom w:val="nil"/>
              <w:right w:val="nil"/>
            </w:tcBorders>
            <w:shd w:val="clear" w:color="auto" w:fill="auto"/>
            <w:noWrap/>
            <w:vAlign w:val="bottom"/>
            <w:hideMark/>
          </w:tcPr>
          <w:p w14:paraId="1127814D" w14:textId="18378C55"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EE6318">
              <w:rPr>
                <w:rFonts w:ascii="Calibri" w:eastAsia="Times New Roman" w:hAnsi="Calibri" w:cs="Calibri"/>
                <w:b/>
                <w:bCs/>
                <w:i/>
                <w:iCs/>
                <w:color w:val="000000"/>
                <w:lang w:eastAsia="en-IE"/>
              </w:rPr>
              <w:t>191</w:t>
            </w:r>
          </w:p>
        </w:tc>
        <w:tc>
          <w:tcPr>
            <w:tcW w:w="963" w:type="dxa"/>
            <w:tcBorders>
              <w:top w:val="nil"/>
              <w:left w:val="nil"/>
              <w:bottom w:val="nil"/>
              <w:right w:val="nil"/>
            </w:tcBorders>
            <w:shd w:val="clear" w:color="auto" w:fill="auto"/>
            <w:noWrap/>
            <w:vAlign w:val="bottom"/>
            <w:hideMark/>
          </w:tcPr>
          <w:p w14:paraId="339816EE"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1" w:type="dxa"/>
            <w:tcBorders>
              <w:top w:val="nil"/>
              <w:left w:val="nil"/>
              <w:bottom w:val="nil"/>
              <w:right w:val="nil"/>
            </w:tcBorders>
            <w:shd w:val="clear" w:color="auto" w:fill="auto"/>
            <w:noWrap/>
            <w:vAlign w:val="bottom"/>
            <w:hideMark/>
          </w:tcPr>
          <w:p w14:paraId="6CB46586" w14:textId="1F77DEFA"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EE6318">
              <w:rPr>
                <w:rFonts w:ascii="Calibri" w:eastAsia="Times New Roman" w:hAnsi="Calibri" w:cs="Calibri"/>
                <w:b/>
                <w:bCs/>
                <w:i/>
                <w:iCs/>
                <w:color w:val="000000"/>
                <w:lang w:eastAsia="en-IE"/>
              </w:rPr>
              <w:t>000</w:t>
            </w:r>
          </w:p>
        </w:tc>
        <w:tc>
          <w:tcPr>
            <w:tcW w:w="960" w:type="dxa"/>
            <w:tcBorders>
              <w:top w:val="nil"/>
              <w:left w:val="nil"/>
              <w:bottom w:val="nil"/>
              <w:right w:val="nil"/>
            </w:tcBorders>
            <w:shd w:val="clear" w:color="auto" w:fill="auto"/>
            <w:noWrap/>
            <w:vAlign w:val="bottom"/>
            <w:hideMark/>
          </w:tcPr>
          <w:p w14:paraId="5FA7C74E" w14:textId="54350C8F"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E833E9">
              <w:rPr>
                <w:rFonts w:ascii="Calibri" w:eastAsia="Times New Roman" w:hAnsi="Calibri" w:cs="Calibri"/>
                <w:b/>
                <w:bCs/>
                <w:i/>
                <w:iCs/>
                <w:color w:val="000000"/>
                <w:lang w:eastAsia="en-IE"/>
              </w:rPr>
              <w:t>646</w:t>
            </w:r>
          </w:p>
        </w:tc>
        <w:tc>
          <w:tcPr>
            <w:tcW w:w="967" w:type="dxa"/>
            <w:tcBorders>
              <w:top w:val="nil"/>
              <w:left w:val="nil"/>
              <w:bottom w:val="nil"/>
              <w:right w:val="single" w:sz="4" w:space="0" w:color="auto"/>
            </w:tcBorders>
            <w:shd w:val="clear" w:color="auto" w:fill="auto"/>
            <w:noWrap/>
            <w:vAlign w:val="bottom"/>
            <w:hideMark/>
          </w:tcPr>
          <w:p w14:paraId="4295DE51"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r>
      <w:tr w:rsidR="00ED02A4" w:rsidRPr="007256AA" w14:paraId="519BE49D"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36FC9CDE"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VIX</w:t>
            </w:r>
          </w:p>
        </w:tc>
        <w:tc>
          <w:tcPr>
            <w:tcW w:w="851" w:type="dxa"/>
            <w:tcBorders>
              <w:top w:val="nil"/>
              <w:left w:val="nil"/>
              <w:bottom w:val="nil"/>
              <w:right w:val="nil"/>
            </w:tcBorders>
            <w:shd w:val="clear" w:color="auto" w:fill="auto"/>
            <w:noWrap/>
            <w:vAlign w:val="bottom"/>
            <w:hideMark/>
          </w:tcPr>
          <w:p w14:paraId="141AC638" w14:textId="29E4158C"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w:t>
            </w:r>
            <w:r w:rsidR="00171AB7">
              <w:rPr>
                <w:rFonts w:ascii="Calibri" w:eastAsia="Times New Roman" w:hAnsi="Calibri" w:cs="Calibri"/>
                <w:color w:val="000000"/>
                <w:lang w:eastAsia="en-IE"/>
              </w:rPr>
              <w:t>611</w:t>
            </w:r>
          </w:p>
        </w:tc>
        <w:tc>
          <w:tcPr>
            <w:tcW w:w="1019" w:type="dxa"/>
            <w:tcBorders>
              <w:top w:val="nil"/>
              <w:left w:val="nil"/>
              <w:bottom w:val="nil"/>
              <w:right w:val="nil"/>
            </w:tcBorders>
            <w:shd w:val="clear" w:color="auto" w:fill="auto"/>
            <w:noWrap/>
            <w:vAlign w:val="bottom"/>
            <w:hideMark/>
          </w:tcPr>
          <w:p w14:paraId="62331674" w14:textId="18EA75E0" w:rsidR="00ED02A4" w:rsidRPr="007256AA" w:rsidRDefault="00171AB7" w:rsidP="00367A87">
            <w:pPr>
              <w:spacing w:after="0" w:line="240" w:lineRule="auto"/>
              <w:jc w:val="right"/>
              <w:rPr>
                <w:rFonts w:ascii="Calibri" w:eastAsia="Times New Roman" w:hAnsi="Calibri" w:cs="Calibri"/>
                <w:color w:val="000000"/>
                <w:lang w:eastAsia="en-IE"/>
              </w:rPr>
            </w:pPr>
            <w:r>
              <w:t>-0.027</w:t>
            </w:r>
          </w:p>
        </w:tc>
        <w:tc>
          <w:tcPr>
            <w:tcW w:w="1019" w:type="dxa"/>
            <w:tcBorders>
              <w:top w:val="nil"/>
              <w:left w:val="nil"/>
              <w:bottom w:val="nil"/>
              <w:right w:val="nil"/>
            </w:tcBorders>
            <w:shd w:val="clear" w:color="auto" w:fill="auto"/>
            <w:noWrap/>
            <w:vAlign w:val="bottom"/>
            <w:hideMark/>
          </w:tcPr>
          <w:p w14:paraId="5CF13E40" w14:textId="77400190" w:rsidR="00ED02A4" w:rsidRPr="007256AA" w:rsidRDefault="00171AB7" w:rsidP="00367A87">
            <w:pPr>
              <w:spacing w:after="0" w:line="240" w:lineRule="auto"/>
              <w:jc w:val="right"/>
              <w:rPr>
                <w:rFonts w:ascii="Calibri" w:eastAsia="Times New Roman" w:hAnsi="Calibri" w:cs="Calibri"/>
                <w:color w:val="000000"/>
                <w:lang w:eastAsia="en-IE"/>
              </w:rPr>
            </w:pPr>
            <w:r>
              <w:rPr>
                <w:rFonts w:ascii="Calibri" w:eastAsia="Times New Roman" w:hAnsi="Calibri" w:cs="Calibri"/>
                <w:color w:val="000000"/>
                <w:lang w:eastAsia="en-IE"/>
              </w:rPr>
              <w:t>-0.318</w:t>
            </w:r>
          </w:p>
        </w:tc>
        <w:tc>
          <w:tcPr>
            <w:tcW w:w="963" w:type="dxa"/>
            <w:tcBorders>
              <w:top w:val="nil"/>
              <w:left w:val="nil"/>
              <w:bottom w:val="nil"/>
              <w:right w:val="nil"/>
            </w:tcBorders>
            <w:shd w:val="clear" w:color="auto" w:fill="auto"/>
            <w:noWrap/>
            <w:vAlign w:val="bottom"/>
            <w:hideMark/>
          </w:tcPr>
          <w:p w14:paraId="2DEDFC7C" w14:textId="2E921A65" w:rsidR="00ED02A4" w:rsidRPr="007256AA" w:rsidRDefault="003724F1" w:rsidP="00367A87">
            <w:pPr>
              <w:spacing w:after="0" w:line="240" w:lineRule="auto"/>
              <w:jc w:val="right"/>
              <w:rPr>
                <w:rFonts w:ascii="Calibri" w:eastAsia="Times New Roman" w:hAnsi="Calibri" w:cs="Calibri"/>
                <w:color w:val="000000"/>
                <w:lang w:eastAsia="en-IE"/>
              </w:rPr>
            </w:pPr>
            <w:r>
              <w:t>-0.503</w:t>
            </w:r>
          </w:p>
        </w:tc>
        <w:tc>
          <w:tcPr>
            <w:tcW w:w="963" w:type="dxa"/>
            <w:tcBorders>
              <w:top w:val="nil"/>
              <w:left w:val="nil"/>
              <w:bottom w:val="nil"/>
              <w:right w:val="nil"/>
            </w:tcBorders>
            <w:shd w:val="clear" w:color="auto" w:fill="auto"/>
            <w:noWrap/>
            <w:vAlign w:val="bottom"/>
            <w:hideMark/>
          </w:tcPr>
          <w:p w14:paraId="1DFBF5B8" w14:textId="5A94D1BA" w:rsidR="00ED02A4" w:rsidRPr="007256AA" w:rsidRDefault="00EE6318" w:rsidP="00367A87">
            <w:pPr>
              <w:spacing w:after="0" w:line="240" w:lineRule="auto"/>
              <w:jc w:val="right"/>
              <w:rPr>
                <w:rFonts w:ascii="Calibri" w:eastAsia="Times New Roman" w:hAnsi="Calibri" w:cs="Calibri"/>
                <w:color w:val="000000"/>
                <w:lang w:eastAsia="en-IE"/>
              </w:rPr>
            </w:pPr>
            <w:r>
              <w:rPr>
                <w:rFonts w:ascii="Calibri" w:eastAsia="Times New Roman" w:hAnsi="Calibri" w:cs="Calibri"/>
                <w:color w:val="000000"/>
                <w:lang w:eastAsia="en-IE"/>
              </w:rPr>
              <w:t>0.045</w:t>
            </w:r>
          </w:p>
        </w:tc>
        <w:tc>
          <w:tcPr>
            <w:tcW w:w="963" w:type="dxa"/>
            <w:tcBorders>
              <w:top w:val="nil"/>
              <w:left w:val="nil"/>
              <w:bottom w:val="nil"/>
              <w:right w:val="nil"/>
            </w:tcBorders>
            <w:shd w:val="clear" w:color="auto" w:fill="auto"/>
            <w:noWrap/>
            <w:vAlign w:val="bottom"/>
            <w:hideMark/>
          </w:tcPr>
          <w:p w14:paraId="660E510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0.702</w:t>
            </w:r>
          </w:p>
        </w:tc>
        <w:tc>
          <w:tcPr>
            <w:tcW w:w="961" w:type="dxa"/>
            <w:tcBorders>
              <w:top w:val="nil"/>
              <w:left w:val="nil"/>
              <w:bottom w:val="nil"/>
              <w:right w:val="nil"/>
            </w:tcBorders>
            <w:shd w:val="clear" w:color="auto" w:fill="auto"/>
            <w:noWrap/>
            <w:vAlign w:val="bottom"/>
            <w:hideMark/>
          </w:tcPr>
          <w:p w14:paraId="4E4895A6" w14:textId="1CD85A9C"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w:t>
            </w:r>
            <w:r w:rsidR="00EE6318">
              <w:rPr>
                <w:rFonts w:ascii="Calibri" w:eastAsia="Times New Roman" w:hAnsi="Calibri" w:cs="Calibri"/>
                <w:color w:val="000000"/>
                <w:lang w:eastAsia="en-IE"/>
              </w:rPr>
              <w:t>523</w:t>
            </w:r>
          </w:p>
        </w:tc>
        <w:tc>
          <w:tcPr>
            <w:tcW w:w="960" w:type="dxa"/>
            <w:tcBorders>
              <w:top w:val="nil"/>
              <w:left w:val="nil"/>
              <w:bottom w:val="nil"/>
              <w:right w:val="nil"/>
            </w:tcBorders>
            <w:shd w:val="clear" w:color="auto" w:fill="auto"/>
            <w:noWrap/>
            <w:vAlign w:val="bottom"/>
            <w:hideMark/>
          </w:tcPr>
          <w:p w14:paraId="51A1DC0B" w14:textId="2DD61BB1" w:rsidR="00ED02A4" w:rsidRPr="007256AA" w:rsidRDefault="00E833E9" w:rsidP="00367A87">
            <w:pPr>
              <w:spacing w:after="0" w:line="240" w:lineRule="auto"/>
              <w:jc w:val="right"/>
              <w:rPr>
                <w:rFonts w:ascii="Calibri" w:eastAsia="Times New Roman" w:hAnsi="Calibri" w:cs="Calibri"/>
                <w:color w:val="000000"/>
                <w:lang w:eastAsia="en-IE"/>
              </w:rPr>
            </w:pPr>
            <w:r>
              <w:t>-0.102</w:t>
            </w:r>
          </w:p>
        </w:tc>
        <w:tc>
          <w:tcPr>
            <w:tcW w:w="967" w:type="dxa"/>
            <w:tcBorders>
              <w:top w:val="nil"/>
              <w:left w:val="nil"/>
              <w:bottom w:val="nil"/>
              <w:right w:val="single" w:sz="4" w:space="0" w:color="auto"/>
            </w:tcBorders>
            <w:shd w:val="clear" w:color="auto" w:fill="auto"/>
            <w:noWrap/>
            <w:vAlign w:val="bottom"/>
            <w:hideMark/>
          </w:tcPr>
          <w:p w14:paraId="49836A90" w14:textId="5B386AB6" w:rsidR="00ED02A4" w:rsidRPr="007256AA" w:rsidRDefault="00517DE4" w:rsidP="00367A87">
            <w:pPr>
              <w:spacing w:after="0" w:line="240" w:lineRule="auto"/>
              <w:jc w:val="right"/>
              <w:rPr>
                <w:rFonts w:ascii="Calibri" w:eastAsia="Times New Roman" w:hAnsi="Calibri" w:cs="Calibri"/>
                <w:color w:val="000000"/>
                <w:lang w:eastAsia="en-IE"/>
              </w:rPr>
            </w:pPr>
            <w:r>
              <w:t>-0.198</w:t>
            </w:r>
          </w:p>
        </w:tc>
      </w:tr>
      <w:tr w:rsidR="00ED02A4" w:rsidRPr="007256AA" w14:paraId="3B2DC161"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649E2DC1"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851" w:type="dxa"/>
            <w:tcBorders>
              <w:top w:val="nil"/>
              <w:left w:val="nil"/>
              <w:bottom w:val="nil"/>
              <w:right w:val="nil"/>
            </w:tcBorders>
            <w:shd w:val="clear" w:color="auto" w:fill="auto"/>
            <w:noWrap/>
            <w:vAlign w:val="bottom"/>
            <w:hideMark/>
          </w:tcPr>
          <w:p w14:paraId="234E3356" w14:textId="6C2F005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w:t>
            </w:r>
            <w:r w:rsidR="00171AB7">
              <w:rPr>
                <w:rFonts w:ascii="Calibri" w:eastAsia="Times New Roman" w:hAnsi="Calibri" w:cs="Calibri"/>
                <w:b/>
                <w:bCs/>
                <w:i/>
                <w:iCs/>
                <w:color w:val="000000"/>
                <w:lang w:eastAsia="en-IE"/>
              </w:rPr>
              <w:t>0</w:t>
            </w:r>
          </w:p>
        </w:tc>
        <w:tc>
          <w:tcPr>
            <w:tcW w:w="1019" w:type="dxa"/>
            <w:tcBorders>
              <w:top w:val="nil"/>
              <w:left w:val="nil"/>
              <w:bottom w:val="nil"/>
              <w:right w:val="nil"/>
            </w:tcBorders>
            <w:shd w:val="clear" w:color="auto" w:fill="auto"/>
            <w:noWrap/>
            <w:vAlign w:val="bottom"/>
            <w:hideMark/>
          </w:tcPr>
          <w:p w14:paraId="0A142524" w14:textId="553A7E9C"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171AB7">
              <w:rPr>
                <w:rFonts w:ascii="Calibri" w:eastAsia="Times New Roman" w:hAnsi="Calibri" w:cs="Calibri"/>
                <w:b/>
                <w:bCs/>
                <w:i/>
                <w:iCs/>
                <w:color w:val="000000"/>
                <w:lang w:eastAsia="en-IE"/>
              </w:rPr>
              <w:t>672</w:t>
            </w:r>
          </w:p>
        </w:tc>
        <w:tc>
          <w:tcPr>
            <w:tcW w:w="1019" w:type="dxa"/>
            <w:tcBorders>
              <w:top w:val="nil"/>
              <w:left w:val="nil"/>
              <w:bottom w:val="nil"/>
              <w:right w:val="nil"/>
            </w:tcBorders>
            <w:shd w:val="clear" w:color="auto" w:fill="auto"/>
            <w:noWrap/>
            <w:vAlign w:val="bottom"/>
            <w:hideMark/>
          </w:tcPr>
          <w:p w14:paraId="41E180B6" w14:textId="5822F05E"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w:t>
            </w:r>
            <w:r w:rsidR="00171AB7">
              <w:rPr>
                <w:rFonts w:ascii="Calibri" w:eastAsia="Times New Roman" w:hAnsi="Calibri" w:cs="Calibri"/>
                <w:b/>
                <w:bCs/>
                <w:i/>
                <w:iCs/>
                <w:color w:val="000000"/>
                <w:lang w:eastAsia="en-IE"/>
              </w:rPr>
              <w:t>01</w:t>
            </w:r>
          </w:p>
        </w:tc>
        <w:tc>
          <w:tcPr>
            <w:tcW w:w="963" w:type="dxa"/>
            <w:tcBorders>
              <w:top w:val="nil"/>
              <w:left w:val="nil"/>
              <w:bottom w:val="nil"/>
              <w:right w:val="nil"/>
            </w:tcBorders>
            <w:shd w:val="clear" w:color="auto" w:fill="auto"/>
            <w:noWrap/>
            <w:vAlign w:val="bottom"/>
            <w:hideMark/>
          </w:tcPr>
          <w:p w14:paraId="0313AD86" w14:textId="6AB13B75"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3724F1">
              <w:rPr>
                <w:rFonts w:ascii="Calibri" w:eastAsia="Times New Roman" w:hAnsi="Calibri" w:cs="Calibri"/>
                <w:b/>
                <w:bCs/>
                <w:i/>
                <w:iCs/>
                <w:color w:val="000000"/>
                <w:lang w:eastAsia="en-IE"/>
              </w:rPr>
              <w:t>000</w:t>
            </w:r>
          </w:p>
        </w:tc>
        <w:tc>
          <w:tcPr>
            <w:tcW w:w="963" w:type="dxa"/>
            <w:tcBorders>
              <w:top w:val="nil"/>
              <w:left w:val="nil"/>
              <w:bottom w:val="nil"/>
              <w:right w:val="nil"/>
            </w:tcBorders>
            <w:shd w:val="clear" w:color="auto" w:fill="auto"/>
            <w:noWrap/>
            <w:vAlign w:val="bottom"/>
            <w:hideMark/>
          </w:tcPr>
          <w:p w14:paraId="24F49445" w14:textId="19A5222A"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EE6318">
              <w:rPr>
                <w:rFonts w:ascii="Calibri" w:eastAsia="Times New Roman" w:hAnsi="Calibri" w:cs="Calibri"/>
                <w:b/>
                <w:bCs/>
                <w:i/>
                <w:iCs/>
                <w:color w:val="000000"/>
                <w:lang w:eastAsia="en-IE"/>
              </w:rPr>
              <w:t>749</w:t>
            </w:r>
          </w:p>
        </w:tc>
        <w:tc>
          <w:tcPr>
            <w:tcW w:w="963" w:type="dxa"/>
            <w:tcBorders>
              <w:top w:val="nil"/>
              <w:left w:val="nil"/>
              <w:bottom w:val="nil"/>
              <w:right w:val="nil"/>
            </w:tcBorders>
            <w:shd w:val="clear" w:color="auto" w:fill="auto"/>
            <w:noWrap/>
            <w:vAlign w:val="bottom"/>
            <w:hideMark/>
          </w:tcPr>
          <w:p w14:paraId="55E8E373"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1" w:type="dxa"/>
            <w:tcBorders>
              <w:top w:val="nil"/>
              <w:left w:val="nil"/>
              <w:bottom w:val="nil"/>
              <w:right w:val="nil"/>
            </w:tcBorders>
            <w:shd w:val="clear" w:color="auto" w:fill="auto"/>
            <w:noWrap/>
            <w:vAlign w:val="bottom"/>
            <w:hideMark/>
          </w:tcPr>
          <w:p w14:paraId="626A8F16" w14:textId="2EFF2B13"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EE6318">
              <w:rPr>
                <w:rFonts w:ascii="Calibri" w:eastAsia="Times New Roman" w:hAnsi="Calibri" w:cs="Calibri"/>
                <w:b/>
                <w:bCs/>
                <w:i/>
                <w:iCs/>
                <w:color w:val="000000"/>
                <w:lang w:eastAsia="en-IE"/>
              </w:rPr>
              <w:t>000</w:t>
            </w:r>
          </w:p>
        </w:tc>
        <w:tc>
          <w:tcPr>
            <w:tcW w:w="960" w:type="dxa"/>
            <w:tcBorders>
              <w:top w:val="nil"/>
              <w:left w:val="nil"/>
              <w:bottom w:val="nil"/>
              <w:right w:val="nil"/>
            </w:tcBorders>
            <w:shd w:val="clear" w:color="auto" w:fill="auto"/>
            <w:noWrap/>
            <w:vAlign w:val="bottom"/>
            <w:hideMark/>
          </w:tcPr>
          <w:p w14:paraId="2D0036CE" w14:textId="6992A0A9"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E833E9">
              <w:rPr>
                <w:rFonts w:ascii="Calibri" w:eastAsia="Times New Roman" w:hAnsi="Calibri" w:cs="Calibri"/>
                <w:b/>
                <w:bCs/>
                <w:i/>
                <w:iCs/>
                <w:color w:val="000000"/>
                <w:lang w:eastAsia="en-IE"/>
              </w:rPr>
              <w:t>121</w:t>
            </w:r>
          </w:p>
        </w:tc>
        <w:tc>
          <w:tcPr>
            <w:tcW w:w="967" w:type="dxa"/>
            <w:tcBorders>
              <w:top w:val="nil"/>
              <w:left w:val="nil"/>
              <w:bottom w:val="nil"/>
              <w:right w:val="single" w:sz="4" w:space="0" w:color="auto"/>
            </w:tcBorders>
            <w:shd w:val="clear" w:color="auto" w:fill="auto"/>
            <w:noWrap/>
            <w:vAlign w:val="bottom"/>
            <w:hideMark/>
          </w:tcPr>
          <w:p w14:paraId="7C434151" w14:textId="354FF864"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w:t>
            </w:r>
            <w:r w:rsidR="00517DE4">
              <w:rPr>
                <w:rFonts w:ascii="Calibri" w:eastAsia="Times New Roman" w:hAnsi="Calibri" w:cs="Calibri"/>
                <w:b/>
                <w:bCs/>
                <w:i/>
                <w:iCs/>
                <w:color w:val="000000"/>
                <w:lang w:eastAsia="en-IE"/>
              </w:rPr>
              <w:t>5</w:t>
            </w:r>
            <w:r w:rsidRPr="007256AA">
              <w:rPr>
                <w:rFonts w:ascii="Calibri" w:eastAsia="Times New Roman" w:hAnsi="Calibri" w:cs="Calibri"/>
                <w:b/>
                <w:bCs/>
                <w:i/>
                <w:iCs/>
                <w:color w:val="000000"/>
                <w:lang w:eastAsia="en-IE"/>
              </w:rPr>
              <w:t>1</w:t>
            </w:r>
          </w:p>
        </w:tc>
      </w:tr>
      <w:tr w:rsidR="00ED02A4" w:rsidRPr="007256AA" w14:paraId="742973AB"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656070F1"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SENT</w:t>
            </w:r>
          </w:p>
        </w:tc>
        <w:tc>
          <w:tcPr>
            <w:tcW w:w="851" w:type="dxa"/>
            <w:tcBorders>
              <w:top w:val="nil"/>
              <w:left w:val="nil"/>
              <w:bottom w:val="nil"/>
              <w:right w:val="nil"/>
            </w:tcBorders>
            <w:shd w:val="clear" w:color="auto" w:fill="auto"/>
            <w:noWrap/>
            <w:vAlign w:val="bottom"/>
            <w:hideMark/>
          </w:tcPr>
          <w:p w14:paraId="3FD9AB10" w14:textId="30A5CD5C" w:rsidR="00ED02A4" w:rsidRPr="007256AA" w:rsidRDefault="00171AB7" w:rsidP="00367A87">
            <w:pPr>
              <w:spacing w:after="0" w:line="240" w:lineRule="auto"/>
              <w:jc w:val="right"/>
              <w:rPr>
                <w:rFonts w:ascii="Calibri" w:eastAsia="Times New Roman" w:hAnsi="Calibri" w:cs="Calibri"/>
                <w:color w:val="000000"/>
                <w:lang w:eastAsia="en-IE"/>
              </w:rPr>
            </w:pPr>
            <w:r>
              <w:rPr>
                <w:rFonts w:ascii="Calibri" w:eastAsia="Times New Roman" w:hAnsi="Calibri" w:cs="Calibri"/>
                <w:color w:val="000000"/>
                <w:lang w:eastAsia="en-IE"/>
              </w:rPr>
              <w:t>0.146</w:t>
            </w:r>
          </w:p>
        </w:tc>
        <w:tc>
          <w:tcPr>
            <w:tcW w:w="1019" w:type="dxa"/>
            <w:tcBorders>
              <w:top w:val="nil"/>
              <w:left w:val="nil"/>
              <w:bottom w:val="nil"/>
              <w:right w:val="nil"/>
            </w:tcBorders>
            <w:shd w:val="clear" w:color="auto" w:fill="auto"/>
            <w:noWrap/>
            <w:vAlign w:val="bottom"/>
            <w:hideMark/>
          </w:tcPr>
          <w:p w14:paraId="1C8452AA" w14:textId="43268B6C"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w:t>
            </w:r>
            <w:r w:rsidR="00171AB7">
              <w:rPr>
                <w:rFonts w:ascii="Calibri" w:eastAsia="Times New Roman" w:hAnsi="Calibri" w:cs="Calibri"/>
                <w:color w:val="000000"/>
                <w:lang w:eastAsia="en-IE"/>
              </w:rPr>
              <w:t>053</w:t>
            </w:r>
          </w:p>
        </w:tc>
        <w:tc>
          <w:tcPr>
            <w:tcW w:w="1019" w:type="dxa"/>
            <w:tcBorders>
              <w:top w:val="nil"/>
              <w:left w:val="nil"/>
              <w:bottom w:val="nil"/>
              <w:right w:val="nil"/>
            </w:tcBorders>
            <w:shd w:val="clear" w:color="auto" w:fill="auto"/>
            <w:noWrap/>
            <w:vAlign w:val="bottom"/>
            <w:hideMark/>
          </w:tcPr>
          <w:p w14:paraId="1B641309" w14:textId="7C782455" w:rsidR="00ED02A4" w:rsidRPr="007256AA" w:rsidRDefault="00171AB7" w:rsidP="00367A87">
            <w:pPr>
              <w:spacing w:after="0" w:line="240" w:lineRule="auto"/>
              <w:jc w:val="right"/>
              <w:rPr>
                <w:rFonts w:ascii="Calibri" w:eastAsia="Times New Roman" w:hAnsi="Calibri" w:cs="Calibri"/>
                <w:color w:val="000000"/>
                <w:lang w:eastAsia="en-IE"/>
              </w:rPr>
            </w:pPr>
            <w:r>
              <w:t>1.443</w:t>
            </w:r>
          </w:p>
        </w:tc>
        <w:tc>
          <w:tcPr>
            <w:tcW w:w="963" w:type="dxa"/>
            <w:tcBorders>
              <w:top w:val="nil"/>
              <w:left w:val="nil"/>
              <w:bottom w:val="nil"/>
              <w:right w:val="nil"/>
            </w:tcBorders>
            <w:shd w:val="clear" w:color="auto" w:fill="auto"/>
            <w:noWrap/>
            <w:vAlign w:val="bottom"/>
            <w:hideMark/>
          </w:tcPr>
          <w:p w14:paraId="693AFA7D" w14:textId="39CD636D" w:rsidR="00ED02A4" w:rsidRPr="007256AA" w:rsidRDefault="003724F1" w:rsidP="00367A87">
            <w:pPr>
              <w:spacing w:after="0" w:line="240" w:lineRule="auto"/>
              <w:jc w:val="right"/>
              <w:rPr>
                <w:rFonts w:ascii="Calibri" w:eastAsia="Times New Roman" w:hAnsi="Calibri" w:cs="Calibri"/>
                <w:color w:val="000000"/>
                <w:lang w:eastAsia="en-IE"/>
              </w:rPr>
            </w:pPr>
            <w:r>
              <w:t>-0.767</w:t>
            </w:r>
          </w:p>
        </w:tc>
        <w:tc>
          <w:tcPr>
            <w:tcW w:w="963" w:type="dxa"/>
            <w:tcBorders>
              <w:top w:val="nil"/>
              <w:left w:val="nil"/>
              <w:bottom w:val="nil"/>
              <w:right w:val="nil"/>
            </w:tcBorders>
            <w:shd w:val="clear" w:color="auto" w:fill="auto"/>
            <w:noWrap/>
            <w:vAlign w:val="bottom"/>
            <w:hideMark/>
          </w:tcPr>
          <w:p w14:paraId="16A86C6C" w14:textId="4D2FF960" w:rsidR="00ED02A4" w:rsidRPr="007256AA" w:rsidRDefault="00EE6318" w:rsidP="00367A87">
            <w:pPr>
              <w:spacing w:after="0" w:line="240" w:lineRule="auto"/>
              <w:jc w:val="right"/>
              <w:rPr>
                <w:rFonts w:ascii="Calibri" w:eastAsia="Times New Roman" w:hAnsi="Calibri" w:cs="Calibri"/>
                <w:color w:val="000000"/>
                <w:lang w:eastAsia="en-IE"/>
              </w:rPr>
            </w:pPr>
            <w:r>
              <w:t>-2.117</w:t>
            </w:r>
          </w:p>
        </w:tc>
        <w:tc>
          <w:tcPr>
            <w:tcW w:w="963" w:type="dxa"/>
            <w:tcBorders>
              <w:top w:val="nil"/>
              <w:left w:val="nil"/>
              <w:bottom w:val="nil"/>
              <w:right w:val="nil"/>
            </w:tcBorders>
            <w:shd w:val="clear" w:color="auto" w:fill="auto"/>
            <w:noWrap/>
            <w:vAlign w:val="bottom"/>
            <w:hideMark/>
          </w:tcPr>
          <w:p w14:paraId="56542AF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3.301</w:t>
            </w:r>
          </w:p>
        </w:tc>
        <w:tc>
          <w:tcPr>
            <w:tcW w:w="961" w:type="dxa"/>
            <w:tcBorders>
              <w:top w:val="nil"/>
              <w:left w:val="nil"/>
              <w:bottom w:val="nil"/>
              <w:right w:val="nil"/>
            </w:tcBorders>
            <w:shd w:val="clear" w:color="auto" w:fill="auto"/>
            <w:noWrap/>
            <w:vAlign w:val="bottom"/>
            <w:hideMark/>
          </w:tcPr>
          <w:p w14:paraId="76026894" w14:textId="1240595D" w:rsidR="00ED02A4" w:rsidRPr="007256AA" w:rsidRDefault="00EE6318" w:rsidP="00367A87">
            <w:pPr>
              <w:spacing w:after="0" w:line="240" w:lineRule="auto"/>
              <w:jc w:val="right"/>
              <w:rPr>
                <w:rFonts w:ascii="Calibri" w:eastAsia="Times New Roman" w:hAnsi="Calibri" w:cs="Calibri"/>
                <w:color w:val="000000"/>
                <w:lang w:eastAsia="en-IE"/>
              </w:rPr>
            </w:pPr>
            <w:r>
              <w:t>1.089</w:t>
            </w:r>
          </w:p>
        </w:tc>
        <w:tc>
          <w:tcPr>
            <w:tcW w:w="960" w:type="dxa"/>
            <w:tcBorders>
              <w:top w:val="nil"/>
              <w:left w:val="nil"/>
              <w:bottom w:val="nil"/>
              <w:right w:val="nil"/>
            </w:tcBorders>
            <w:shd w:val="clear" w:color="auto" w:fill="auto"/>
            <w:noWrap/>
            <w:vAlign w:val="bottom"/>
            <w:hideMark/>
          </w:tcPr>
          <w:p w14:paraId="5572DDD7" w14:textId="22B5072D" w:rsidR="00ED02A4" w:rsidRPr="007256AA" w:rsidRDefault="00E833E9" w:rsidP="00367A87">
            <w:pPr>
              <w:spacing w:after="0" w:line="240" w:lineRule="auto"/>
              <w:jc w:val="right"/>
              <w:rPr>
                <w:rFonts w:ascii="Calibri" w:eastAsia="Times New Roman" w:hAnsi="Calibri" w:cs="Calibri"/>
                <w:color w:val="000000"/>
                <w:lang w:eastAsia="en-IE"/>
              </w:rPr>
            </w:pPr>
            <w:r>
              <w:t>-0.192</w:t>
            </w:r>
          </w:p>
        </w:tc>
        <w:tc>
          <w:tcPr>
            <w:tcW w:w="967" w:type="dxa"/>
            <w:tcBorders>
              <w:top w:val="nil"/>
              <w:left w:val="nil"/>
              <w:bottom w:val="nil"/>
              <w:right w:val="single" w:sz="4" w:space="0" w:color="auto"/>
            </w:tcBorders>
            <w:shd w:val="clear" w:color="auto" w:fill="auto"/>
            <w:noWrap/>
            <w:vAlign w:val="bottom"/>
            <w:hideMark/>
          </w:tcPr>
          <w:p w14:paraId="32B5667C" w14:textId="559FF254" w:rsidR="00ED02A4" w:rsidRPr="007256AA" w:rsidRDefault="00517DE4" w:rsidP="00367A87">
            <w:pPr>
              <w:spacing w:after="0" w:line="240" w:lineRule="auto"/>
              <w:jc w:val="right"/>
              <w:rPr>
                <w:rFonts w:ascii="Calibri" w:eastAsia="Times New Roman" w:hAnsi="Calibri" w:cs="Calibri"/>
                <w:color w:val="000000"/>
                <w:lang w:eastAsia="en-IE"/>
              </w:rPr>
            </w:pPr>
            <w:r>
              <w:t>3.352</w:t>
            </w:r>
          </w:p>
        </w:tc>
      </w:tr>
      <w:tr w:rsidR="00ED02A4" w:rsidRPr="007256AA" w14:paraId="7E2CA5AF"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7547520A"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851" w:type="dxa"/>
            <w:tcBorders>
              <w:top w:val="nil"/>
              <w:left w:val="nil"/>
              <w:bottom w:val="nil"/>
              <w:right w:val="nil"/>
            </w:tcBorders>
            <w:shd w:val="clear" w:color="auto" w:fill="auto"/>
            <w:noWrap/>
            <w:vAlign w:val="bottom"/>
            <w:hideMark/>
          </w:tcPr>
          <w:p w14:paraId="4C2351A1" w14:textId="764842E2"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171AB7">
              <w:rPr>
                <w:rFonts w:ascii="Calibri" w:eastAsia="Times New Roman" w:hAnsi="Calibri" w:cs="Calibri"/>
                <w:b/>
                <w:bCs/>
                <w:i/>
                <w:iCs/>
                <w:color w:val="000000"/>
                <w:lang w:eastAsia="en-IE"/>
              </w:rPr>
              <w:t>684</w:t>
            </w:r>
          </w:p>
        </w:tc>
        <w:tc>
          <w:tcPr>
            <w:tcW w:w="1019" w:type="dxa"/>
            <w:tcBorders>
              <w:top w:val="nil"/>
              <w:left w:val="nil"/>
              <w:bottom w:val="nil"/>
              <w:right w:val="nil"/>
            </w:tcBorders>
            <w:shd w:val="clear" w:color="auto" w:fill="auto"/>
            <w:noWrap/>
            <w:vAlign w:val="bottom"/>
            <w:hideMark/>
          </w:tcPr>
          <w:p w14:paraId="01FF5B0B" w14:textId="5C24DCE6"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171AB7">
              <w:rPr>
                <w:rFonts w:ascii="Calibri" w:eastAsia="Times New Roman" w:hAnsi="Calibri" w:cs="Calibri"/>
                <w:b/>
                <w:bCs/>
                <w:i/>
                <w:iCs/>
                <w:color w:val="000000"/>
                <w:lang w:eastAsia="en-IE"/>
              </w:rPr>
              <w:t>933</w:t>
            </w:r>
          </w:p>
        </w:tc>
        <w:tc>
          <w:tcPr>
            <w:tcW w:w="1019" w:type="dxa"/>
            <w:tcBorders>
              <w:top w:val="nil"/>
              <w:left w:val="nil"/>
              <w:bottom w:val="nil"/>
              <w:right w:val="nil"/>
            </w:tcBorders>
            <w:shd w:val="clear" w:color="auto" w:fill="auto"/>
            <w:noWrap/>
            <w:vAlign w:val="bottom"/>
            <w:hideMark/>
          </w:tcPr>
          <w:p w14:paraId="3C546866" w14:textId="4C7B74A9"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171AB7">
              <w:rPr>
                <w:rFonts w:ascii="Calibri" w:eastAsia="Times New Roman" w:hAnsi="Calibri" w:cs="Calibri"/>
                <w:b/>
                <w:bCs/>
                <w:i/>
                <w:iCs/>
                <w:color w:val="000000"/>
                <w:lang w:eastAsia="en-IE"/>
              </w:rPr>
              <w:t>170</w:t>
            </w:r>
          </w:p>
        </w:tc>
        <w:tc>
          <w:tcPr>
            <w:tcW w:w="963" w:type="dxa"/>
            <w:tcBorders>
              <w:top w:val="nil"/>
              <w:left w:val="nil"/>
              <w:bottom w:val="nil"/>
              <w:right w:val="nil"/>
            </w:tcBorders>
            <w:shd w:val="clear" w:color="auto" w:fill="auto"/>
            <w:noWrap/>
            <w:vAlign w:val="bottom"/>
            <w:hideMark/>
          </w:tcPr>
          <w:p w14:paraId="0D35DBC4" w14:textId="66FA2BFA"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3724F1">
              <w:rPr>
                <w:rFonts w:ascii="Calibri" w:eastAsia="Times New Roman" w:hAnsi="Calibri" w:cs="Calibri"/>
                <w:b/>
                <w:bCs/>
                <w:i/>
                <w:iCs/>
                <w:color w:val="000000"/>
                <w:lang w:eastAsia="en-IE"/>
              </w:rPr>
              <w:t>368</w:t>
            </w:r>
          </w:p>
        </w:tc>
        <w:tc>
          <w:tcPr>
            <w:tcW w:w="963" w:type="dxa"/>
            <w:tcBorders>
              <w:top w:val="nil"/>
              <w:left w:val="nil"/>
              <w:bottom w:val="nil"/>
              <w:right w:val="nil"/>
            </w:tcBorders>
            <w:shd w:val="clear" w:color="auto" w:fill="auto"/>
            <w:noWrap/>
            <w:vAlign w:val="bottom"/>
            <w:hideMark/>
          </w:tcPr>
          <w:p w14:paraId="663C95FD" w14:textId="407CE7F4"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EE6318">
              <w:rPr>
                <w:rFonts w:ascii="Calibri" w:eastAsia="Times New Roman" w:hAnsi="Calibri" w:cs="Calibri"/>
                <w:b/>
                <w:bCs/>
                <w:i/>
                <w:iCs/>
                <w:color w:val="000000"/>
                <w:lang w:eastAsia="en-IE"/>
              </w:rPr>
              <w:t>214</w:t>
            </w:r>
          </w:p>
        </w:tc>
        <w:tc>
          <w:tcPr>
            <w:tcW w:w="963" w:type="dxa"/>
            <w:tcBorders>
              <w:top w:val="nil"/>
              <w:left w:val="nil"/>
              <w:bottom w:val="nil"/>
              <w:right w:val="nil"/>
            </w:tcBorders>
            <w:shd w:val="clear" w:color="auto" w:fill="auto"/>
            <w:noWrap/>
            <w:vAlign w:val="bottom"/>
            <w:hideMark/>
          </w:tcPr>
          <w:p w14:paraId="3D52F60F"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1" w:type="dxa"/>
            <w:tcBorders>
              <w:top w:val="nil"/>
              <w:left w:val="nil"/>
              <w:bottom w:val="nil"/>
              <w:right w:val="nil"/>
            </w:tcBorders>
            <w:shd w:val="clear" w:color="auto" w:fill="auto"/>
            <w:noWrap/>
            <w:vAlign w:val="bottom"/>
            <w:hideMark/>
          </w:tcPr>
          <w:p w14:paraId="32B66D8C" w14:textId="71A7D715"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EE6318">
              <w:rPr>
                <w:rFonts w:ascii="Calibri" w:eastAsia="Times New Roman" w:hAnsi="Calibri" w:cs="Calibri"/>
                <w:b/>
                <w:bCs/>
                <w:i/>
                <w:iCs/>
                <w:color w:val="000000"/>
                <w:lang w:eastAsia="en-IE"/>
              </w:rPr>
              <w:t>002</w:t>
            </w:r>
          </w:p>
        </w:tc>
        <w:tc>
          <w:tcPr>
            <w:tcW w:w="960" w:type="dxa"/>
            <w:tcBorders>
              <w:top w:val="nil"/>
              <w:left w:val="nil"/>
              <w:bottom w:val="nil"/>
              <w:right w:val="nil"/>
            </w:tcBorders>
            <w:shd w:val="clear" w:color="auto" w:fill="auto"/>
            <w:noWrap/>
            <w:vAlign w:val="bottom"/>
            <w:hideMark/>
          </w:tcPr>
          <w:p w14:paraId="1B95745F" w14:textId="11B4D92D"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E833E9">
              <w:rPr>
                <w:rFonts w:ascii="Calibri" w:eastAsia="Times New Roman" w:hAnsi="Calibri" w:cs="Calibri"/>
                <w:b/>
                <w:bCs/>
                <w:i/>
                <w:iCs/>
                <w:color w:val="000000"/>
                <w:lang w:eastAsia="en-IE"/>
              </w:rPr>
              <w:t>768</w:t>
            </w:r>
          </w:p>
        </w:tc>
        <w:tc>
          <w:tcPr>
            <w:tcW w:w="967" w:type="dxa"/>
            <w:tcBorders>
              <w:top w:val="nil"/>
              <w:left w:val="nil"/>
              <w:bottom w:val="nil"/>
              <w:right w:val="single" w:sz="4" w:space="0" w:color="auto"/>
            </w:tcBorders>
            <w:shd w:val="clear" w:color="auto" w:fill="auto"/>
            <w:noWrap/>
            <w:vAlign w:val="bottom"/>
            <w:hideMark/>
          </w:tcPr>
          <w:p w14:paraId="4F9E1230" w14:textId="20EDB6C1"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w:t>
            </w:r>
            <w:r w:rsidR="00517DE4">
              <w:rPr>
                <w:rFonts w:ascii="Calibri" w:eastAsia="Times New Roman" w:hAnsi="Calibri" w:cs="Calibri"/>
                <w:b/>
                <w:bCs/>
                <w:i/>
                <w:iCs/>
                <w:color w:val="000000"/>
                <w:lang w:eastAsia="en-IE"/>
              </w:rPr>
              <w:t>2</w:t>
            </w:r>
          </w:p>
        </w:tc>
      </w:tr>
      <w:tr w:rsidR="00ED02A4" w:rsidRPr="007256AA" w14:paraId="5AB7C275"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11DD1A25"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FEDFUND</w:t>
            </w:r>
          </w:p>
        </w:tc>
        <w:tc>
          <w:tcPr>
            <w:tcW w:w="851" w:type="dxa"/>
            <w:tcBorders>
              <w:top w:val="nil"/>
              <w:left w:val="nil"/>
              <w:bottom w:val="nil"/>
              <w:right w:val="nil"/>
            </w:tcBorders>
            <w:shd w:val="clear" w:color="auto" w:fill="auto"/>
            <w:noWrap/>
            <w:vAlign w:val="bottom"/>
            <w:hideMark/>
          </w:tcPr>
          <w:p w14:paraId="6A40C2BF" w14:textId="60FF2768" w:rsidR="00ED02A4" w:rsidRPr="007256AA" w:rsidRDefault="00171AB7" w:rsidP="00367A87">
            <w:pPr>
              <w:spacing w:after="0" w:line="240" w:lineRule="auto"/>
              <w:jc w:val="right"/>
              <w:rPr>
                <w:rFonts w:ascii="Calibri" w:eastAsia="Times New Roman" w:hAnsi="Calibri" w:cs="Calibri"/>
                <w:color w:val="000000"/>
                <w:lang w:eastAsia="en-IE"/>
              </w:rPr>
            </w:pPr>
            <w:r>
              <w:rPr>
                <w:rFonts w:ascii="Calibri" w:eastAsia="Times New Roman" w:hAnsi="Calibri" w:cs="Calibri"/>
                <w:color w:val="000000"/>
                <w:lang w:eastAsia="en-IE"/>
              </w:rPr>
              <w:t>0.708</w:t>
            </w:r>
          </w:p>
        </w:tc>
        <w:tc>
          <w:tcPr>
            <w:tcW w:w="1019" w:type="dxa"/>
            <w:tcBorders>
              <w:top w:val="nil"/>
              <w:left w:val="nil"/>
              <w:bottom w:val="nil"/>
              <w:right w:val="nil"/>
            </w:tcBorders>
            <w:shd w:val="clear" w:color="auto" w:fill="auto"/>
            <w:noWrap/>
            <w:vAlign w:val="bottom"/>
            <w:hideMark/>
          </w:tcPr>
          <w:p w14:paraId="517C1A43" w14:textId="4D015015" w:rsidR="00ED02A4" w:rsidRPr="007256AA" w:rsidRDefault="00171AB7" w:rsidP="00367A87">
            <w:pPr>
              <w:spacing w:after="0" w:line="240" w:lineRule="auto"/>
              <w:jc w:val="right"/>
              <w:rPr>
                <w:rFonts w:ascii="Calibri" w:eastAsia="Times New Roman" w:hAnsi="Calibri" w:cs="Calibri"/>
                <w:color w:val="000000"/>
                <w:lang w:eastAsia="en-IE"/>
              </w:rPr>
            </w:pPr>
            <w:r>
              <w:t>1.317</w:t>
            </w:r>
          </w:p>
        </w:tc>
        <w:tc>
          <w:tcPr>
            <w:tcW w:w="1019" w:type="dxa"/>
            <w:tcBorders>
              <w:top w:val="nil"/>
              <w:left w:val="nil"/>
              <w:bottom w:val="nil"/>
              <w:right w:val="nil"/>
            </w:tcBorders>
            <w:shd w:val="clear" w:color="auto" w:fill="auto"/>
            <w:noWrap/>
            <w:vAlign w:val="bottom"/>
            <w:hideMark/>
          </w:tcPr>
          <w:p w14:paraId="2108665E" w14:textId="72BDBAAC" w:rsidR="00ED02A4" w:rsidRPr="007256AA" w:rsidRDefault="00171AB7" w:rsidP="00367A87">
            <w:pPr>
              <w:spacing w:after="0" w:line="240" w:lineRule="auto"/>
              <w:jc w:val="right"/>
              <w:rPr>
                <w:rFonts w:ascii="Calibri" w:eastAsia="Times New Roman" w:hAnsi="Calibri" w:cs="Calibri"/>
                <w:color w:val="000000"/>
                <w:lang w:eastAsia="en-IE"/>
              </w:rPr>
            </w:pPr>
            <w:r>
              <w:t>1.821</w:t>
            </w:r>
          </w:p>
        </w:tc>
        <w:tc>
          <w:tcPr>
            <w:tcW w:w="963" w:type="dxa"/>
            <w:tcBorders>
              <w:top w:val="nil"/>
              <w:left w:val="nil"/>
              <w:bottom w:val="nil"/>
              <w:right w:val="nil"/>
            </w:tcBorders>
            <w:shd w:val="clear" w:color="auto" w:fill="auto"/>
            <w:noWrap/>
            <w:vAlign w:val="bottom"/>
            <w:hideMark/>
          </w:tcPr>
          <w:p w14:paraId="5A4BD872" w14:textId="4D9841D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w:t>
            </w:r>
            <w:r w:rsidR="003724F1">
              <w:rPr>
                <w:rFonts w:ascii="Calibri" w:eastAsia="Times New Roman" w:hAnsi="Calibri" w:cs="Calibri"/>
                <w:color w:val="000000"/>
                <w:lang w:eastAsia="en-IE"/>
              </w:rPr>
              <w:t>440</w:t>
            </w:r>
          </w:p>
        </w:tc>
        <w:tc>
          <w:tcPr>
            <w:tcW w:w="963" w:type="dxa"/>
            <w:tcBorders>
              <w:top w:val="nil"/>
              <w:left w:val="nil"/>
              <w:bottom w:val="nil"/>
              <w:right w:val="nil"/>
            </w:tcBorders>
            <w:shd w:val="clear" w:color="auto" w:fill="auto"/>
            <w:noWrap/>
            <w:vAlign w:val="bottom"/>
            <w:hideMark/>
          </w:tcPr>
          <w:p w14:paraId="2ABB8560" w14:textId="734A8236" w:rsidR="00ED02A4" w:rsidRPr="007256AA" w:rsidRDefault="00EE6318" w:rsidP="00367A87">
            <w:pPr>
              <w:spacing w:after="0" w:line="240" w:lineRule="auto"/>
              <w:jc w:val="right"/>
              <w:rPr>
                <w:rFonts w:ascii="Calibri" w:eastAsia="Times New Roman" w:hAnsi="Calibri" w:cs="Calibri"/>
                <w:color w:val="000000"/>
                <w:lang w:eastAsia="en-IE"/>
              </w:rPr>
            </w:pPr>
            <w:r>
              <w:t>0.112</w:t>
            </w:r>
          </w:p>
        </w:tc>
        <w:tc>
          <w:tcPr>
            <w:tcW w:w="963" w:type="dxa"/>
            <w:tcBorders>
              <w:top w:val="nil"/>
              <w:left w:val="nil"/>
              <w:bottom w:val="nil"/>
              <w:right w:val="nil"/>
            </w:tcBorders>
            <w:shd w:val="clear" w:color="auto" w:fill="auto"/>
            <w:noWrap/>
            <w:vAlign w:val="bottom"/>
            <w:hideMark/>
          </w:tcPr>
          <w:p w14:paraId="76F8864B"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0.599</w:t>
            </w:r>
          </w:p>
        </w:tc>
        <w:tc>
          <w:tcPr>
            <w:tcW w:w="961" w:type="dxa"/>
            <w:tcBorders>
              <w:top w:val="nil"/>
              <w:left w:val="nil"/>
              <w:bottom w:val="nil"/>
              <w:right w:val="nil"/>
            </w:tcBorders>
            <w:shd w:val="clear" w:color="auto" w:fill="auto"/>
            <w:noWrap/>
            <w:vAlign w:val="bottom"/>
            <w:hideMark/>
          </w:tcPr>
          <w:p w14:paraId="3744E3F5" w14:textId="1B54AF97" w:rsidR="00ED02A4" w:rsidRPr="007256AA" w:rsidRDefault="00EE6318" w:rsidP="00367A87">
            <w:pPr>
              <w:spacing w:after="0" w:line="240" w:lineRule="auto"/>
              <w:jc w:val="right"/>
              <w:rPr>
                <w:rFonts w:ascii="Calibri" w:eastAsia="Times New Roman" w:hAnsi="Calibri" w:cs="Calibri"/>
                <w:color w:val="000000"/>
                <w:lang w:eastAsia="en-IE"/>
              </w:rPr>
            </w:pPr>
            <w:r>
              <w:t>1.348</w:t>
            </w:r>
          </w:p>
        </w:tc>
        <w:tc>
          <w:tcPr>
            <w:tcW w:w="960" w:type="dxa"/>
            <w:tcBorders>
              <w:top w:val="nil"/>
              <w:left w:val="nil"/>
              <w:bottom w:val="nil"/>
              <w:right w:val="nil"/>
            </w:tcBorders>
            <w:shd w:val="clear" w:color="auto" w:fill="auto"/>
            <w:noWrap/>
            <w:vAlign w:val="bottom"/>
            <w:hideMark/>
          </w:tcPr>
          <w:p w14:paraId="68E9F974" w14:textId="7EBEDB0C" w:rsidR="00ED02A4" w:rsidRPr="007256AA" w:rsidRDefault="00E833E9" w:rsidP="00367A87">
            <w:pPr>
              <w:spacing w:after="0" w:line="240" w:lineRule="auto"/>
              <w:jc w:val="right"/>
              <w:rPr>
                <w:rFonts w:ascii="Calibri" w:eastAsia="Times New Roman" w:hAnsi="Calibri" w:cs="Calibri"/>
                <w:color w:val="000000"/>
                <w:lang w:eastAsia="en-IE"/>
              </w:rPr>
            </w:pPr>
            <w:r>
              <w:t>0.292</w:t>
            </w:r>
          </w:p>
        </w:tc>
        <w:tc>
          <w:tcPr>
            <w:tcW w:w="967" w:type="dxa"/>
            <w:tcBorders>
              <w:top w:val="nil"/>
              <w:left w:val="nil"/>
              <w:bottom w:val="nil"/>
              <w:right w:val="single" w:sz="4" w:space="0" w:color="auto"/>
            </w:tcBorders>
            <w:shd w:val="clear" w:color="auto" w:fill="auto"/>
            <w:noWrap/>
            <w:vAlign w:val="bottom"/>
            <w:hideMark/>
          </w:tcPr>
          <w:p w14:paraId="7313D3F8" w14:textId="0B7F91A1" w:rsidR="00ED02A4" w:rsidRPr="007256AA" w:rsidRDefault="00517DE4" w:rsidP="00367A87">
            <w:pPr>
              <w:spacing w:after="0" w:line="240" w:lineRule="auto"/>
              <w:jc w:val="right"/>
              <w:rPr>
                <w:rFonts w:ascii="Calibri" w:eastAsia="Times New Roman" w:hAnsi="Calibri" w:cs="Calibri"/>
                <w:color w:val="000000"/>
                <w:lang w:eastAsia="en-IE"/>
              </w:rPr>
            </w:pPr>
            <w:r>
              <w:t>2.902</w:t>
            </w:r>
          </w:p>
        </w:tc>
      </w:tr>
      <w:tr w:rsidR="00ED02A4" w:rsidRPr="007256AA" w14:paraId="3536E5AB"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56ABFBF6"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851" w:type="dxa"/>
            <w:tcBorders>
              <w:top w:val="nil"/>
              <w:left w:val="nil"/>
              <w:bottom w:val="nil"/>
              <w:right w:val="nil"/>
            </w:tcBorders>
            <w:shd w:val="clear" w:color="auto" w:fill="auto"/>
            <w:noWrap/>
            <w:vAlign w:val="bottom"/>
            <w:hideMark/>
          </w:tcPr>
          <w:p w14:paraId="1EEDF711" w14:textId="154863DD"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171AB7">
              <w:rPr>
                <w:rFonts w:ascii="Calibri" w:eastAsia="Times New Roman" w:hAnsi="Calibri" w:cs="Calibri"/>
                <w:b/>
                <w:bCs/>
                <w:i/>
                <w:iCs/>
                <w:color w:val="000000"/>
                <w:lang w:eastAsia="en-IE"/>
              </w:rPr>
              <w:t>000</w:t>
            </w:r>
          </w:p>
        </w:tc>
        <w:tc>
          <w:tcPr>
            <w:tcW w:w="1019" w:type="dxa"/>
            <w:tcBorders>
              <w:top w:val="nil"/>
              <w:left w:val="nil"/>
              <w:bottom w:val="nil"/>
              <w:right w:val="nil"/>
            </w:tcBorders>
            <w:shd w:val="clear" w:color="auto" w:fill="auto"/>
            <w:noWrap/>
            <w:vAlign w:val="bottom"/>
            <w:hideMark/>
          </w:tcPr>
          <w:p w14:paraId="2A2C13D4"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19" w:type="dxa"/>
            <w:tcBorders>
              <w:top w:val="nil"/>
              <w:left w:val="nil"/>
              <w:bottom w:val="nil"/>
              <w:right w:val="nil"/>
            </w:tcBorders>
            <w:shd w:val="clear" w:color="auto" w:fill="auto"/>
            <w:noWrap/>
            <w:vAlign w:val="bottom"/>
            <w:hideMark/>
          </w:tcPr>
          <w:p w14:paraId="78017EE2" w14:textId="1A40A9D4"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171AB7">
              <w:rPr>
                <w:rFonts w:ascii="Calibri" w:eastAsia="Times New Roman" w:hAnsi="Calibri" w:cs="Calibri"/>
                <w:b/>
                <w:bCs/>
                <w:i/>
                <w:iCs/>
                <w:color w:val="000000"/>
                <w:lang w:eastAsia="en-IE"/>
              </w:rPr>
              <w:t>000</w:t>
            </w:r>
          </w:p>
        </w:tc>
        <w:tc>
          <w:tcPr>
            <w:tcW w:w="963" w:type="dxa"/>
            <w:tcBorders>
              <w:top w:val="nil"/>
              <w:left w:val="nil"/>
              <w:bottom w:val="nil"/>
              <w:right w:val="nil"/>
            </w:tcBorders>
            <w:shd w:val="clear" w:color="auto" w:fill="auto"/>
            <w:noWrap/>
            <w:vAlign w:val="bottom"/>
            <w:hideMark/>
          </w:tcPr>
          <w:p w14:paraId="6C6DA041" w14:textId="1585CEF6"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3724F1">
              <w:rPr>
                <w:rFonts w:ascii="Calibri" w:eastAsia="Times New Roman" w:hAnsi="Calibri" w:cs="Calibri"/>
                <w:b/>
                <w:bCs/>
                <w:i/>
                <w:iCs/>
                <w:color w:val="000000"/>
                <w:lang w:eastAsia="en-IE"/>
              </w:rPr>
              <w:t>135</w:t>
            </w:r>
          </w:p>
        </w:tc>
        <w:tc>
          <w:tcPr>
            <w:tcW w:w="963" w:type="dxa"/>
            <w:tcBorders>
              <w:top w:val="nil"/>
              <w:left w:val="nil"/>
              <w:bottom w:val="nil"/>
              <w:right w:val="nil"/>
            </w:tcBorders>
            <w:shd w:val="clear" w:color="auto" w:fill="auto"/>
            <w:noWrap/>
            <w:vAlign w:val="bottom"/>
            <w:hideMark/>
          </w:tcPr>
          <w:p w14:paraId="44A9DD11" w14:textId="3D9A6378"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EE6318">
              <w:rPr>
                <w:rFonts w:ascii="Calibri" w:eastAsia="Times New Roman" w:hAnsi="Calibri" w:cs="Calibri"/>
                <w:b/>
                <w:bCs/>
                <w:i/>
                <w:iCs/>
                <w:color w:val="000000"/>
                <w:lang w:eastAsia="en-IE"/>
              </w:rPr>
              <w:t>858</w:t>
            </w:r>
          </w:p>
        </w:tc>
        <w:tc>
          <w:tcPr>
            <w:tcW w:w="963" w:type="dxa"/>
            <w:tcBorders>
              <w:top w:val="nil"/>
              <w:left w:val="nil"/>
              <w:bottom w:val="nil"/>
              <w:right w:val="nil"/>
            </w:tcBorders>
            <w:shd w:val="clear" w:color="auto" w:fill="auto"/>
            <w:noWrap/>
            <w:vAlign w:val="bottom"/>
            <w:hideMark/>
          </w:tcPr>
          <w:p w14:paraId="4392ADF7"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0.293</w:t>
            </w:r>
          </w:p>
        </w:tc>
        <w:tc>
          <w:tcPr>
            <w:tcW w:w="961" w:type="dxa"/>
            <w:tcBorders>
              <w:top w:val="nil"/>
              <w:left w:val="nil"/>
              <w:bottom w:val="nil"/>
              <w:right w:val="nil"/>
            </w:tcBorders>
            <w:shd w:val="clear" w:color="auto" w:fill="auto"/>
            <w:noWrap/>
            <w:vAlign w:val="bottom"/>
            <w:hideMark/>
          </w:tcPr>
          <w:p w14:paraId="6D28BFEF" w14:textId="6D97FD0B"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EE6318">
              <w:rPr>
                <w:rFonts w:ascii="Calibri" w:eastAsia="Times New Roman" w:hAnsi="Calibri" w:cs="Calibri"/>
                <w:b/>
                <w:bCs/>
                <w:i/>
                <w:iCs/>
                <w:color w:val="000000"/>
                <w:lang w:eastAsia="en-IE"/>
              </w:rPr>
              <w:t>000</w:t>
            </w:r>
          </w:p>
        </w:tc>
        <w:tc>
          <w:tcPr>
            <w:tcW w:w="960" w:type="dxa"/>
            <w:tcBorders>
              <w:top w:val="nil"/>
              <w:left w:val="nil"/>
              <w:bottom w:val="nil"/>
              <w:right w:val="nil"/>
            </w:tcBorders>
            <w:shd w:val="clear" w:color="auto" w:fill="auto"/>
            <w:noWrap/>
            <w:vAlign w:val="bottom"/>
            <w:hideMark/>
          </w:tcPr>
          <w:p w14:paraId="4F58208B" w14:textId="77D941A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E833E9">
              <w:rPr>
                <w:rFonts w:ascii="Calibri" w:eastAsia="Times New Roman" w:hAnsi="Calibri" w:cs="Calibri"/>
                <w:b/>
                <w:bCs/>
                <w:i/>
                <w:iCs/>
                <w:color w:val="000000"/>
                <w:lang w:eastAsia="en-IE"/>
              </w:rPr>
              <w:t>215</w:t>
            </w:r>
          </w:p>
        </w:tc>
        <w:tc>
          <w:tcPr>
            <w:tcW w:w="967" w:type="dxa"/>
            <w:tcBorders>
              <w:top w:val="nil"/>
              <w:left w:val="nil"/>
              <w:bottom w:val="nil"/>
              <w:right w:val="single" w:sz="4" w:space="0" w:color="auto"/>
            </w:tcBorders>
            <w:shd w:val="clear" w:color="auto" w:fill="auto"/>
            <w:noWrap/>
            <w:vAlign w:val="bottom"/>
            <w:hideMark/>
          </w:tcPr>
          <w:p w14:paraId="02E563EB" w14:textId="11B73D4B"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w:t>
            </w:r>
            <w:r w:rsidR="00517DE4">
              <w:rPr>
                <w:rFonts w:ascii="Calibri" w:eastAsia="Times New Roman" w:hAnsi="Calibri" w:cs="Calibri"/>
                <w:b/>
                <w:bCs/>
                <w:i/>
                <w:iCs/>
                <w:color w:val="000000"/>
                <w:lang w:eastAsia="en-IE"/>
              </w:rPr>
              <w:t>0</w:t>
            </w:r>
          </w:p>
        </w:tc>
      </w:tr>
      <w:tr w:rsidR="00ED02A4" w:rsidRPr="007256AA" w14:paraId="54AB2BD8"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1615ACEA"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ERM</w:t>
            </w:r>
          </w:p>
        </w:tc>
        <w:tc>
          <w:tcPr>
            <w:tcW w:w="851" w:type="dxa"/>
            <w:tcBorders>
              <w:top w:val="nil"/>
              <w:left w:val="nil"/>
              <w:bottom w:val="nil"/>
              <w:right w:val="nil"/>
            </w:tcBorders>
            <w:shd w:val="clear" w:color="auto" w:fill="auto"/>
            <w:noWrap/>
            <w:vAlign w:val="bottom"/>
            <w:hideMark/>
          </w:tcPr>
          <w:p w14:paraId="589744AE" w14:textId="5B036C2B"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w:t>
            </w:r>
            <w:r w:rsidR="00171AB7">
              <w:rPr>
                <w:rFonts w:ascii="Calibri" w:eastAsia="Times New Roman" w:hAnsi="Calibri" w:cs="Calibri"/>
                <w:color w:val="000000"/>
                <w:lang w:eastAsia="en-IE"/>
              </w:rPr>
              <w:t>0.144</w:t>
            </w:r>
          </w:p>
        </w:tc>
        <w:tc>
          <w:tcPr>
            <w:tcW w:w="1019" w:type="dxa"/>
            <w:tcBorders>
              <w:top w:val="nil"/>
              <w:left w:val="nil"/>
              <w:bottom w:val="nil"/>
              <w:right w:val="nil"/>
            </w:tcBorders>
            <w:shd w:val="clear" w:color="auto" w:fill="auto"/>
            <w:noWrap/>
            <w:vAlign w:val="bottom"/>
            <w:hideMark/>
          </w:tcPr>
          <w:p w14:paraId="3E329F7A" w14:textId="6F6321AB" w:rsidR="00ED02A4" w:rsidRPr="007256AA" w:rsidRDefault="00171AB7" w:rsidP="00367A87">
            <w:pPr>
              <w:spacing w:after="0" w:line="240" w:lineRule="auto"/>
              <w:jc w:val="right"/>
              <w:rPr>
                <w:rFonts w:ascii="Calibri" w:eastAsia="Times New Roman" w:hAnsi="Calibri" w:cs="Calibri"/>
                <w:color w:val="000000"/>
                <w:lang w:eastAsia="en-IE"/>
              </w:rPr>
            </w:pPr>
            <w:r>
              <w:t>1.691</w:t>
            </w:r>
          </w:p>
        </w:tc>
        <w:tc>
          <w:tcPr>
            <w:tcW w:w="1019" w:type="dxa"/>
            <w:tcBorders>
              <w:top w:val="nil"/>
              <w:left w:val="nil"/>
              <w:bottom w:val="nil"/>
              <w:right w:val="nil"/>
            </w:tcBorders>
            <w:shd w:val="clear" w:color="auto" w:fill="auto"/>
            <w:noWrap/>
            <w:vAlign w:val="bottom"/>
            <w:hideMark/>
          </w:tcPr>
          <w:p w14:paraId="371CE41C" w14:textId="09BCB1F8" w:rsidR="00ED02A4" w:rsidRPr="007256AA" w:rsidRDefault="00171AB7" w:rsidP="00367A87">
            <w:pPr>
              <w:spacing w:after="0" w:line="240" w:lineRule="auto"/>
              <w:jc w:val="right"/>
              <w:rPr>
                <w:rFonts w:ascii="Calibri" w:eastAsia="Times New Roman" w:hAnsi="Calibri" w:cs="Calibri"/>
                <w:color w:val="000000"/>
                <w:lang w:eastAsia="en-IE"/>
              </w:rPr>
            </w:pPr>
            <w:r>
              <w:t>-13.580</w:t>
            </w:r>
          </w:p>
        </w:tc>
        <w:tc>
          <w:tcPr>
            <w:tcW w:w="963" w:type="dxa"/>
            <w:tcBorders>
              <w:top w:val="nil"/>
              <w:left w:val="nil"/>
              <w:bottom w:val="nil"/>
              <w:right w:val="nil"/>
            </w:tcBorders>
            <w:shd w:val="clear" w:color="auto" w:fill="auto"/>
            <w:noWrap/>
            <w:vAlign w:val="bottom"/>
            <w:hideMark/>
          </w:tcPr>
          <w:p w14:paraId="6A67E960" w14:textId="5550D6EB" w:rsidR="00ED02A4" w:rsidRPr="007256AA" w:rsidRDefault="003724F1" w:rsidP="00367A87">
            <w:pPr>
              <w:spacing w:after="0" w:line="240" w:lineRule="auto"/>
              <w:jc w:val="right"/>
              <w:rPr>
                <w:rFonts w:ascii="Calibri" w:eastAsia="Times New Roman" w:hAnsi="Calibri" w:cs="Calibri"/>
                <w:color w:val="000000"/>
                <w:lang w:eastAsia="en-IE"/>
              </w:rPr>
            </w:pPr>
            <w:r>
              <w:t>7.427</w:t>
            </w:r>
          </w:p>
        </w:tc>
        <w:tc>
          <w:tcPr>
            <w:tcW w:w="963" w:type="dxa"/>
            <w:tcBorders>
              <w:top w:val="nil"/>
              <w:left w:val="nil"/>
              <w:bottom w:val="nil"/>
              <w:right w:val="nil"/>
            </w:tcBorders>
            <w:shd w:val="clear" w:color="auto" w:fill="auto"/>
            <w:noWrap/>
            <w:vAlign w:val="bottom"/>
            <w:hideMark/>
          </w:tcPr>
          <w:p w14:paraId="2F70F499" w14:textId="2F5613BF" w:rsidR="00ED02A4" w:rsidRPr="007256AA" w:rsidRDefault="00EE6318" w:rsidP="00367A87">
            <w:pPr>
              <w:spacing w:after="0" w:line="240" w:lineRule="auto"/>
              <w:jc w:val="right"/>
              <w:rPr>
                <w:rFonts w:ascii="Calibri" w:eastAsia="Times New Roman" w:hAnsi="Calibri" w:cs="Calibri"/>
                <w:color w:val="000000"/>
                <w:lang w:eastAsia="en-IE"/>
              </w:rPr>
            </w:pPr>
            <w:r>
              <w:t>3.788</w:t>
            </w:r>
          </w:p>
        </w:tc>
        <w:tc>
          <w:tcPr>
            <w:tcW w:w="963" w:type="dxa"/>
            <w:tcBorders>
              <w:top w:val="nil"/>
              <w:left w:val="nil"/>
              <w:bottom w:val="nil"/>
              <w:right w:val="nil"/>
            </w:tcBorders>
            <w:shd w:val="clear" w:color="auto" w:fill="auto"/>
            <w:noWrap/>
            <w:vAlign w:val="bottom"/>
            <w:hideMark/>
          </w:tcPr>
          <w:p w14:paraId="1B645A91" w14:textId="146DA03E" w:rsidR="00ED02A4" w:rsidRPr="007256AA" w:rsidRDefault="00F86965" w:rsidP="00367A87">
            <w:pPr>
              <w:spacing w:after="0" w:line="240" w:lineRule="auto"/>
              <w:jc w:val="right"/>
              <w:rPr>
                <w:rFonts w:ascii="Calibri" w:eastAsia="Times New Roman" w:hAnsi="Calibri" w:cs="Calibri"/>
                <w:color w:val="000000"/>
                <w:lang w:eastAsia="en-IE"/>
              </w:rPr>
            </w:pPr>
            <w:r>
              <w:t>2.245</w:t>
            </w:r>
          </w:p>
        </w:tc>
        <w:tc>
          <w:tcPr>
            <w:tcW w:w="961" w:type="dxa"/>
            <w:tcBorders>
              <w:top w:val="nil"/>
              <w:left w:val="nil"/>
              <w:bottom w:val="nil"/>
              <w:right w:val="nil"/>
            </w:tcBorders>
            <w:shd w:val="clear" w:color="auto" w:fill="auto"/>
            <w:noWrap/>
            <w:vAlign w:val="bottom"/>
            <w:hideMark/>
          </w:tcPr>
          <w:p w14:paraId="73F31D00"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-14.540</w:t>
            </w:r>
          </w:p>
        </w:tc>
        <w:tc>
          <w:tcPr>
            <w:tcW w:w="960" w:type="dxa"/>
            <w:tcBorders>
              <w:top w:val="nil"/>
              <w:left w:val="nil"/>
              <w:bottom w:val="nil"/>
              <w:right w:val="nil"/>
            </w:tcBorders>
            <w:shd w:val="clear" w:color="auto" w:fill="auto"/>
            <w:noWrap/>
            <w:vAlign w:val="bottom"/>
            <w:hideMark/>
          </w:tcPr>
          <w:p w14:paraId="50AC8F45" w14:textId="4F81E902" w:rsidR="00ED02A4" w:rsidRPr="007256AA" w:rsidRDefault="00E833E9" w:rsidP="00367A87">
            <w:pPr>
              <w:spacing w:after="0" w:line="240" w:lineRule="auto"/>
              <w:jc w:val="right"/>
              <w:rPr>
                <w:rFonts w:ascii="Calibri" w:eastAsia="Times New Roman" w:hAnsi="Calibri" w:cs="Calibri"/>
                <w:color w:val="000000"/>
                <w:lang w:eastAsia="en-IE"/>
              </w:rPr>
            </w:pPr>
            <w:r>
              <w:t>-2.375</w:t>
            </w:r>
          </w:p>
        </w:tc>
        <w:tc>
          <w:tcPr>
            <w:tcW w:w="967" w:type="dxa"/>
            <w:tcBorders>
              <w:top w:val="nil"/>
              <w:left w:val="nil"/>
              <w:bottom w:val="nil"/>
              <w:right w:val="single" w:sz="4" w:space="0" w:color="auto"/>
            </w:tcBorders>
            <w:shd w:val="clear" w:color="auto" w:fill="auto"/>
            <w:noWrap/>
            <w:vAlign w:val="bottom"/>
            <w:hideMark/>
          </w:tcPr>
          <w:p w14:paraId="07013717" w14:textId="774997F6" w:rsidR="00ED02A4" w:rsidRPr="007256AA" w:rsidRDefault="00517DE4" w:rsidP="00367A87">
            <w:pPr>
              <w:spacing w:after="0" w:line="240" w:lineRule="auto"/>
              <w:jc w:val="right"/>
              <w:rPr>
                <w:rFonts w:ascii="Calibri" w:eastAsia="Times New Roman" w:hAnsi="Calibri" w:cs="Calibri"/>
                <w:color w:val="000000"/>
                <w:lang w:eastAsia="en-IE"/>
              </w:rPr>
            </w:pPr>
            <w:r>
              <w:t>-9.339</w:t>
            </w:r>
          </w:p>
        </w:tc>
      </w:tr>
      <w:tr w:rsidR="00ED02A4" w:rsidRPr="007256AA" w14:paraId="4639D2FA"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45BDEA0A"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851" w:type="dxa"/>
            <w:tcBorders>
              <w:top w:val="nil"/>
              <w:left w:val="nil"/>
              <w:bottom w:val="nil"/>
              <w:right w:val="nil"/>
            </w:tcBorders>
            <w:shd w:val="clear" w:color="auto" w:fill="auto"/>
            <w:noWrap/>
            <w:vAlign w:val="bottom"/>
            <w:hideMark/>
          </w:tcPr>
          <w:p w14:paraId="21C8630B" w14:textId="4CBBE00A"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171AB7">
              <w:rPr>
                <w:rFonts w:ascii="Calibri" w:eastAsia="Times New Roman" w:hAnsi="Calibri" w:cs="Calibri"/>
                <w:b/>
                <w:bCs/>
                <w:i/>
                <w:iCs/>
                <w:color w:val="000000"/>
                <w:lang w:eastAsia="en-IE"/>
              </w:rPr>
              <w:t>917</w:t>
            </w:r>
          </w:p>
        </w:tc>
        <w:tc>
          <w:tcPr>
            <w:tcW w:w="1019" w:type="dxa"/>
            <w:tcBorders>
              <w:top w:val="nil"/>
              <w:left w:val="nil"/>
              <w:bottom w:val="nil"/>
              <w:right w:val="nil"/>
            </w:tcBorders>
            <w:shd w:val="clear" w:color="auto" w:fill="auto"/>
            <w:noWrap/>
            <w:vAlign w:val="bottom"/>
            <w:hideMark/>
          </w:tcPr>
          <w:p w14:paraId="1F8C5592" w14:textId="6DE7E903"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171AB7">
              <w:rPr>
                <w:rFonts w:ascii="Calibri" w:eastAsia="Times New Roman" w:hAnsi="Calibri" w:cs="Calibri"/>
                <w:b/>
                <w:bCs/>
                <w:i/>
                <w:iCs/>
                <w:color w:val="000000"/>
                <w:lang w:eastAsia="en-IE"/>
              </w:rPr>
              <w:t>445</w:t>
            </w:r>
          </w:p>
        </w:tc>
        <w:tc>
          <w:tcPr>
            <w:tcW w:w="1019" w:type="dxa"/>
            <w:tcBorders>
              <w:top w:val="nil"/>
              <w:left w:val="nil"/>
              <w:bottom w:val="nil"/>
              <w:right w:val="nil"/>
            </w:tcBorders>
            <w:shd w:val="clear" w:color="auto" w:fill="auto"/>
            <w:noWrap/>
            <w:vAlign w:val="bottom"/>
            <w:hideMark/>
          </w:tcPr>
          <w:p w14:paraId="65BB7AD5"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64643171" w14:textId="222BAADD"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w:t>
            </w:r>
            <w:r w:rsidR="003724F1">
              <w:rPr>
                <w:rFonts w:ascii="Calibri" w:eastAsia="Times New Roman" w:hAnsi="Calibri" w:cs="Calibri"/>
                <w:b/>
                <w:bCs/>
                <w:i/>
                <w:iCs/>
                <w:color w:val="000000"/>
                <w:lang w:eastAsia="en-IE"/>
              </w:rPr>
              <w:t>16</w:t>
            </w:r>
          </w:p>
        </w:tc>
        <w:tc>
          <w:tcPr>
            <w:tcW w:w="963" w:type="dxa"/>
            <w:tcBorders>
              <w:top w:val="nil"/>
              <w:left w:val="nil"/>
              <w:bottom w:val="nil"/>
              <w:right w:val="nil"/>
            </w:tcBorders>
            <w:shd w:val="clear" w:color="auto" w:fill="auto"/>
            <w:noWrap/>
            <w:vAlign w:val="bottom"/>
            <w:hideMark/>
          </w:tcPr>
          <w:p w14:paraId="72C9A3C0" w14:textId="72F208C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EE6318">
              <w:rPr>
                <w:rFonts w:ascii="Calibri" w:eastAsia="Times New Roman" w:hAnsi="Calibri" w:cs="Calibri"/>
                <w:b/>
                <w:bCs/>
                <w:i/>
                <w:iCs/>
                <w:color w:val="000000"/>
                <w:lang w:eastAsia="en-IE"/>
              </w:rPr>
              <w:t>456</w:t>
            </w:r>
          </w:p>
        </w:tc>
        <w:tc>
          <w:tcPr>
            <w:tcW w:w="963" w:type="dxa"/>
            <w:tcBorders>
              <w:top w:val="nil"/>
              <w:left w:val="nil"/>
              <w:bottom w:val="nil"/>
              <w:right w:val="nil"/>
            </w:tcBorders>
            <w:shd w:val="clear" w:color="auto" w:fill="auto"/>
            <w:noWrap/>
            <w:vAlign w:val="bottom"/>
            <w:hideMark/>
          </w:tcPr>
          <w:p w14:paraId="3C9BE593" w14:textId="6BC85D10"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w:t>
            </w:r>
            <w:r w:rsidR="00F86965">
              <w:rPr>
                <w:rFonts w:ascii="Calibri" w:eastAsia="Times New Roman" w:hAnsi="Calibri" w:cs="Calibri"/>
                <w:b/>
                <w:bCs/>
                <w:i/>
                <w:iCs/>
                <w:color w:val="000000"/>
                <w:lang w:eastAsia="en-IE"/>
              </w:rPr>
              <w:t>99</w:t>
            </w:r>
          </w:p>
        </w:tc>
        <w:tc>
          <w:tcPr>
            <w:tcW w:w="961" w:type="dxa"/>
            <w:tcBorders>
              <w:top w:val="nil"/>
              <w:left w:val="nil"/>
              <w:bottom w:val="nil"/>
              <w:right w:val="nil"/>
            </w:tcBorders>
            <w:shd w:val="clear" w:color="auto" w:fill="auto"/>
            <w:noWrap/>
            <w:vAlign w:val="bottom"/>
            <w:hideMark/>
          </w:tcPr>
          <w:p w14:paraId="43C316BD"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0" w:type="dxa"/>
            <w:tcBorders>
              <w:top w:val="nil"/>
              <w:left w:val="nil"/>
              <w:bottom w:val="nil"/>
              <w:right w:val="nil"/>
            </w:tcBorders>
            <w:shd w:val="clear" w:color="auto" w:fill="auto"/>
            <w:noWrap/>
            <w:vAlign w:val="bottom"/>
            <w:hideMark/>
          </w:tcPr>
          <w:p w14:paraId="2E4C1E70" w14:textId="2118C665"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E833E9">
              <w:rPr>
                <w:rFonts w:ascii="Calibri" w:eastAsia="Times New Roman" w:hAnsi="Calibri" w:cs="Calibri"/>
                <w:b/>
                <w:bCs/>
                <w:i/>
                <w:iCs/>
                <w:color w:val="000000"/>
                <w:lang w:eastAsia="en-IE"/>
              </w:rPr>
              <w:t>3</w:t>
            </w:r>
            <w:r w:rsidRPr="007256AA">
              <w:rPr>
                <w:rFonts w:ascii="Calibri" w:eastAsia="Times New Roman" w:hAnsi="Calibri" w:cs="Calibri"/>
                <w:b/>
                <w:bCs/>
                <w:i/>
                <w:iCs/>
                <w:color w:val="000000"/>
                <w:lang w:eastAsia="en-IE"/>
              </w:rPr>
              <w:t>00</w:t>
            </w:r>
          </w:p>
        </w:tc>
        <w:tc>
          <w:tcPr>
            <w:tcW w:w="967" w:type="dxa"/>
            <w:tcBorders>
              <w:top w:val="nil"/>
              <w:left w:val="nil"/>
              <w:bottom w:val="nil"/>
              <w:right w:val="single" w:sz="4" w:space="0" w:color="auto"/>
            </w:tcBorders>
            <w:shd w:val="clear" w:color="auto" w:fill="auto"/>
            <w:noWrap/>
            <w:vAlign w:val="bottom"/>
            <w:hideMark/>
          </w:tcPr>
          <w:p w14:paraId="393876FE" w14:textId="3C1572A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w:t>
            </w:r>
            <w:r w:rsidR="00517DE4">
              <w:rPr>
                <w:rFonts w:ascii="Calibri" w:eastAsia="Times New Roman" w:hAnsi="Calibri" w:cs="Calibri"/>
                <w:b/>
                <w:bCs/>
                <w:i/>
                <w:iCs/>
                <w:color w:val="000000"/>
                <w:lang w:eastAsia="en-IE"/>
              </w:rPr>
              <w:t>18</w:t>
            </w:r>
          </w:p>
        </w:tc>
      </w:tr>
      <w:tr w:rsidR="00ED02A4" w:rsidRPr="007256AA" w14:paraId="69E61278"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335F9F75"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Eurozone</w:t>
            </w:r>
          </w:p>
        </w:tc>
        <w:tc>
          <w:tcPr>
            <w:tcW w:w="851" w:type="dxa"/>
            <w:tcBorders>
              <w:top w:val="nil"/>
              <w:left w:val="nil"/>
              <w:bottom w:val="nil"/>
              <w:right w:val="nil"/>
            </w:tcBorders>
            <w:shd w:val="clear" w:color="auto" w:fill="auto"/>
            <w:noWrap/>
            <w:vAlign w:val="bottom"/>
            <w:hideMark/>
          </w:tcPr>
          <w:p w14:paraId="76750EC9" w14:textId="13EDA6FC" w:rsidR="00ED02A4" w:rsidRPr="007256AA" w:rsidRDefault="00171AB7" w:rsidP="00367A87">
            <w:pPr>
              <w:spacing w:after="0" w:line="240" w:lineRule="auto"/>
              <w:jc w:val="right"/>
              <w:rPr>
                <w:rFonts w:ascii="Calibri" w:eastAsia="Times New Roman" w:hAnsi="Calibri" w:cs="Calibri"/>
                <w:color w:val="000000"/>
                <w:lang w:eastAsia="en-IE"/>
              </w:rPr>
            </w:pPr>
            <w:r>
              <w:rPr>
                <w:rFonts w:ascii="Calibri" w:eastAsia="Times New Roman" w:hAnsi="Calibri" w:cs="Calibri"/>
                <w:color w:val="000000"/>
                <w:lang w:eastAsia="en-IE"/>
              </w:rPr>
              <w:t>-5.</w:t>
            </w:r>
            <w:r>
              <w:t>484</w:t>
            </w:r>
          </w:p>
        </w:tc>
        <w:tc>
          <w:tcPr>
            <w:tcW w:w="1019" w:type="dxa"/>
            <w:tcBorders>
              <w:top w:val="nil"/>
              <w:left w:val="nil"/>
              <w:bottom w:val="nil"/>
              <w:right w:val="nil"/>
            </w:tcBorders>
            <w:shd w:val="clear" w:color="auto" w:fill="auto"/>
            <w:noWrap/>
            <w:vAlign w:val="bottom"/>
            <w:hideMark/>
          </w:tcPr>
          <w:p w14:paraId="03C53992" w14:textId="299BCA96" w:rsidR="00ED02A4" w:rsidRPr="007256AA" w:rsidRDefault="00171AB7" w:rsidP="00367A87">
            <w:pPr>
              <w:spacing w:after="0" w:line="240" w:lineRule="auto"/>
              <w:jc w:val="right"/>
              <w:rPr>
                <w:rFonts w:ascii="Calibri" w:eastAsia="Times New Roman" w:hAnsi="Calibri" w:cs="Calibri"/>
                <w:color w:val="000000"/>
                <w:lang w:eastAsia="en-IE"/>
              </w:rPr>
            </w:pPr>
            <w:r>
              <w:t>-2.769</w:t>
            </w:r>
          </w:p>
        </w:tc>
        <w:tc>
          <w:tcPr>
            <w:tcW w:w="1019" w:type="dxa"/>
            <w:tcBorders>
              <w:top w:val="nil"/>
              <w:left w:val="nil"/>
              <w:bottom w:val="nil"/>
              <w:right w:val="nil"/>
            </w:tcBorders>
            <w:shd w:val="clear" w:color="auto" w:fill="auto"/>
            <w:noWrap/>
            <w:vAlign w:val="bottom"/>
            <w:hideMark/>
          </w:tcPr>
          <w:p w14:paraId="403E55F4" w14:textId="36918B8E"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w:t>
            </w:r>
            <w:r w:rsidR="00171AB7">
              <w:rPr>
                <w:rFonts w:ascii="Calibri" w:eastAsia="Times New Roman" w:hAnsi="Calibri" w:cs="Calibri"/>
                <w:color w:val="000000"/>
                <w:lang w:eastAsia="en-IE"/>
              </w:rPr>
              <w:t>5.290</w:t>
            </w:r>
          </w:p>
        </w:tc>
        <w:tc>
          <w:tcPr>
            <w:tcW w:w="963" w:type="dxa"/>
            <w:tcBorders>
              <w:top w:val="nil"/>
              <w:left w:val="nil"/>
              <w:bottom w:val="nil"/>
              <w:right w:val="nil"/>
            </w:tcBorders>
            <w:shd w:val="clear" w:color="auto" w:fill="auto"/>
            <w:noWrap/>
            <w:vAlign w:val="bottom"/>
            <w:hideMark/>
          </w:tcPr>
          <w:p w14:paraId="32744928" w14:textId="3A34B0A1" w:rsidR="00ED02A4" w:rsidRPr="007256AA" w:rsidRDefault="003724F1" w:rsidP="00367A87">
            <w:pPr>
              <w:spacing w:after="0" w:line="240" w:lineRule="auto"/>
              <w:jc w:val="right"/>
              <w:rPr>
                <w:rFonts w:ascii="Calibri" w:eastAsia="Times New Roman" w:hAnsi="Calibri" w:cs="Calibri"/>
                <w:color w:val="000000"/>
                <w:lang w:eastAsia="en-IE"/>
              </w:rPr>
            </w:pPr>
            <w:r>
              <w:t>-9.521</w:t>
            </w:r>
          </w:p>
        </w:tc>
        <w:tc>
          <w:tcPr>
            <w:tcW w:w="963" w:type="dxa"/>
            <w:tcBorders>
              <w:top w:val="nil"/>
              <w:left w:val="nil"/>
              <w:bottom w:val="nil"/>
              <w:right w:val="nil"/>
            </w:tcBorders>
            <w:shd w:val="clear" w:color="auto" w:fill="auto"/>
            <w:noWrap/>
            <w:vAlign w:val="bottom"/>
            <w:hideMark/>
          </w:tcPr>
          <w:p w14:paraId="3227635E"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-27.927</w:t>
            </w:r>
          </w:p>
        </w:tc>
        <w:tc>
          <w:tcPr>
            <w:tcW w:w="963" w:type="dxa"/>
            <w:tcBorders>
              <w:top w:val="nil"/>
              <w:left w:val="nil"/>
              <w:bottom w:val="nil"/>
              <w:right w:val="nil"/>
            </w:tcBorders>
            <w:shd w:val="clear" w:color="auto" w:fill="auto"/>
            <w:noWrap/>
            <w:vAlign w:val="bottom"/>
            <w:hideMark/>
          </w:tcPr>
          <w:p w14:paraId="2C1BCCD7" w14:textId="11880834" w:rsidR="00ED02A4" w:rsidRPr="007256AA" w:rsidRDefault="00F86965" w:rsidP="00367A87">
            <w:pPr>
              <w:spacing w:after="0" w:line="240" w:lineRule="auto"/>
              <w:jc w:val="right"/>
              <w:rPr>
                <w:rFonts w:ascii="Calibri" w:eastAsia="Times New Roman" w:hAnsi="Calibri" w:cs="Calibri"/>
                <w:color w:val="000000"/>
                <w:lang w:eastAsia="en-IE"/>
              </w:rPr>
            </w:pPr>
            <w:r>
              <w:t>-3.796</w:t>
            </w:r>
          </w:p>
        </w:tc>
        <w:tc>
          <w:tcPr>
            <w:tcW w:w="961" w:type="dxa"/>
            <w:tcBorders>
              <w:top w:val="nil"/>
              <w:left w:val="nil"/>
              <w:bottom w:val="nil"/>
              <w:right w:val="nil"/>
            </w:tcBorders>
            <w:shd w:val="clear" w:color="auto" w:fill="auto"/>
            <w:noWrap/>
            <w:vAlign w:val="bottom"/>
            <w:hideMark/>
          </w:tcPr>
          <w:p w14:paraId="418E16B8"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-1.016</w:t>
            </w:r>
          </w:p>
        </w:tc>
        <w:tc>
          <w:tcPr>
            <w:tcW w:w="960" w:type="dxa"/>
            <w:tcBorders>
              <w:top w:val="nil"/>
              <w:left w:val="nil"/>
              <w:bottom w:val="nil"/>
              <w:right w:val="nil"/>
            </w:tcBorders>
            <w:shd w:val="clear" w:color="auto" w:fill="auto"/>
            <w:noWrap/>
            <w:vAlign w:val="bottom"/>
            <w:hideMark/>
          </w:tcPr>
          <w:p w14:paraId="030A56AE" w14:textId="01ADB22D" w:rsidR="00ED02A4" w:rsidRPr="007256AA" w:rsidRDefault="00E833E9" w:rsidP="00367A87">
            <w:pPr>
              <w:spacing w:after="0" w:line="240" w:lineRule="auto"/>
              <w:jc w:val="right"/>
              <w:rPr>
                <w:rFonts w:ascii="Calibri" w:eastAsia="Times New Roman" w:hAnsi="Calibri" w:cs="Calibri"/>
                <w:color w:val="000000"/>
                <w:lang w:eastAsia="en-IE"/>
              </w:rPr>
            </w:pPr>
            <w:r>
              <w:t>-2.657</w:t>
            </w:r>
          </w:p>
        </w:tc>
        <w:tc>
          <w:tcPr>
            <w:tcW w:w="967" w:type="dxa"/>
            <w:tcBorders>
              <w:top w:val="nil"/>
              <w:left w:val="nil"/>
              <w:bottom w:val="nil"/>
              <w:right w:val="single" w:sz="4" w:space="0" w:color="auto"/>
            </w:tcBorders>
            <w:shd w:val="clear" w:color="auto" w:fill="auto"/>
            <w:noWrap/>
            <w:vAlign w:val="bottom"/>
            <w:hideMark/>
          </w:tcPr>
          <w:p w14:paraId="3EAC0FC7" w14:textId="0CCEA8A4" w:rsidR="00ED02A4" w:rsidRPr="007256AA" w:rsidRDefault="00517DE4" w:rsidP="00367A87">
            <w:pPr>
              <w:spacing w:after="0" w:line="240" w:lineRule="auto"/>
              <w:jc w:val="right"/>
              <w:rPr>
                <w:rFonts w:ascii="Calibri" w:eastAsia="Times New Roman" w:hAnsi="Calibri" w:cs="Calibri"/>
                <w:color w:val="000000"/>
                <w:lang w:eastAsia="en-IE"/>
              </w:rPr>
            </w:pPr>
            <w:r>
              <w:t>-2.187</w:t>
            </w:r>
          </w:p>
        </w:tc>
      </w:tr>
      <w:tr w:rsidR="00ED02A4" w:rsidRPr="007256AA" w14:paraId="38AFC3CF"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3A5F79E2" w14:textId="77777777" w:rsidR="00ED02A4" w:rsidRPr="007256AA" w:rsidRDefault="00ED02A4" w:rsidP="00367A87">
            <w:pPr>
              <w:spacing w:after="0" w:line="240" w:lineRule="auto"/>
              <w:rPr>
                <w:rFonts w:ascii="Calibri" w:eastAsia="Times New Roman" w:hAnsi="Calibri" w:cs="Calibri"/>
                <w:i/>
                <w:iCs/>
                <w:color w:val="000000"/>
                <w:lang w:eastAsia="en-IE"/>
              </w:rPr>
            </w:pPr>
            <w:r w:rsidRPr="007256AA">
              <w:rPr>
                <w:rFonts w:ascii="Calibri" w:eastAsia="Times New Roman" w:hAnsi="Calibri" w:cs="Calibri"/>
                <w:i/>
                <w:iCs/>
                <w:color w:val="000000"/>
                <w:lang w:eastAsia="en-IE"/>
              </w:rPr>
              <w:t> </w:t>
            </w:r>
          </w:p>
        </w:tc>
        <w:tc>
          <w:tcPr>
            <w:tcW w:w="851" w:type="dxa"/>
            <w:tcBorders>
              <w:top w:val="nil"/>
              <w:left w:val="nil"/>
              <w:bottom w:val="nil"/>
              <w:right w:val="nil"/>
            </w:tcBorders>
            <w:shd w:val="clear" w:color="auto" w:fill="auto"/>
            <w:noWrap/>
            <w:vAlign w:val="bottom"/>
            <w:hideMark/>
          </w:tcPr>
          <w:p w14:paraId="7BD3A957" w14:textId="7C327FFB"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w:t>
            </w:r>
            <w:r w:rsidR="00171AB7">
              <w:rPr>
                <w:rFonts w:ascii="Calibri" w:eastAsia="Times New Roman" w:hAnsi="Calibri" w:cs="Calibri"/>
                <w:b/>
                <w:bCs/>
                <w:i/>
                <w:iCs/>
                <w:color w:val="000000"/>
                <w:lang w:eastAsia="en-IE"/>
              </w:rPr>
              <w:t>00</w:t>
            </w:r>
          </w:p>
        </w:tc>
        <w:tc>
          <w:tcPr>
            <w:tcW w:w="1019" w:type="dxa"/>
            <w:tcBorders>
              <w:top w:val="nil"/>
              <w:left w:val="nil"/>
              <w:bottom w:val="nil"/>
              <w:right w:val="nil"/>
            </w:tcBorders>
            <w:shd w:val="clear" w:color="auto" w:fill="auto"/>
            <w:noWrap/>
            <w:vAlign w:val="bottom"/>
            <w:hideMark/>
          </w:tcPr>
          <w:p w14:paraId="0214716F" w14:textId="467EF943"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w:t>
            </w:r>
            <w:r w:rsidR="00171AB7">
              <w:rPr>
                <w:rFonts w:ascii="Calibri" w:eastAsia="Times New Roman" w:hAnsi="Calibri" w:cs="Calibri"/>
                <w:b/>
                <w:bCs/>
                <w:i/>
                <w:iCs/>
                <w:color w:val="000000"/>
                <w:lang w:eastAsia="en-IE"/>
              </w:rPr>
              <w:t>56</w:t>
            </w:r>
          </w:p>
        </w:tc>
        <w:tc>
          <w:tcPr>
            <w:tcW w:w="1019" w:type="dxa"/>
            <w:tcBorders>
              <w:top w:val="nil"/>
              <w:left w:val="nil"/>
              <w:bottom w:val="nil"/>
              <w:right w:val="nil"/>
            </w:tcBorders>
            <w:shd w:val="clear" w:color="auto" w:fill="auto"/>
            <w:noWrap/>
            <w:vAlign w:val="bottom"/>
            <w:hideMark/>
          </w:tcPr>
          <w:p w14:paraId="65506858" w14:textId="5C23910C"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w:t>
            </w:r>
            <w:r w:rsidR="00171AB7">
              <w:rPr>
                <w:rFonts w:ascii="Calibri" w:eastAsia="Times New Roman" w:hAnsi="Calibri" w:cs="Calibri"/>
                <w:b/>
                <w:bCs/>
                <w:i/>
                <w:iCs/>
                <w:color w:val="000000"/>
                <w:lang w:eastAsia="en-IE"/>
              </w:rPr>
              <w:t>12</w:t>
            </w:r>
          </w:p>
        </w:tc>
        <w:tc>
          <w:tcPr>
            <w:tcW w:w="963" w:type="dxa"/>
            <w:tcBorders>
              <w:top w:val="nil"/>
              <w:left w:val="nil"/>
              <w:bottom w:val="nil"/>
              <w:right w:val="nil"/>
            </w:tcBorders>
            <w:shd w:val="clear" w:color="auto" w:fill="auto"/>
            <w:noWrap/>
            <w:vAlign w:val="bottom"/>
            <w:hideMark/>
          </w:tcPr>
          <w:p w14:paraId="58BFDA93" w14:textId="44F6BDC8"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3724F1">
              <w:rPr>
                <w:rFonts w:ascii="Calibri" w:eastAsia="Times New Roman" w:hAnsi="Calibri" w:cs="Calibri"/>
                <w:b/>
                <w:bCs/>
                <w:i/>
                <w:iCs/>
                <w:color w:val="000000"/>
                <w:lang w:eastAsia="en-IE"/>
              </w:rPr>
              <w:t>000</w:t>
            </w:r>
          </w:p>
        </w:tc>
        <w:tc>
          <w:tcPr>
            <w:tcW w:w="963" w:type="dxa"/>
            <w:tcBorders>
              <w:top w:val="nil"/>
              <w:left w:val="nil"/>
              <w:bottom w:val="nil"/>
              <w:right w:val="nil"/>
            </w:tcBorders>
            <w:shd w:val="clear" w:color="auto" w:fill="auto"/>
            <w:noWrap/>
            <w:vAlign w:val="bottom"/>
            <w:hideMark/>
          </w:tcPr>
          <w:p w14:paraId="53312BBE"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2067F8E8"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1" w:type="dxa"/>
            <w:tcBorders>
              <w:top w:val="nil"/>
              <w:left w:val="nil"/>
              <w:bottom w:val="nil"/>
              <w:right w:val="nil"/>
            </w:tcBorders>
            <w:shd w:val="clear" w:color="auto" w:fill="auto"/>
            <w:noWrap/>
            <w:vAlign w:val="bottom"/>
            <w:hideMark/>
          </w:tcPr>
          <w:p w14:paraId="4FC4B0CD"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0.805</w:t>
            </w:r>
          </w:p>
        </w:tc>
        <w:tc>
          <w:tcPr>
            <w:tcW w:w="960" w:type="dxa"/>
            <w:tcBorders>
              <w:top w:val="nil"/>
              <w:left w:val="nil"/>
              <w:bottom w:val="nil"/>
              <w:right w:val="nil"/>
            </w:tcBorders>
            <w:shd w:val="clear" w:color="auto" w:fill="auto"/>
            <w:noWrap/>
            <w:vAlign w:val="bottom"/>
            <w:hideMark/>
          </w:tcPr>
          <w:p w14:paraId="47BF7E1E" w14:textId="311A7AF2"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w:t>
            </w:r>
            <w:r w:rsidR="00E833E9">
              <w:rPr>
                <w:rFonts w:ascii="Calibri" w:eastAsia="Times New Roman" w:hAnsi="Calibri" w:cs="Calibri"/>
                <w:b/>
                <w:bCs/>
                <w:i/>
                <w:iCs/>
                <w:color w:val="000000"/>
                <w:lang w:eastAsia="en-IE"/>
              </w:rPr>
              <w:t>77</w:t>
            </w:r>
          </w:p>
        </w:tc>
        <w:tc>
          <w:tcPr>
            <w:tcW w:w="967" w:type="dxa"/>
            <w:tcBorders>
              <w:top w:val="nil"/>
              <w:left w:val="nil"/>
              <w:bottom w:val="nil"/>
              <w:right w:val="single" w:sz="4" w:space="0" w:color="auto"/>
            </w:tcBorders>
            <w:shd w:val="clear" w:color="auto" w:fill="auto"/>
            <w:noWrap/>
            <w:vAlign w:val="bottom"/>
            <w:hideMark/>
          </w:tcPr>
          <w:p w14:paraId="18560FFB" w14:textId="6608AFF9"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w:t>
            </w:r>
            <w:r w:rsidR="00517DE4">
              <w:rPr>
                <w:rFonts w:ascii="Calibri" w:eastAsia="Times New Roman" w:hAnsi="Calibri" w:cs="Calibri"/>
                <w:b/>
                <w:bCs/>
                <w:i/>
                <w:iCs/>
                <w:color w:val="000000"/>
                <w:lang w:eastAsia="en-IE"/>
              </w:rPr>
              <w:t>325</w:t>
            </w:r>
          </w:p>
        </w:tc>
      </w:tr>
      <w:tr w:rsidR="00171AB7" w:rsidRPr="007256AA" w14:paraId="4C8BDF69" w14:textId="77777777" w:rsidTr="00367A87">
        <w:trPr>
          <w:trHeight w:val="288"/>
        </w:trPr>
        <w:tc>
          <w:tcPr>
            <w:tcW w:w="1520" w:type="dxa"/>
            <w:tcBorders>
              <w:top w:val="nil"/>
              <w:left w:val="single" w:sz="4" w:space="0" w:color="auto"/>
              <w:bottom w:val="nil"/>
              <w:right w:val="nil"/>
            </w:tcBorders>
            <w:shd w:val="clear" w:color="auto" w:fill="auto"/>
            <w:noWrap/>
            <w:vAlign w:val="bottom"/>
          </w:tcPr>
          <w:p w14:paraId="5751439B" w14:textId="583D3163" w:rsidR="00171AB7" w:rsidRPr="00171AB7" w:rsidRDefault="00171AB7" w:rsidP="00367A87">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COVID</w:t>
            </w:r>
          </w:p>
        </w:tc>
        <w:tc>
          <w:tcPr>
            <w:tcW w:w="851" w:type="dxa"/>
            <w:tcBorders>
              <w:top w:val="nil"/>
              <w:left w:val="nil"/>
              <w:bottom w:val="nil"/>
              <w:right w:val="nil"/>
            </w:tcBorders>
            <w:shd w:val="clear" w:color="auto" w:fill="auto"/>
            <w:noWrap/>
            <w:vAlign w:val="bottom"/>
          </w:tcPr>
          <w:p w14:paraId="639B678D" w14:textId="6C913611" w:rsidR="00171AB7" w:rsidRPr="007256AA" w:rsidRDefault="00171AB7" w:rsidP="00367A87">
            <w:pPr>
              <w:spacing w:after="0" w:line="240" w:lineRule="auto"/>
              <w:jc w:val="right"/>
              <w:rPr>
                <w:rFonts w:ascii="Calibri" w:eastAsia="Times New Roman" w:hAnsi="Calibri" w:cs="Calibri"/>
                <w:b/>
                <w:bCs/>
                <w:i/>
                <w:iCs/>
                <w:color w:val="000000"/>
                <w:lang w:eastAsia="en-IE"/>
              </w:rPr>
            </w:pPr>
            <w:r>
              <w:t>9.384</w:t>
            </w:r>
          </w:p>
        </w:tc>
        <w:tc>
          <w:tcPr>
            <w:tcW w:w="1019" w:type="dxa"/>
            <w:tcBorders>
              <w:top w:val="nil"/>
              <w:left w:val="nil"/>
              <w:bottom w:val="nil"/>
              <w:right w:val="nil"/>
            </w:tcBorders>
            <w:shd w:val="clear" w:color="auto" w:fill="auto"/>
            <w:noWrap/>
            <w:vAlign w:val="bottom"/>
          </w:tcPr>
          <w:p w14:paraId="5BE068AF" w14:textId="0CC5EEE3" w:rsidR="00171AB7" w:rsidRPr="007256AA" w:rsidRDefault="00171AB7" w:rsidP="00367A87">
            <w:pPr>
              <w:spacing w:after="0" w:line="240" w:lineRule="auto"/>
              <w:jc w:val="right"/>
              <w:rPr>
                <w:rFonts w:ascii="Calibri" w:eastAsia="Times New Roman" w:hAnsi="Calibri" w:cs="Calibri"/>
                <w:b/>
                <w:bCs/>
                <w:i/>
                <w:iCs/>
                <w:color w:val="000000"/>
                <w:lang w:eastAsia="en-IE"/>
              </w:rPr>
            </w:pPr>
            <w:r w:rsidRPr="00171AB7">
              <w:rPr>
                <w:rFonts w:ascii="Calibri" w:eastAsia="Times New Roman" w:hAnsi="Calibri" w:cs="Calibri"/>
                <w:i/>
                <w:iCs/>
                <w:color w:val="000000"/>
                <w:lang w:eastAsia="en-IE"/>
              </w:rPr>
              <w:t>15.760</w:t>
            </w:r>
          </w:p>
        </w:tc>
        <w:tc>
          <w:tcPr>
            <w:tcW w:w="1019" w:type="dxa"/>
            <w:tcBorders>
              <w:top w:val="nil"/>
              <w:left w:val="nil"/>
              <w:bottom w:val="nil"/>
              <w:right w:val="nil"/>
            </w:tcBorders>
            <w:shd w:val="clear" w:color="auto" w:fill="auto"/>
            <w:noWrap/>
            <w:vAlign w:val="bottom"/>
          </w:tcPr>
          <w:p w14:paraId="4B1CE0F5" w14:textId="30301199" w:rsidR="00171AB7" w:rsidRPr="0020659A" w:rsidRDefault="00171AB7" w:rsidP="00367A87">
            <w:pPr>
              <w:spacing w:after="0" w:line="240" w:lineRule="auto"/>
              <w:jc w:val="right"/>
              <w:rPr>
                <w:rFonts w:ascii="Calibri" w:eastAsia="Times New Roman" w:hAnsi="Calibri" w:cs="Calibri"/>
                <w:i/>
                <w:iCs/>
                <w:color w:val="000000"/>
                <w:lang w:eastAsia="en-IE"/>
              </w:rPr>
            </w:pPr>
            <w:r w:rsidRPr="0020659A">
              <w:rPr>
                <w:rFonts w:ascii="Calibri" w:eastAsia="Times New Roman" w:hAnsi="Calibri" w:cs="Calibri"/>
                <w:i/>
                <w:iCs/>
                <w:color w:val="000000"/>
                <w:lang w:eastAsia="en-IE"/>
              </w:rPr>
              <w:t>6.490</w:t>
            </w:r>
          </w:p>
        </w:tc>
        <w:tc>
          <w:tcPr>
            <w:tcW w:w="963" w:type="dxa"/>
            <w:tcBorders>
              <w:top w:val="nil"/>
              <w:left w:val="nil"/>
              <w:bottom w:val="nil"/>
              <w:right w:val="nil"/>
            </w:tcBorders>
            <w:shd w:val="clear" w:color="auto" w:fill="auto"/>
            <w:noWrap/>
            <w:vAlign w:val="bottom"/>
          </w:tcPr>
          <w:p w14:paraId="2DEEF99C" w14:textId="77777777" w:rsidR="00171AB7" w:rsidRPr="007256AA" w:rsidRDefault="00171AB7" w:rsidP="00367A87">
            <w:pPr>
              <w:spacing w:after="0" w:line="240" w:lineRule="auto"/>
              <w:jc w:val="right"/>
              <w:rPr>
                <w:rFonts w:ascii="Calibri" w:eastAsia="Times New Roman" w:hAnsi="Calibri" w:cs="Calibri"/>
                <w:b/>
                <w:bCs/>
                <w:i/>
                <w:iCs/>
                <w:color w:val="000000"/>
                <w:lang w:eastAsia="en-IE"/>
              </w:rPr>
            </w:pPr>
          </w:p>
        </w:tc>
        <w:tc>
          <w:tcPr>
            <w:tcW w:w="963" w:type="dxa"/>
            <w:tcBorders>
              <w:top w:val="nil"/>
              <w:left w:val="nil"/>
              <w:bottom w:val="nil"/>
              <w:right w:val="nil"/>
            </w:tcBorders>
            <w:shd w:val="clear" w:color="auto" w:fill="auto"/>
            <w:noWrap/>
            <w:vAlign w:val="bottom"/>
          </w:tcPr>
          <w:p w14:paraId="43EAB102" w14:textId="77777777" w:rsidR="00171AB7" w:rsidRPr="007256AA" w:rsidRDefault="00171AB7" w:rsidP="00367A87">
            <w:pPr>
              <w:spacing w:after="0" w:line="240" w:lineRule="auto"/>
              <w:jc w:val="right"/>
              <w:rPr>
                <w:rFonts w:ascii="Calibri" w:eastAsia="Times New Roman" w:hAnsi="Calibri" w:cs="Calibri"/>
                <w:b/>
                <w:bCs/>
                <w:i/>
                <w:iCs/>
                <w:color w:val="000000"/>
                <w:lang w:eastAsia="en-IE"/>
              </w:rPr>
            </w:pPr>
          </w:p>
        </w:tc>
        <w:tc>
          <w:tcPr>
            <w:tcW w:w="963" w:type="dxa"/>
            <w:tcBorders>
              <w:top w:val="nil"/>
              <w:left w:val="nil"/>
              <w:bottom w:val="nil"/>
              <w:right w:val="nil"/>
            </w:tcBorders>
            <w:shd w:val="clear" w:color="auto" w:fill="auto"/>
            <w:noWrap/>
            <w:vAlign w:val="bottom"/>
          </w:tcPr>
          <w:p w14:paraId="1D9583AD" w14:textId="56B44600" w:rsidR="00171AB7" w:rsidRPr="007256AA" w:rsidRDefault="00171AB7" w:rsidP="00367A87">
            <w:pPr>
              <w:spacing w:after="0" w:line="240" w:lineRule="auto"/>
              <w:jc w:val="right"/>
              <w:rPr>
                <w:rFonts w:ascii="Calibri" w:eastAsia="Times New Roman" w:hAnsi="Calibri" w:cs="Calibri"/>
                <w:b/>
                <w:bCs/>
                <w:i/>
                <w:iCs/>
                <w:color w:val="000000"/>
                <w:lang w:eastAsia="en-IE"/>
              </w:rPr>
            </w:pPr>
          </w:p>
        </w:tc>
        <w:tc>
          <w:tcPr>
            <w:tcW w:w="961" w:type="dxa"/>
            <w:tcBorders>
              <w:top w:val="nil"/>
              <w:left w:val="nil"/>
              <w:bottom w:val="nil"/>
              <w:right w:val="nil"/>
            </w:tcBorders>
            <w:shd w:val="clear" w:color="auto" w:fill="auto"/>
            <w:noWrap/>
            <w:vAlign w:val="bottom"/>
          </w:tcPr>
          <w:p w14:paraId="0BE9578C" w14:textId="69A97924" w:rsidR="00171AB7" w:rsidRPr="00812934" w:rsidRDefault="00E833E9" w:rsidP="00367A87">
            <w:pPr>
              <w:spacing w:after="0" w:line="240" w:lineRule="auto"/>
              <w:jc w:val="right"/>
              <w:rPr>
                <w:rFonts w:ascii="Calibri" w:eastAsia="Times New Roman" w:hAnsi="Calibri" w:cs="Calibri"/>
                <w:i/>
                <w:iCs/>
                <w:color w:val="000000"/>
                <w:lang w:eastAsia="en-IE"/>
              </w:rPr>
            </w:pPr>
            <w:r w:rsidRPr="00812934">
              <w:rPr>
                <w:rFonts w:ascii="Calibri" w:eastAsia="Times New Roman" w:hAnsi="Calibri" w:cs="Calibri"/>
                <w:i/>
                <w:iCs/>
                <w:color w:val="000000"/>
                <w:lang w:eastAsia="en-IE"/>
              </w:rPr>
              <w:t>4.446</w:t>
            </w:r>
          </w:p>
        </w:tc>
        <w:tc>
          <w:tcPr>
            <w:tcW w:w="960" w:type="dxa"/>
            <w:tcBorders>
              <w:top w:val="nil"/>
              <w:left w:val="nil"/>
              <w:bottom w:val="nil"/>
              <w:right w:val="nil"/>
            </w:tcBorders>
            <w:shd w:val="clear" w:color="auto" w:fill="auto"/>
            <w:noWrap/>
            <w:vAlign w:val="bottom"/>
          </w:tcPr>
          <w:p w14:paraId="11D04538" w14:textId="5F7D2D26" w:rsidR="00171AB7" w:rsidRPr="00812934" w:rsidRDefault="00E833E9" w:rsidP="00367A87">
            <w:pPr>
              <w:spacing w:after="0" w:line="240" w:lineRule="auto"/>
              <w:jc w:val="right"/>
              <w:rPr>
                <w:rFonts w:ascii="Calibri" w:eastAsia="Times New Roman" w:hAnsi="Calibri" w:cs="Calibri"/>
                <w:i/>
                <w:iCs/>
                <w:color w:val="000000"/>
                <w:lang w:eastAsia="en-IE"/>
              </w:rPr>
            </w:pPr>
            <w:r w:rsidRPr="00812934">
              <w:rPr>
                <w:rFonts w:ascii="Calibri" w:eastAsia="Times New Roman" w:hAnsi="Calibri" w:cs="Calibri"/>
                <w:i/>
                <w:iCs/>
                <w:color w:val="000000"/>
                <w:lang w:eastAsia="en-IE"/>
              </w:rPr>
              <w:t>15.170</w:t>
            </w:r>
          </w:p>
        </w:tc>
        <w:tc>
          <w:tcPr>
            <w:tcW w:w="967" w:type="dxa"/>
            <w:tcBorders>
              <w:top w:val="nil"/>
              <w:left w:val="nil"/>
              <w:bottom w:val="nil"/>
              <w:right w:val="single" w:sz="4" w:space="0" w:color="auto"/>
            </w:tcBorders>
            <w:shd w:val="clear" w:color="auto" w:fill="auto"/>
            <w:noWrap/>
            <w:vAlign w:val="bottom"/>
          </w:tcPr>
          <w:p w14:paraId="7DFC2106" w14:textId="4BD711D3" w:rsidR="00171AB7" w:rsidRPr="007256AA" w:rsidRDefault="00517DE4" w:rsidP="00367A87">
            <w:pPr>
              <w:spacing w:after="0" w:line="240" w:lineRule="auto"/>
              <w:jc w:val="right"/>
              <w:rPr>
                <w:rFonts w:ascii="Calibri" w:eastAsia="Times New Roman" w:hAnsi="Calibri" w:cs="Calibri"/>
                <w:b/>
                <w:bCs/>
                <w:i/>
                <w:iCs/>
                <w:color w:val="000000"/>
                <w:lang w:eastAsia="en-IE"/>
              </w:rPr>
            </w:pPr>
            <w:r>
              <w:t>0.135</w:t>
            </w:r>
          </w:p>
        </w:tc>
      </w:tr>
      <w:tr w:rsidR="00171AB7" w:rsidRPr="007256AA" w14:paraId="3EFD8380" w14:textId="77777777" w:rsidTr="00367A87">
        <w:trPr>
          <w:trHeight w:val="288"/>
        </w:trPr>
        <w:tc>
          <w:tcPr>
            <w:tcW w:w="1520" w:type="dxa"/>
            <w:tcBorders>
              <w:top w:val="nil"/>
              <w:left w:val="single" w:sz="4" w:space="0" w:color="auto"/>
              <w:bottom w:val="nil"/>
              <w:right w:val="nil"/>
            </w:tcBorders>
            <w:shd w:val="clear" w:color="auto" w:fill="auto"/>
            <w:noWrap/>
            <w:vAlign w:val="bottom"/>
          </w:tcPr>
          <w:p w14:paraId="57FB7BD1" w14:textId="77777777" w:rsidR="00171AB7" w:rsidRPr="007256AA" w:rsidRDefault="00171AB7" w:rsidP="00367A87">
            <w:pPr>
              <w:spacing w:after="0" w:line="240" w:lineRule="auto"/>
              <w:rPr>
                <w:rFonts w:ascii="Calibri" w:eastAsia="Times New Roman" w:hAnsi="Calibri" w:cs="Calibri"/>
                <w:i/>
                <w:iCs/>
                <w:color w:val="000000"/>
                <w:lang w:eastAsia="en-IE"/>
              </w:rPr>
            </w:pPr>
          </w:p>
        </w:tc>
        <w:tc>
          <w:tcPr>
            <w:tcW w:w="851" w:type="dxa"/>
            <w:tcBorders>
              <w:top w:val="nil"/>
              <w:left w:val="nil"/>
              <w:bottom w:val="nil"/>
              <w:right w:val="nil"/>
            </w:tcBorders>
            <w:shd w:val="clear" w:color="auto" w:fill="auto"/>
            <w:noWrap/>
            <w:vAlign w:val="bottom"/>
          </w:tcPr>
          <w:p w14:paraId="65C9EADF" w14:textId="3FE8A9EE" w:rsidR="00171AB7" w:rsidRPr="007256AA" w:rsidRDefault="00171AB7" w:rsidP="00367A87">
            <w:pPr>
              <w:spacing w:after="0" w:line="240" w:lineRule="auto"/>
              <w:jc w:val="right"/>
              <w:rPr>
                <w:rFonts w:ascii="Calibri" w:eastAsia="Times New Roman" w:hAnsi="Calibri" w:cs="Calibri"/>
                <w:b/>
                <w:bCs/>
                <w:i/>
                <w:iCs/>
                <w:color w:val="000000"/>
                <w:lang w:eastAsia="en-IE"/>
              </w:rPr>
            </w:pPr>
            <w:r>
              <w:rPr>
                <w:rFonts w:ascii="Calibri" w:eastAsia="Times New Roman" w:hAnsi="Calibri" w:cs="Calibri"/>
                <w:b/>
                <w:bCs/>
                <w:i/>
                <w:iCs/>
                <w:color w:val="000000"/>
                <w:lang w:eastAsia="en-IE"/>
              </w:rPr>
              <w:t>0.000</w:t>
            </w:r>
          </w:p>
        </w:tc>
        <w:tc>
          <w:tcPr>
            <w:tcW w:w="1019" w:type="dxa"/>
            <w:tcBorders>
              <w:top w:val="nil"/>
              <w:left w:val="nil"/>
              <w:bottom w:val="nil"/>
              <w:right w:val="nil"/>
            </w:tcBorders>
            <w:shd w:val="clear" w:color="auto" w:fill="auto"/>
            <w:noWrap/>
            <w:vAlign w:val="bottom"/>
          </w:tcPr>
          <w:p w14:paraId="0E446713" w14:textId="66BC3220" w:rsidR="00171AB7" w:rsidRPr="007256AA" w:rsidRDefault="00171AB7" w:rsidP="00367A87">
            <w:pPr>
              <w:spacing w:after="0" w:line="240" w:lineRule="auto"/>
              <w:jc w:val="right"/>
              <w:rPr>
                <w:rFonts w:ascii="Calibri" w:eastAsia="Times New Roman" w:hAnsi="Calibri" w:cs="Calibri"/>
                <w:b/>
                <w:bCs/>
                <w:i/>
                <w:iCs/>
                <w:color w:val="000000"/>
                <w:lang w:eastAsia="en-IE"/>
              </w:rPr>
            </w:pPr>
            <w:r>
              <w:rPr>
                <w:rFonts w:ascii="Calibri" w:eastAsia="Times New Roman" w:hAnsi="Calibri" w:cs="Calibri"/>
                <w:b/>
                <w:bCs/>
                <w:i/>
                <w:iCs/>
                <w:color w:val="000000"/>
                <w:lang w:eastAsia="en-IE"/>
              </w:rPr>
              <w:t>0.000</w:t>
            </w:r>
          </w:p>
        </w:tc>
        <w:tc>
          <w:tcPr>
            <w:tcW w:w="1019" w:type="dxa"/>
            <w:tcBorders>
              <w:top w:val="nil"/>
              <w:left w:val="nil"/>
              <w:bottom w:val="nil"/>
              <w:right w:val="nil"/>
            </w:tcBorders>
            <w:shd w:val="clear" w:color="auto" w:fill="auto"/>
            <w:noWrap/>
            <w:vAlign w:val="bottom"/>
          </w:tcPr>
          <w:p w14:paraId="7132F341" w14:textId="19E6A3A1" w:rsidR="00171AB7" w:rsidRPr="007256AA" w:rsidRDefault="00171AB7" w:rsidP="00367A87">
            <w:pPr>
              <w:spacing w:after="0" w:line="240" w:lineRule="auto"/>
              <w:jc w:val="right"/>
              <w:rPr>
                <w:rFonts w:ascii="Calibri" w:eastAsia="Times New Roman" w:hAnsi="Calibri" w:cs="Calibri"/>
                <w:b/>
                <w:bCs/>
                <w:i/>
                <w:iCs/>
                <w:color w:val="000000"/>
                <w:lang w:eastAsia="en-IE"/>
              </w:rPr>
            </w:pPr>
            <w:r>
              <w:rPr>
                <w:rFonts w:ascii="Calibri" w:eastAsia="Times New Roman" w:hAnsi="Calibri" w:cs="Calibri"/>
                <w:b/>
                <w:bCs/>
                <w:i/>
                <w:iCs/>
                <w:color w:val="000000"/>
                <w:lang w:eastAsia="en-IE"/>
              </w:rPr>
              <w:t>0.148</w:t>
            </w:r>
          </w:p>
        </w:tc>
        <w:tc>
          <w:tcPr>
            <w:tcW w:w="963" w:type="dxa"/>
            <w:tcBorders>
              <w:top w:val="nil"/>
              <w:left w:val="nil"/>
              <w:bottom w:val="nil"/>
              <w:right w:val="nil"/>
            </w:tcBorders>
            <w:shd w:val="clear" w:color="auto" w:fill="auto"/>
            <w:noWrap/>
            <w:vAlign w:val="bottom"/>
          </w:tcPr>
          <w:p w14:paraId="4AAAFD06" w14:textId="77777777" w:rsidR="00171AB7" w:rsidRPr="007256AA" w:rsidRDefault="00171AB7" w:rsidP="00367A87">
            <w:pPr>
              <w:spacing w:after="0" w:line="240" w:lineRule="auto"/>
              <w:jc w:val="right"/>
              <w:rPr>
                <w:rFonts w:ascii="Calibri" w:eastAsia="Times New Roman" w:hAnsi="Calibri" w:cs="Calibri"/>
                <w:b/>
                <w:bCs/>
                <w:i/>
                <w:iCs/>
                <w:color w:val="000000"/>
                <w:lang w:eastAsia="en-IE"/>
              </w:rPr>
            </w:pPr>
          </w:p>
        </w:tc>
        <w:tc>
          <w:tcPr>
            <w:tcW w:w="963" w:type="dxa"/>
            <w:tcBorders>
              <w:top w:val="nil"/>
              <w:left w:val="nil"/>
              <w:bottom w:val="nil"/>
              <w:right w:val="nil"/>
            </w:tcBorders>
            <w:shd w:val="clear" w:color="auto" w:fill="auto"/>
            <w:noWrap/>
            <w:vAlign w:val="bottom"/>
          </w:tcPr>
          <w:p w14:paraId="1CB9A520" w14:textId="77777777" w:rsidR="00171AB7" w:rsidRPr="007256AA" w:rsidRDefault="00171AB7" w:rsidP="00367A87">
            <w:pPr>
              <w:spacing w:after="0" w:line="240" w:lineRule="auto"/>
              <w:jc w:val="right"/>
              <w:rPr>
                <w:rFonts w:ascii="Calibri" w:eastAsia="Times New Roman" w:hAnsi="Calibri" w:cs="Calibri"/>
                <w:b/>
                <w:bCs/>
                <w:i/>
                <w:iCs/>
                <w:color w:val="000000"/>
                <w:lang w:eastAsia="en-IE"/>
              </w:rPr>
            </w:pPr>
          </w:p>
        </w:tc>
        <w:tc>
          <w:tcPr>
            <w:tcW w:w="963" w:type="dxa"/>
            <w:tcBorders>
              <w:top w:val="nil"/>
              <w:left w:val="nil"/>
              <w:bottom w:val="nil"/>
              <w:right w:val="nil"/>
            </w:tcBorders>
            <w:shd w:val="clear" w:color="auto" w:fill="auto"/>
            <w:noWrap/>
            <w:vAlign w:val="bottom"/>
          </w:tcPr>
          <w:p w14:paraId="19007D37" w14:textId="241CCBF9" w:rsidR="00171AB7" w:rsidRPr="007256AA" w:rsidRDefault="00171AB7" w:rsidP="00367A87">
            <w:pPr>
              <w:spacing w:after="0" w:line="240" w:lineRule="auto"/>
              <w:jc w:val="right"/>
              <w:rPr>
                <w:rFonts w:ascii="Calibri" w:eastAsia="Times New Roman" w:hAnsi="Calibri" w:cs="Calibri"/>
                <w:b/>
                <w:bCs/>
                <w:i/>
                <w:iCs/>
                <w:color w:val="000000"/>
                <w:lang w:eastAsia="en-IE"/>
              </w:rPr>
            </w:pPr>
          </w:p>
        </w:tc>
        <w:tc>
          <w:tcPr>
            <w:tcW w:w="961" w:type="dxa"/>
            <w:tcBorders>
              <w:top w:val="nil"/>
              <w:left w:val="nil"/>
              <w:bottom w:val="nil"/>
              <w:right w:val="nil"/>
            </w:tcBorders>
            <w:shd w:val="clear" w:color="auto" w:fill="auto"/>
            <w:noWrap/>
            <w:vAlign w:val="bottom"/>
          </w:tcPr>
          <w:p w14:paraId="42D0707C" w14:textId="25278157" w:rsidR="00171AB7" w:rsidRPr="007256AA" w:rsidRDefault="00E833E9" w:rsidP="00367A87">
            <w:pPr>
              <w:spacing w:after="0" w:line="240" w:lineRule="auto"/>
              <w:jc w:val="right"/>
              <w:rPr>
                <w:rFonts w:ascii="Calibri" w:eastAsia="Times New Roman" w:hAnsi="Calibri" w:cs="Calibri"/>
                <w:b/>
                <w:bCs/>
                <w:i/>
                <w:iCs/>
                <w:color w:val="000000"/>
                <w:lang w:eastAsia="en-IE"/>
              </w:rPr>
            </w:pPr>
            <w:r>
              <w:rPr>
                <w:rFonts w:ascii="Calibri" w:eastAsia="Times New Roman" w:hAnsi="Calibri" w:cs="Calibri"/>
                <w:b/>
                <w:bCs/>
                <w:i/>
                <w:iCs/>
                <w:color w:val="000000"/>
                <w:lang w:eastAsia="en-IE"/>
              </w:rPr>
              <w:t>0.000</w:t>
            </w:r>
          </w:p>
        </w:tc>
        <w:tc>
          <w:tcPr>
            <w:tcW w:w="960" w:type="dxa"/>
            <w:tcBorders>
              <w:top w:val="nil"/>
              <w:left w:val="nil"/>
              <w:bottom w:val="nil"/>
              <w:right w:val="nil"/>
            </w:tcBorders>
            <w:shd w:val="clear" w:color="auto" w:fill="auto"/>
            <w:noWrap/>
            <w:vAlign w:val="bottom"/>
          </w:tcPr>
          <w:p w14:paraId="51782627" w14:textId="6E2DA2EE" w:rsidR="00171AB7" w:rsidRPr="007256AA" w:rsidRDefault="00E833E9" w:rsidP="00367A87">
            <w:pPr>
              <w:spacing w:after="0" w:line="240" w:lineRule="auto"/>
              <w:jc w:val="right"/>
              <w:rPr>
                <w:rFonts w:ascii="Calibri" w:eastAsia="Times New Roman" w:hAnsi="Calibri" w:cs="Calibri"/>
                <w:b/>
                <w:bCs/>
                <w:i/>
                <w:iCs/>
                <w:color w:val="000000"/>
                <w:lang w:eastAsia="en-IE"/>
              </w:rPr>
            </w:pPr>
            <w:r>
              <w:rPr>
                <w:rFonts w:ascii="Calibri" w:eastAsia="Times New Roman" w:hAnsi="Calibri" w:cs="Calibri"/>
                <w:b/>
                <w:bCs/>
                <w:i/>
                <w:iCs/>
                <w:color w:val="000000"/>
                <w:lang w:eastAsia="en-IE"/>
              </w:rPr>
              <w:t>0.000</w:t>
            </w:r>
          </w:p>
        </w:tc>
        <w:tc>
          <w:tcPr>
            <w:tcW w:w="967" w:type="dxa"/>
            <w:tcBorders>
              <w:top w:val="nil"/>
              <w:left w:val="nil"/>
              <w:bottom w:val="nil"/>
              <w:right w:val="single" w:sz="4" w:space="0" w:color="auto"/>
            </w:tcBorders>
            <w:shd w:val="clear" w:color="auto" w:fill="auto"/>
            <w:noWrap/>
            <w:vAlign w:val="bottom"/>
          </w:tcPr>
          <w:p w14:paraId="095C8F99" w14:textId="656E50EA" w:rsidR="00171AB7" w:rsidRPr="00812934" w:rsidRDefault="00517DE4" w:rsidP="00367A87">
            <w:pPr>
              <w:spacing w:after="0" w:line="240" w:lineRule="auto"/>
              <w:jc w:val="right"/>
              <w:rPr>
                <w:rFonts w:ascii="Calibri" w:eastAsia="Times New Roman" w:hAnsi="Calibri" w:cs="Calibri"/>
                <w:b/>
                <w:bCs/>
                <w:i/>
                <w:iCs/>
                <w:color w:val="000000"/>
                <w:lang w:eastAsia="en-IE"/>
              </w:rPr>
            </w:pPr>
            <w:r w:rsidRPr="00812934">
              <w:rPr>
                <w:b/>
                <w:bCs/>
              </w:rPr>
              <w:t>0.977</w:t>
            </w:r>
          </w:p>
        </w:tc>
      </w:tr>
      <w:tr w:rsidR="00ED02A4" w:rsidRPr="007256AA" w14:paraId="567EF890"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49F7BBCF"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Global INTERNET</w:t>
            </w:r>
          </w:p>
        </w:tc>
        <w:tc>
          <w:tcPr>
            <w:tcW w:w="851" w:type="dxa"/>
            <w:tcBorders>
              <w:top w:val="nil"/>
              <w:left w:val="nil"/>
              <w:bottom w:val="nil"/>
              <w:right w:val="nil"/>
            </w:tcBorders>
            <w:shd w:val="clear" w:color="auto" w:fill="auto"/>
            <w:noWrap/>
            <w:vAlign w:val="bottom"/>
            <w:hideMark/>
          </w:tcPr>
          <w:p w14:paraId="3FECC559" w14:textId="4282C36D" w:rsidR="00ED02A4" w:rsidRPr="007256AA" w:rsidRDefault="003724F1" w:rsidP="00367A87">
            <w:pPr>
              <w:spacing w:after="0" w:line="240" w:lineRule="auto"/>
              <w:jc w:val="right"/>
              <w:rPr>
                <w:rFonts w:ascii="Calibri" w:eastAsia="Times New Roman" w:hAnsi="Calibri" w:cs="Calibri"/>
                <w:color w:val="000000"/>
                <w:lang w:eastAsia="en-IE"/>
              </w:rPr>
            </w:pPr>
            <w:r>
              <w:t>-0.267</w:t>
            </w:r>
          </w:p>
        </w:tc>
        <w:tc>
          <w:tcPr>
            <w:tcW w:w="1019" w:type="dxa"/>
            <w:tcBorders>
              <w:top w:val="nil"/>
              <w:left w:val="nil"/>
              <w:bottom w:val="nil"/>
              <w:right w:val="nil"/>
            </w:tcBorders>
            <w:shd w:val="clear" w:color="auto" w:fill="auto"/>
            <w:noWrap/>
            <w:vAlign w:val="bottom"/>
            <w:hideMark/>
          </w:tcPr>
          <w:p w14:paraId="795BB64E" w14:textId="29C75F07" w:rsidR="00ED02A4" w:rsidRPr="007256AA" w:rsidRDefault="003724F1" w:rsidP="00367A87">
            <w:pPr>
              <w:spacing w:after="0" w:line="240" w:lineRule="auto"/>
              <w:jc w:val="right"/>
              <w:rPr>
                <w:rFonts w:ascii="Calibri" w:eastAsia="Times New Roman" w:hAnsi="Calibri" w:cs="Calibri"/>
                <w:color w:val="000000"/>
                <w:lang w:eastAsia="en-IE"/>
              </w:rPr>
            </w:pPr>
            <w:r>
              <w:t>-0.009</w:t>
            </w:r>
          </w:p>
        </w:tc>
        <w:tc>
          <w:tcPr>
            <w:tcW w:w="1019" w:type="dxa"/>
            <w:tcBorders>
              <w:top w:val="nil"/>
              <w:left w:val="nil"/>
              <w:bottom w:val="nil"/>
              <w:right w:val="nil"/>
            </w:tcBorders>
            <w:shd w:val="clear" w:color="auto" w:fill="auto"/>
            <w:noWrap/>
            <w:vAlign w:val="bottom"/>
            <w:hideMark/>
          </w:tcPr>
          <w:p w14:paraId="4E6DB968" w14:textId="3E48BDB9" w:rsidR="00ED02A4" w:rsidRPr="007256AA" w:rsidRDefault="003724F1" w:rsidP="00367A87">
            <w:pPr>
              <w:spacing w:after="0" w:line="240" w:lineRule="auto"/>
              <w:jc w:val="right"/>
              <w:rPr>
                <w:rFonts w:ascii="Calibri" w:eastAsia="Times New Roman" w:hAnsi="Calibri" w:cs="Calibri"/>
                <w:color w:val="000000"/>
                <w:lang w:eastAsia="en-IE"/>
              </w:rPr>
            </w:pPr>
            <w:r>
              <w:t>-0.343</w:t>
            </w:r>
          </w:p>
        </w:tc>
        <w:tc>
          <w:tcPr>
            <w:tcW w:w="963" w:type="dxa"/>
            <w:tcBorders>
              <w:top w:val="nil"/>
              <w:left w:val="nil"/>
              <w:bottom w:val="nil"/>
              <w:right w:val="nil"/>
            </w:tcBorders>
            <w:shd w:val="clear" w:color="auto" w:fill="auto"/>
            <w:noWrap/>
            <w:vAlign w:val="bottom"/>
            <w:hideMark/>
          </w:tcPr>
          <w:p w14:paraId="626EBA59"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4CEFD3EE"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27A22502"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1" w:type="dxa"/>
            <w:tcBorders>
              <w:top w:val="nil"/>
              <w:left w:val="nil"/>
              <w:bottom w:val="nil"/>
              <w:right w:val="nil"/>
            </w:tcBorders>
            <w:shd w:val="clear" w:color="auto" w:fill="auto"/>
            <w:noWrap/>
            <w:vAlign w:val="bottom"/>
            <w:hideMark/>
          </w:tcPr>
          <w:p w14:paraId="12728583"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0" w:type="dxa"/>
            <w:tcBorders>
              <w:top w:val="nil"/>
              <w:left w:val="nil"/>
              <w:bottom w:val="nil"/>
              <w:right w:val="nil"/>
            </w:tcBorders>
            <w:shd w:val="clear" w:color="auto" w:fill="auto"/>
            <w:noWrap/>
            <w:vAlign w:val="bottom"/>
            <w:hideMark/>
          </w:tcPr>
          <w:p w14:paraId="4E78A684"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7" w:type="dxa"/>
            <w:tcBorders>
              <w:top w:val="nil"/>
              <w:left w:val="nil"/>
              <w:bottom w:val="nil"/>
              <w:right w:val="single" w:sz="4" w:space="0" w:color="auto"/>
            </w:tcBorders>
            <w:shd w:val="clear" w:color="auto" w:fill="auto"/>
            <w:noWrap/>
            <w:vAlign w:val="bottom"/>
            <w:hideMark/>
          </w:tcPr>
          <w:p w14:paraId="0598EB13"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ED02A4" w:rsidRPr="007256AA" w14:paraId="22BBF392"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6012A326"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851" w:type="dxa"/>
            <w:tcBorders>
              <w:top w:val="nil"/>
              <w:left w:val="nil"/>
              <w:bottom w:val="nil"/>
              <w:right w:val="nil"/>
            </w:tcBorders>
            <w:shd w:val="clear" w:color="auto" w:fill="auto"/>
            <w:noWrap/>
            <w:vAlign w:val="bottom"/>
            <w:hideMark/>
          </w:tcPr>
          <w:p w14:paraId="4609C5CA"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19" w:type="dxa"/>
            <w:tcBorders>
              <w:top w:val="nil"/>
              <w:left w:val="nil"/>
              <w:bottom w:val="nil"/>
              <w:right w:val="nil"/>
            </w:tcBorders>
            <w:shd w:val="clear" w:color="auto" w:fill="auto"/>
            <w:noWrap/>
            <w:vAlign w:val="bottom"/>
            <w:hideMark/>
          </w:tcPr>
          <w:p w14:paraId="7FF5C02E"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19" w:type="dxa"/>
            <w:tcBorders>
              <w:top w:val="nil"/>
              <w:left w:val="nil"/>
              <w:bottom w:val="nil"/>
              <w:right w:val="nil"/>
            </w:tcBorders>
            <w:shd w:val="clear" w:color="auto" w:fill="auto"/>
            <w:noWrap/>
            <w:vAlign w:val="bottom"/>
            <w:hideMark/>
          </w:tcPr>
          <w:p w14:paraId="11DA90D6"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08F3196B"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3" w:type="dxa"/>
            <w:tcBorders>
              <w:top w:val="nil"/>
              <w:left w:val="nil"/>
              <w:bottom w:val="nil"/>
              <w:right w:val="nil"/>
            </w:tcBorders>
            <w:shd w:val="clear" w:color="auto" w:fill="auto"/>
            <w:noWrap/>
            <w:vAlign w:val="bottom"/>
            <w:hideMark/>
          </w:tcPr>
          <w:p w14:paraId="7122CFC5"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3" w:type="dxa"/>
            <w:tcBorders>
              <w:top w:val="nil"/>
              <w:left w:val="nil"/>
              <w:bottom w:val="nil"/>
              <w:right w:val="nil"/>
            </w:tcBorders>
            <w:shd w:val="clear" w:color="auto" w:fill="auto"/>
            <w:noWrap/>
            <w:vAlign w:val="bottom"/>
            <w:hideMark/>
          </w:tcPr>
          <w:p w14:paraId="5F89B7B8"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1" w:type="dxa"/>
            <w:tcBorders>
              <w:top w:val="nil"/>
              <w:left w:val="nil"/>
              <w:bottom w:val="nil"/>
              <w:right w:val="nil"/>
            </w:tcBorders>
            <w:shd w:val="clear" w:color="auto" w:fill="auto"/>
            <w:noWrap/>
            <w:vAlign w:val="bottom"/>
            <w:hideMark/>
          </w:tcPr>
          <w:p w14:paraId="4159F120"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0" w:type="dxa"/>
            <w:tcBorders>
              <w:top w:val="nil"/>
              <w:left w:val="nil"/>
              <w:bottom w:val="nil"/>
              <w:right w:val="nil"/>
            </w:tcBorders>
            <w:shd w:val="clear" w:color="auto" w:fill="auto"/>
            <w:noWrap/>
            <w:vAlign w:val="bottom"/>
            <w:hideMark/>
          </w:tcPr>
          <w:p w14:paraId="328425F4"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7" w:type="dxa"/>
            <w:tcBorders>
              <w:top w:val="nil"/>
              <w:left w:val="nil"/>
              <w:bottom w:val="nil"/>
              <w:right w:val="single" w:sz="4" w:space="0" w:color="auto"/>
            </w:tcBorders>
            <w:shd w:val="clear" w:color="auto" w:fill="auto"/>
            <w:noWrap/>
            <w:vAlign w:val="bottom"/>
            <w:hideMark/>
          </w:tcPr>
          <w:p w14:paraId="12B0C681"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ED02A4" w:rsidRPr="007256AA" w14:paraId="0524DF44" w14:textId="77777777" w:rsidTr="00367A87">
        <w:trPr>
          <w:trHeight w:val="288"/>
        </w:trPr>
        <w:tc>
          <w:tcPr>
            <w:tcW w:w="2371" w:type="dxa"/>
            <w:gridSpan w:val="2"/>
            <w:tcBorders>
              <w:top w:val="nil"/>
              <w:left w:val="single" w:sz="4" w:space="0" w:color="auto"/>
              <w:bottom w:val="nil"/>
              <w:right w:val="nil"/>
            </w:tcBorders>
            <w:shd w:val="clear" w:color="auto" w:fill="auto"/>
            <w:noWrap/>
            <w:vAlign w:val="bottom"/>
            <w:hideMark/>
          </w:tcPr>
          <w:p w14:paraId="1F7BDE11" w14:textId="77777777" w:rsidR="00ED02A4"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xml:space="preserve">Country </w:t>
            </w:r>
          </w:p>
          <w:p w14:paraId="6E02E43A"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INTERNET</w:t>
            </w:r>
          </w:p>
        </w:tc>
        <w:tc>
          <w:tcPr>
            <w:tcW w:w="1019" w:type="dxa"/>
            <w:tcBorders>
              <w:top w:val="nil"/>
              <w:left w:val="nil"/>
              <w:bottom w:val="nil"/>
              <w:right w:val="nil"/>
            </w:tcBorders>
            <w:shd w:val="clear" w:color="auto" w:fill="auto"/>
            <w:noWrap/>
            <w:vAlign w:val="bottom"/>
            <w:hideMark/>
          </w:tcPr>
          <w:p w14:paraId="7FFA6BCB"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1019" w:type="dxa"/>
            <w:tcBorders>
              <w:top w:val="nil"/>
              <w:left w:val="nil"/>
              <w:bottom w:val="nil"/>
              <w:right w:val="nil"/>
            </w:tcBorders>
            <w:shd w:val="clear" w:color="auto" w:fill="auto"/>
            <w:noWrap/>
            <w:vAlign w:val="bottom"/>
            <w:hideMark/>
          </w:tcPr>
          <w:p w14:paraId="45064C26"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1DA41BF5" w14:textId="19E13B63" w:rsidR="00ED02A4" w:rsidRPr="007256AA" w:rsidRDefault="003724F1" w:rsidP="00367A87">
            <w:pPr>
              <w:spacing w:after="0" w:line="240" w:lineRule="auto"/>
              <w:jc w:val="right"/>
              <w:rPr>
                <w:rFonts w:ascii="Calibri" w:eastAsia="Times New Roman" w:hAnsi="Calibri" w:cs="Calibri"/>
                <w:color w:val="000000"/>
                <w:lang w:eastAsia="en-IE"/>
              </w:rPr>
            </w:pPr>
            <w:r>
              <w:t>-0.243</w:t>
            </w:r>
          </w:p>
        </w:tc>
        <w:tc>
          <w:tcPr>
            <w:tcW w:w="963" w:type="dxa"/>
            <w:tcBorders>
              <w:top w:val="nil"/>
              <w:left w:val="nil"/>
              <w:bottom w:val="nil"/>
              <w:right w:val="nil"/>
            </w:tcBorders>
            <w:shd w:val="clear" w:color="auto" w:fill="auto"/>
            <w:noWrap/>
            <w:vAlign w:val="bottom"/>
            <w:hideMark/>
          </w:tcPr>
          <w:p w14:paraId="3BD14ACA" w14:textId="2A6A3EBA" w:rsidR="00ED02A4" w:rsidRPr="007256AA" w:rsidRDefault="00EE6318" w:rsidP="00367A87">
            <w:pPr>
              <w:spacing w:after="0" w:line="240" w:lineRule="auto"/>
              <w:jc w:val="right"/>
              <w:rPr>
                <w:rFonts w:ascii="Calibri" w:eastAsia="Times New Roman" w:hAnsi="Calibri" w:cs="Calibri"/>
                <w:color w:val="000000"/>
                <w:lang w:eastAsia="en-IE"/>
              </w:rPr>
            </w:pPr>
            <w:r>
              <w:t>-0.148</w:t>
            </w:r>
          </w:p>
        </w:tc>
        <w:tc>
          <w:tcPr>
            <w:tcW w:w="963" w:type="dxa"/>
            <w:tcBorders>
              <w:top w:val="nil"/>
              <w:left w:val="nil"/>
              <w:bottom w:val="nil"/>
              <w:right w:val="nil"/>
            </w:tcBorders>
            <w:shd w:val="clear" w:color="auto" w:fill="auto"/>
            <w:noWrap/>
            <w:vAlign w:val="bottom"/>
            <w:hideMark/>
          </w:tcPr>
          <w:p w14:paraId="672EF77B"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-0.379</w:t>
            </w:r>
          </w:p>
        </w:tc>
        <w:tc>
          <w:tcPr>
            <w:tcW w:w="961" w:type="dxa"/>
            <w:tcBorders>
              <w:top w:val="nil"/>
              <w:left w:val="nil"/>
              <w:bottom w:val="nil"/>
              <w:right w:val="nil"/>
            </w:tcBorders>
            <w:shd w:val="clear" w:color="auto" w:fill="auto"/>
            <w:noWrap/>
            <w:vAlign w:val="bottom"/>
            <w:hideMark/>
          </w:tcPr>
          <w:p w14:paraId="0FD90A32"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0" w:type="dxa"/>
            <w:tcBorders>
              <w:top w:val="nil"/>
              <w:left w:val="nil"/>
              <w:bottom w:val="nil"/>
              <w:right w:val="nil"/>
            </w:tcBorders>
            <w:shd w:val="clear" w:color="auto" w:fill="auto"/>
            <w:noWrap/>
            <w:vAlign w:val="bottom"/>
            <w:hideMark/>
          </w:tcPr>
          <w:p w14:paraId="1468D1D8"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7" w:type="dxa"/>
            <w:tcBorders>
              <w:top w:val="nil"/>
              <w:left w:val="nil"/>
              <w:bottom w:val="nil"/>
              <w:right w:val="single" w:sz="4" w:space="0" w:color="auto"/>
            </w:tcBorders>
            <w:shd w:val="clear" w:color="auto" w:fill="auto"/>
            <w:noWrap/>
            <w:vAlign w:val="bottom"/>
            <w:hideMark/>
          </w:tcPr>
          <w:p w14:paraId="14470F5B"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ED02A4" w:rsidRPr="007256AA" w14:paraId="3D50C2F1"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7295F8EF"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851" w:type="dxa"/>
            <w:tcBorders>
              <w:top w:val="nil"/>
              <w:left w:val="nil"/>
              <w:bottom w:val="nil"/>
              <w:right w:val="nil"/>
            </w:tcBorders>
            <w:shd w:val="clear" w:color="auto" w:fill="auto"/>
            <w:noWrap/>
            <w:vAlign w:val="bottom"/>
            <w:hideMark/>
          </w:tcPr>
          <w:p w14:paraId="7E7BE2BB"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1019" w:type="dxa"/>
            <w:tcBorders>
              <w:top w:val="nil"/>
              <w:left w:val="nil"/>
              <w:bottom w:val="nil"/>
              <w:right w:val="nil"/>
            </w:tcBorders>
            <w:shd w:val="clear" w:color="auto" w:fill="auto"/>
            <w:noWrap/>
            <w:vAlign w:val="bottom"/>
            <w:hideMark/>
          </w:tcPr>
          <w:p w14:paraId="71B60E27"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1019" w:type="dxa"/>
            <w:tcBorders>
              <w:top w:val="nil"/>
              <w:left w:val="nil"/>
              <w:bottom w:val="nil"/>
              <w:right w:val="nil"/>
            </w:tcBorders>
            <w:shd w:val="clear" w:color="auto" w:fill="auto"/>
            <w:noWrap/>
            <w:vAlign w:val="bottom"/>
            <w:hideMark/>
          </w:tcPr>
          <w:p w14:paraId="7049CF7F"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3" w:type="dxa"/>
            <w:tcBorders>
              <w:top w:val="nil"/>
              <w:left w:val="nil"/>
              <w:bottom w:val="nil"/>
              <w:right w:val="nil"/>
            </w:tcBorders>
            <w:shd w:val="clear" w:color="auto" w:fill="auto"/>
            <w:noWrap/>
            <w:vAlign w:val="bottom"/>
            <w:hideMark/>
          </w:tcPr>
          <w:p w14:paraId="5AAA398A"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4F6E4D75"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559E51AD"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1" w:type="dxa"/>
            <w:tcBorders>
              <w:top w:val="nil"/>
              <w:left w:val="nil"/>
              <w:bottom w:val="nil"/>
              <w:right w:val="nil"/>
            </w:tcBorders>
            <w:shd w:val="clear" w:color="auto" w:fill="auto"/>
            <w:noWrap/>
            <w:vAlign w:val="bottom"/>
            <w:hideMark/>
          </w:tcPr>
          <w:p w14:paraId="35B04153"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0" w:type="dxa"/>
            <w:tcBorders>
              <w:top w:val="nil"/>
              <w:left w:val="nil"/>
              <w:bottom w:val="nil"/>
              <w:right w:val="nil"/>
            </w:tcBorders>
            <w:shd w:val="clear" w:color="auto" w:fill="auto"/>
            <w:noWrap/>
            <w:vAlign w:val="bottom"/>
            <w:hideMark/>
          </w:tcPr>
          <w:p w14:paraId="45C6E112"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7" w:type="dxa"/>
            <w:tcBorders>
              <w:top w:val="nil"/>
              <w:left w:val="nil"/>
              <w:bottom w:val="nil"/>
              <w:right w:val="single" w:sz="4" w:space="0" w:color="auto"/>
            </w:tcBorders>
            <w:shd w:val="clear" w:color="auto" w:fill="auto"/>
            <w:noWrap/>
            <w:vAlign w:val="bottom"/>
            <w:hideMark/>
          </w:tcPr>
          <w:p w14:paraId="79B55A29"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r>
      <w:tr w:rsidR="00ED02A4" w:rsidRPr="007256AA" w14:paraId="42B1FAEA"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5E536E8A"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DEVPC1</w:t>
            </w:r>
          </w:p>
        </w:tc>
        <w:tc>
          <w:tcPr>
            <w:tcW w:w="851" w:type="dxa"/>
            <w:tcBorders>
              <w:top w:val="nil"/>
              <w:left w:val="nil"/>
              <w:bottom w:val="nil"/>
              <w:right w:val="nil"/>
            </w:tcBorders>
            <w:shd w:val="clear" w:color="auto" w:fill="auto"/>
            <w:noWrap/>
            <w:vAlign w:val="bottom"/>
            <w:hideMark/>
          </w:tcPr>
          <w:p w14:paraId="41C49FEA"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1019" w:type="dxa"/>
            <w:tcBorders>
              <w:top w:val="nil"/>
              <w:left w:val="nil"/>
              <w:bottom w:val="nil"/>
              <w:right w:val="nil"/>
            </w:tcBorders>
            <w:shd w:val="clear" w:color="auto" w:fill="auto"/>
            <w:noWrap/>
            <w:vAlign w:val="bottom"/>
            <w:hideMark/>
          </w:tcPr>
          <w:p w14:paraId="2F37B08C"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1019" w:type="dxa"/>
            <w:tcBorders>
              <w:top w:val="nil"/>
              <w:left w:val="nil"/>
              <w:bottom w:val="nil"/>
              <w:right w:val="nil"/>
            </w:tcBorders>
            <w:shd w:val="clear" w:color="auto" w:fill="auto"/>
            <w:noWrap/>
            <w:vAlign w:val="bottom"/>
            <w:hideMark/>
          </w:tcPr>
          <w:p w14:paraId="067CAADA"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77B32550"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2EAB7024"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01F9D525"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1" w:type="dxa"/>
            <w:tcBorders>
              <w:top w:val="nil"/>
              <w:left w:val="nil"/>
              <w:bottom w:val="nil"/>
              <w:right w:val="nil"/>
            </w:tcBorders>
            <w:shd w:val="clear" w:color="auto" w:fill="auto"/>
            <w:noWrap/>
            <w:vAlign w:val="bottom"/>
            <w:hideMark/>
          </w:tcPr>
          <w:p w14:paraId="6872AB87" w14:textId="70E608FD" w:rsidR="00ED02A4" w:rsidRPr="007256AA" w:rsidRDefault="00F86965" w:rsidP="00367A87">
            <w:pPr>
              <w:spacing w:after="0" w:line="240" w:lineRule="auto"/>
              <w:jc w:val="right"/>
              <w:rPr>
                <w:rFonts w:ascii="Calibri" w:eastAsia="Times New Roman" w:hAnsi="Calibri" w:cs="Calibri"/>
                <w:color w:val="000000"/>
                <w:lang w:eastAsia="en-IE"/>
              </w:rPr>
            </w:pPr>
            <w:r>
              <w:t>-0.079</w:t>
            </w:r>
          </w:p>
        </w:tc>
        <w:tc>
          <w:tcPr>
            <w:tcW w:w="960" w:type="dxa"/>
            <w:tcBorders>
              <w:top w:val="nil"/>
              <w:left w:val="nil"/>
              <w:bottom w:val="nil"/>
              <w:right w:val="nil"/>
            </w:tcBorders>
            <w:shd w:val="clear" w:color="auto" w:fill="auto"/>
            <w:noWrap/>
            <w:vAlign w:val="bottom"/>
            <w:hideMark/>
          </w:tcPr>
          <w:p w14:paraId="122B5801" w14:textId="52DC7BF3" w:rsidR="00ED02A4" w:rsidRPr="007256AA" w:rsidRDefault="00E833E9" w:rsidP="00367A87">
            <w:pPr>
              <w:spacing w:after="0" w:line="240" w:lineRule="auto"/>
              <w:jc w:val="right"/>
              <w:rPr>
                <w:rFonts w:ascii="Calibri" w:eastAsia="Times New Roman" w:hAnsi="Calibri" w:cs="Calibri"/>
                <w:color w:val="000000"/>
                <w:lang w:eastAsia="en-IE"/>
              </w:rPr>
            </w:pPr>
            <w:r>
              <w:t>-0.062</w:t>
            </w:r>
          </w:p>
        </w:tc>
        <w:tc>
          <w:tcPr>
            <w:tcW w:w="967" w:type="dxa"/>
            <w:tcBorders>
              <w:top w:val="nil"/>
              <w:left w:val="nil"/>
              <w:bottom w:val="nil"/>
              <w:right w:val="single" w:sz="4" w:space="0" w:color="auto"/>
            </w:tcBorders>
            <w:shd w:val="clear" w:color="auto" w:fill="auto"/>
            <w:noWrap/>
            <w:vAlign w:val="bottom"/>
            <w:hideMark/>
          </w:tcPr>
          <w:p w14:paraId="23DBCF72" w14:textId="4BE930D2" w:rsidR="00ED02A4" w:rsidRPr="007256AA" w:rsidRDefault="00517DE4" w:rsidP="00367A87">
            <w:pPr>
              <w:spacing w:after="0" w:line="240" w:lineRule="auto"/>
              <w:jc w:val="right"/>
              <w:rPr>
                <w:rFonts w:ascii="Calibri" w:eastAsia="Times New Roman" w:hAnsi="Calibri" w:cs="Calibri"/>
                <w:color w:val="000000"/>
                <w:lang w:eastAsia="en-IE"/>
              </w:rPr>
            </w:pPr>
            <w:r>
              <w:t>-0.087</w:t>
            </w:r>
          </w:p>
        </w:tc>
      </w:tr>
      <w:tr w:rsidR="00ED02A4" w:rsidRPr="007256AA" w14:paraId="7E72660C"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40F3CD2E"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851" w:type="dxa"/>
            <w:tcBorders>
              <w:top w:val="nil"/>
              <w:left w:val="nil"/>
              <w:bottom w:val="nil"/>
              <w:right w:val="nil"/>
            </w:tcBorders>
            <w:shd w:val="clear" w:color="auto" w:fill="auto"/>
            <w:noWrap/>
            <w:vAlign w:val="bottom"/>
            <w:hideMark/>
          </w:tcPr>
          <w:p w14:paraId="6413464F"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1019" w:type="dxa"/>
            <w:tcBorders>
              <w:top w:val="nil"/>
              <w:left w:val="nil"/>
              <w:bottom w:val="nil"/>
              <w:right w:val="nil"/>
            </w:tcBorders>
            <w:shd w:val="clear" w:color="auto" w:fill="auto"/>
            <w:noWrap/>
            <w:vAlign w:val="bottom"/>
            <w:hideMark/>
          </w:tcPr>
          <w:p w14:paraId="527D346B"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1019" w:type="dxa"/>
            <w:tcBorders>
              <w:top w:val="nil"/>
              <w:left w:val="nil"/>
              <w:bottom w:val="nil"/>
              <w:right w:val="nil"/>
            </w:tcBorders>
            <w:shd w:val="clear" w:color="auto" w:fill="auto"/>
            <w:noWrap/>
            <w:vAlign w:val="bottom"/>
            <w:hideMark/>
          </w:tcPr>
          <w:p w14:paraId="2850C00B"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3" w:type="dxa"/>
            <w:tcBorders>
              <w:top w:val="nil"/>
              <w:left w:val="nil"/>
              <w:bottom w:val="nil"/>
              <w:right w:val="nil"/>
            </w:tcBorders>
            <w:shd w:val="clear" w:color="auto" w:fill="auto"/>
            <w:noWrap/>
            <w:vAlign w:val="bottom"/>
            <w:hideMark/>
          </w:tcPr>
          <w:p w14:paraId="3CE4314D"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3" w:type="dxa"/>
            <w:tcBorders>
              <w:top w:val="nil"/>
              <w:left w:val="nil"/>
              <w:bottom w:val="nil"/>
              <w:right w:val="nil"/>
            </w:tcBorders>
            <w:shd w:val="clear" w:color="auto" w:fill="auto"/>
            <w:noWrap/>
            <w:vAlign w:val="bottom"/>
            <w:hideMark/>
          </w:tcPr>
          <w:p w14:paraId="19441F82"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3" w:type="dxa"/>
            <w:tcBorders>
              <w:top w:val="nil"/>
              <w:left w:val="nil"/>
              <w:bottom w:val="nil"/>
              <w:right w:val="nil"/>
            </w:tcBorders>
            <w:shd w:val="clear" w:color="auto" w:fill="auto"/>
            <w:noWrap/>
            <w:vAlign w:val="bottom"/>
            <w:hideMark/>
          </w:tcPr>
          <w:p w14:paraId="65796B1B"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1" w:type="dxa"/>
            <w:tcBorders>
              <w:top w:val="nil"/>
              <w:left w:val="nil"/>
              <w:bottom w:val="nil"/>
              <w:right w:val="nil"/>
            </w:tcBorders>
            <w:shd w:val="clear" w:color="auto" w:fill="auto"/>
            <w:noWrap/>
            <w:vAlign w:val="bottom"/>
            <w:hideMark/>
          </w:tcPr>
          <w:p w14:paraId="7E0EE371"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0" w:type="dxa"/>
            <w:tcBorders>
              <w:top w:val="nil"/>
              <w:left w:val="nil"/>
              <w:bottom w:val="nil"/>
              <w:right w:val="nil"/>
            </w:tcBorders>
            <w:shd w:val="clear" w:color="auto" w:fill="auto"/>
            <w:noWrap/>
            <w:vAlign w:val="bottom"/>
            <w:hideMark/>
          </w:tcPr>
          <w:p w14:paraId="1C3850D3"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7" w:type="dxa"/>
            <w:tcBorders>
              <w:top w:val="nil"/>
              <w:left w:val="nil"/>
              <w:bottom w:val="nil"/>
              <w:right w:val="single" w:sz="4" w:space="0" w:color="auto"/>
            </w:tcBorders>
            <w:shd w:val="clear" w:color="auto" w:fill="auto"/>
            <w:noWrap/>
            <w:vAlign w:val="bottom"/>
            <w:hideMark/>
          </w:tcPr>
          <w:p w14:paraId="37818259" w14:textId="69DDFBAA"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w:t>
            </w:r>
            <w:r w:rsidR="00517DE4">
              <w:rPr>
                <w:rFonts w:ascii="Calibri" w:eastAsia="Times New Roman" w:hAnsi="Calibri" w:cs="Calibri"/>
                <w:b/>
                <w:bCs/>
                <w:i/>
                <w:iCs/>
                <w:color w:val="000000"/>
                <w:lang w:eastAsia="en-IE"/>
              </w:rPr>
              <w:t>0</w:t>
            </w:r>
          </w:p>
        </w:tc>
      </w:tr>
      <w:tr w:rsidR="00ED02A4" w:rsidRPr="007256AA" w14:paraId="7AE82095" w14:textId="77777777" w:rsidTr="00367A87">
        <w:trPr>
          <w:trHeight w:val="288"/>
        </w:trPr>
        <w:tc>
          <w:tcPr>
            <w:tcW w:w="1520" w:type="dxa"/>
            <w:tcBorders>
              <w:top w:val="nil"/>
              <w:left w:val="single" w:sz="4" w:space="0" w:color="auto"/>
              <w:bottom w:val="nil"/>
              <w:right w:val="nil"/>
            </w:tcBorders>
            <w:shd w:val="clear" w:color="auto" w:fill="auto"/>
            <w:noWrap/>
            <w:vAlign w:val="bottom"/>
            <w:hideMark/>
          </w:tcPr>
          <w:p w14:paraId="5F624A1E"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Nobs</w:t>
            </w:r>
          </w:p>
        </w:tc>
        <w:tc>
          <w:tcPr>
            <w:tcW w:w="851" w:type="dxa"/>
            <w:tcBorders>
              <w:top w:val="nil"/>
              <w:left w:val="nil"/>
              <w:bottom w:val="nil"/>
              <w:right w:val="nil"/>
            </w:tcBorders>
            <w:shd w:val="clear" w:color="auto" w:fill="auto"/>
            <w:noWrap/>
            <w:vAlign w:val="bottom"/>
            <w:hideMark/>
          </w:tcPr>
          <w:p w14:paraId="58C24CA5" w14:textId="444C7573" w:rsidR="00ED02A4" w:rsidRPr="007256AA" w:rsidRDefault="003724F1" w:rsidP="00367A87">
            <w:pPr>
              <w:spacing w:after="0" w:line="240" w:lineRule="auto"/>
              <w:jc w:val="right"/>
              <w:rPr>
                <w:rFonts w:ascii="Calibri" w:eastAsia="Times New Roman" w:hAnsi="Calibri" w:cs="Calibri"/>
                <w:color w:val="000000"/>
                <w:lang w:eastAsia="en-IE"/>
              </w:rPr>
            </w:pPr>
            <w:r>
              <w:t>9791</w:t>
            </w:r>
          </w:p>
        </w:tc>
        <w:tc>
          <w:tcPr>
            <w:tcW w:w="1019" w:type="dxa"/>
            <w:tcBorders>
              <w:top w:val="nil"/>
              <w:left w:val="nil"/>
              <w:bottom w:val="nil"/>
              <w:right w:val="nil"/>
            </w:tcBorders>
            <w:shd w:val="clear" w:color="auto" w:fill="auto"/>
            <w:noWrap/>
            <w:vAlign w:val="bottom"/>
            <w:hideMark/>
          </w:tcPr>
          <w:p w14:paraId="3103376D" w14:textId="432D1EC8" w:rsidR="00ED02A4" w:rsidRPr="007256AA" w:rsidRDefault="003724F1" w:rsidP="00367A87">
            <w:pPr>
              <w:spacing w:after="0" w:line="240" w:lineRule="auto"/>
              <w:jc w:val="right"/>
              <w:rPr>
                <w:rFonts w:ascii="Calibri" w:eastAsia="Times New Roman" w:hAnsi="Calibri" w:cs="Calibri"/>
                <w:color w:val="000000"/>
                <w:lang w:eastAsia="en-IE"/>
              </w:rPr>
            </w:pPr>
            <w:r>
              <w:t>3137</w:t>
            </w:r>
          </w:p>
        </w:tc>
        <w:tc>
          <w:tcPr>
            <w:tcW w:w="1019" w:type="dxa"/>
            <w:tcBorders>
              <w:top w:val="nil"/>
              <w:left w:val="nil"/>
              <w:bottom w:val="nil"/>
              <w:right w:val="nil"/>
            </w:tcBorders>
            <w:shd w:val="clear" w:color="auto" w:fill="auto"/>
            <w:noWrap/>
            <w:vAlign w:val="bottom"/>
            <w:hideMark/>
          </w:tcPr>
          <w:p w14:paraId="63721023" w14:textId="6F2A919E" w:rsidR="00ED02A4" w:rsidRPr="007256AA" w:rsidRDefault="003724F1" w:rsidP="00367A87">
            <w:pPr>
              <w:spacing w:after="0" w:line="240" w:lineRule="auto"/>
              <w:jc w:val="right"/>
              <w:rPr>
                <w:rFonts w:ascii="Calibri" w:eastAsia="Times New Roman" w:hAnsi="Calibri" w:cs="Calibri"/>
                <w:color w:val="000000"/>
                <w:lang w:eastAsia="en-IE"/>
              </w:rPr>
            </w:pPr>
            <w:r>
              <w:t>1776</w:t>
            </w:r>
          </w:p>
        </w:tc>
        <w:tc>
          <w:tcPr>
            <w:tcW w:w="963" w:type="dxa"/>
            <w:tcBorders>
              <w:top w:val="nil"/>
              <w:left w:val="nil"/>
              <w:bottom w:val="nil"/>
              <w:right w:val="nil"/>
            </w:tcBorders>
            <w:shd w:val="clear" w:color="auto" w:fill="auto"/>
            <w:noWrap/>
            <w:vAlign w:val="bottom"/>
            <w:hideMark/>
          </w:tcPr>
          <w:p w14:paraId="29E1E9C1" w14:textId="0A356000" w:rsidR="00ED02A4" w:rsidRPr="00EE6318" w:rsidRDefault="00EE6318" w:rsidP="00367A87">
            <w:pPr>
              <w:spacing w:after="0" w:line="240" w:lineRule="auto"/>
              <w:jc w:val="right"/>
            </w:pPr>
            <w:r>
              <w:t>2104</w:t>
            </w:r>
          </w:p>
        </w:tc>
        <w:tc>
          <w:tcPr>
            <w:tcW w:w="963" w:type="dxa"/>
            <w:tcBorders>
              <w:top w:val="nil"/>
              <w:left w:val="nil"/>
              <w:bottom w:val="nil"/>
              <w:right w:val="nil"/>
            </w:tcBorders>
            <w:shd w:val="clear" w:color="auto" w:fill="auto"/>
            <w:noWrap/>
            <w:vAlign w:val="bottom"/>
            <w:hideMark/>
          </w:tcPr>
          <w:p w14:paraId="5AD15F30"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448</w:t>
            </w:r>
          </w:p>
        </w:tc>
        <w:tc>
          <w:tcPr>
            <w:tcW w:w="963" w:type="dxa"/>
            <w:tcBorders>
              <w:top w:val="nil"/>
              <w:left w:val="nil"/>
              <w:bottom w:val="nil"/>
              <w:right w:val="nil"/>
            </w:tcBorders>
            <w:shd w:val="clear" w:color="auto" w:fill="auto"/>
            <w:noWrap/>
            <w:vAlign w:val="bottom"/>
            <w:hideMark/>
          </w:tcPr>
          <w:p w14:paraId="2D3D989E" w14:textId="71CFFB56" w:rsidR="00ED02A4" w:rsidRPr="007256AA" w:rsidRDefault="00ED02A4" w:rsidP="00367A87">
            <w:pPr>
              <w:spacing w:after="0" w:line="240" w:lineRule="auto"/>
              <w:jc w:val="right"/>
              <w:rPr>
                <w:rFonts w:ascii="Calibri" w:eastAsia="Times New Roman" w:hAnsi="Calibri" w:cs="Calibri"/>
                <w:color w:val="000000"/>
                <w:lang w:eastAsia="en-IE"/>
              </w:rPr>
            </w:pPr>
          </w:p>
        </w:tc>
        <w:tc>
          <w:tcPr>
            <w:tcW w:w="961" w:type="dxa"/>
            <w:tcBorders>
              <w:top w:val="nil"/>
              <w:left w:val="nil"/>
              <w:bottom w:val="nil"/>
              <w:right w:val="nil"/>
            </w:tcBorders>
            <w:shd w:val="clear" w:color="auto" w:fill="auto"/>
            <w:noWrap/>
            <w:vAlign w:val="bottom"/>
            <w:hideMark/>
          </w:tcPr>
          <w:p w14:paraId="2F14B99F" w14:textId="39AA129B" w:rsidR="00ED02A4" w:rsidRPr="007256AA" w:rsidRDefault="00E833E9" w:rsidP="00367A87">
            <w:pPr>
              <w:spacing w:after="0" w:line="240" w:lineRule="auto"/>
              <w:jc w:val="right"/>
              <w:rPr>
                <w:rFonts w:ascii="Calibri" w:eastAsia="Times New Roman" w:hAnsi="Calibri" w:cs="Calibri"/>
                <w:color w:val="000000"/>
                <w:lang w:eastAsia="en-IE"/>
              </w:rPr>
            </w:pPr>
            <w:r>
              <w:t>9668</w:t>
            </w:r>
          </w:p>
        </w:tc>
        <w:tc>
          <w:tcPr>
            <w:tcW w:w="960" w:type="dxa"/>
            <w:tcBorders>
              <w:top w:val="nil"/>
              <w:left w:val="nil"/>
              <w:bottom w:val="nil"/>
              <w:right w:val="nil"/>
            </w:tcBorders>
            <w:shd w:val="clear" w:color="auto" w:fill="auto"/>
            <w:noWrap/>
            <w:vAlign w:val="bottom"/>
            <w:hideMark/>
          </w:tcPr>
          <w:p w14:paraId="4921C288" w14:textId="4B2C1656" w:rsidR="00ED02A4" w:rsidRPr="007256AA" w:rsidRDefault="00517DE4" w:rsidP="00367A87">
            <w:pPr>
              <w:spacing w:after="0" w:line="240" w:lineRule="auto"/>
              <w:jc w:val="right"/>
              <w:rPr>
                <w:rFonts w:ascii="Calibri" w:eastAsia="Times New Roman" w:hAnsi="Calibri" w:cs="Calibri"/>
                <w:color w:val="000000"/>
                <w:lang w:eastAsia="en-IE"/>
              </w:rPr>
            </w:pPr>
            <w:r>
              <w:t>2934</w:t>
            </w:r>
          </w:p>
        </w:tc>
        <w:tc>
          <w:tcPr>
            <w:tcW w:w="967" w:type="dxa"/>
            <w:tcBorders>
              <w:top w:val="nil"/>
              <w:left w:val="nil"/>
              <w:bottom w:val="nil"/>
              <w:right w:val="single" w:sz="4" w:space="0" w:color="auto"/>
            </w:tcBorders>
            <w:shd w:val="clear" w:color="auto" w:fill="auto"/>
            <w:noWrap/>
            <w:vAlign w:val="bottom"/>
            <w:hideMark/>
          </w:tcPr>
          <w:p w14:paraId="2F30B6F8" w14:textId="682C41CD" w:rsidR="00ED02A4" w:rsidRPr="007256AA" w:rsidRDefault="00517DE4" w:rsidP="00367A87">
            <w:pPr>
              <w:spacing w:after="0" w:line="240" w:lineRule="auto"/>
              <w:jc w:val="right"/>
              <w:rPr>
                <w:rFonts w:ascii="Calibri" w:eastAsia="Times New Roman" w:hAnsi="Calibri" w:cs="Calibri"/>
                <w:color w:val="000000"/>
                <w:lang w:eastAsia="en-IE"/>
              </w:rPr>
            </w:pPr>
            <w:r>
              <w:rPr>
                <w:rFonts w:ascii="Calibri" w:eastAsia="Times New Roman" w:hAnsi="Calibri" w:cs="Calibri"/>
                <w:color w:val="000000"/>
                <w:lang w:eastAsia="en-IE"/>
              </w:rPr>
              <w:t>1675</w:t>
            </w:r>
          </w:p>
        </w:tc>
      </w:tr>
      <w:tr w:rsidR="00ED02A4" w:rsidRPr="007256AA" w14:paraId="4607502F" w14:textId="77777777" w:rsidTr="00367A87">
        <w:trPr>
          <w:trHeight w:val="288"/>
        </w:trPr>
        <w:tc>
          <w:tcPr>
            <w:tcW w:w="1520" w:type="dxa"/>
            <w:tcBorders>
              <w:top w:val="nil"/>
              <w:left w:val="single" w:sz="4" w:space="0" w:color="auto"/>
              <w:bottom w:val="single" w:sz="4" w:space="0" w:color="auto"/>
              <w:right w:val="nil"/>
            </w:tcBorders>
            <w:shd w:val="clear" w:color="auto" w:fill="auto"/>
            <w:noWrap/>
            <w:vAlign w:val="bottom"/>
            <w:hideMark/>
          </w:tcPr>
          <w:p w14:paraId="3636E1D3"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Adj. R2</w:t>
            </w:r>
          </w:p>
        </w:tc>
        <w:tc>
          <w:tcPr>
            <w:tcW w:w="851" w:type="dxa"/>
            <w:tcBorders>
              <w:top w:val="nil"/>
              <w:left w:val="nil"/>
              <w:bottom w:val="single" w:sz="4" w:space="0" w:color="auto"/>
              <w:right w:val="nil"/>
            </w:tcBorders>
            <w:shd w:val="clear" w:color="auto" w:fill="auto"/>
            <w:noWrap/>
            <w:vAlign w:val="bottom"/>
            <w:hideMark/>
          </w:tcPr>
          <w:p w14:paraId="7282327E" w14:textId="2792A811" w:rsidR="00ED02A4" w:rsidRPr="007256AA" w:rsidRDefault="00171AB7" w:rsidP="00367A87">
            <w:pPr>
              <w:spacing w:after="0" w:line="240" w:lineRule="auto"/>
              <w:jc w:val="right"/>
              <w:rPr>
                <w:rFonts w:ascii="Calibri" w:eastAsia="Times New Roman" w:hAnsi="Calibri" w:cs="Calibri"/>
                <w:color w:val="000000"/>
                <w:lang w:eastAsia="en-IE"/>
              </w:rPr>
            </w:pPr>
            <w:r>
              <w:t>0.189</w:t>
            </w:r>
          </w:p>
        </w:tc>
        <w:tc>
          <w:tcPr>
            <w:tcW w:w="1019" w:type="dxa"/>
            <w:tcBorders>
              <w:top w:val="nil"/>
              <w:left w:val="nil"/>
              <w:bottom w:val="single" w:sz="4" w:space="0" w:color="auto"/>
              <w:right w:val="nil"/>
            </w:tcBorders>
            <w:shd w:val="clear" w:color="auto" w:fill="auto"/>
            <w:noWrap/>
            <w:vAlign w:val="bottom"/>
            <w:hideMark/>
          </w:tcPr>
          <w:p w14:paraId="07D7F99F" w14:textId="4A2627CE" w:rsidR="00ED02A4" w:rsidRPr="007256AA" w:rsidRDefault="00171AB7" w:rsidP="00367A87">
            <w:pPr>
              <w:spacing w:after="0" w:line="240" w:lineRule="auto"/>
              <w:jc w:val="right"/>
              <w:rPr>
                <w:rFonts w:ascii="Calibri" w:eastAsia="Times New Roman" w:hAnsi="Calibri" w:cs="Calibri"/>
                <w:color w:val="000000"/>
                <w:lang w:eastAsia="en-IE"/>
              </w:rPr>
            </w:pPr>
            <w:r>
              <w:t>0.027</w:t>
            </w:r>
          </w:p>
        </w:tc>
        <w:tc>
          <w:tcPr>
            <w:tcW w:w="1019" w:type="dxa"/>
            <w:tcBorders>
              <w:top w:val="nil"/>
              <w:left w:val="nil"/>
              <w:bottom w:val="single" w:sz="4" w:space="0" w:color="auto"/>
              <w:right w:val="nil"/>
            </w:tcBorders>
            <w:shd w:val="clear" w:color="auto" w:fill="auto"/>
            <w:noWrap/>
            <w:vAlign w:val="bottom"/>
            <w:hideMark/>
          </w:tcPr>
          <w:p w14:paraId="0390072E" w14:textId="69A23D36" w:rsidR="00ED02A4" w:rsidRPr="007256AA" w:rsidRDefault="00171AB7" w:rsidP="00367A87">
            <w:pPr>
              <w:spacing w:after="0" w:line="240" w:lineRule="auto"/>
              <w:jc w:val="right"/>
              <w:rPr>
                <w:rFonts w:ascii="Calibri" w:eastAsia="Times New Roman" w:hAnsi="Calibri" w:cs="Calibri"/>
                <w:color w:val="000000"/>
                <w:lang w:eastAsia="en-IE"/>
              </w:rPr>
            </w:pPr>
            <w:r>
              <w:t>0.231</w:t>
            </w:r>
          </w:p>
        </w:tc>
        <w:tc>
          <w:tcPr>
            <w:tcW w:w="963" w:type="dxa"/>
            <w:tcBorders>
              <w:top w:val="nil"/>
              <w:left w:val="nil"/>
              <w:bottom w:val="single" w:sz="4" w:space="0" w:color="auto"/>
              <w:right w:val="nil"/>
            </w:tcBorders>
            <w:shd w:val="clear" w:color="auto" w:fill="auto"/>
            <w:noWrap/>
            <w:vAlign w:val="bottom"/>
            <w:hideMark/>
          </w:tcPr>
          <w:p w14:paraId="47702EF3" w14:textId="3EB3D2F5"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w:t>
            </w:r>
            <w:r w:rsidR="00EE6318">
              <w:t>225</w:t>
            </w:r>
          </w:p>
        </w:tc>
        <w:tc>
          <w:tcPr>
            <w:tcW w:w="963" w:type="dxa"/>
            <w:tcBorders>
              <w:top w:val="nil"/>
              <w:left w:val="nil"/>
              <w:bottom w:val="single" w:sz="4" w:space="0" w:color="auto"/>
              <w:right w:val="nil"/>
            </w:tcBorders>
            <w:shd w:val="clear" w:color="auto" w:fill="auto"/>
            <w:noWrap/>
            <w:vAlign w:val="bottom"/>
            <w:hideMark/>
          </w:tcPr>
          <w:p w14:paraId="35C605CE"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0.613</w:t>
            </w:r>
          </w:p>
        </w:tc>
        <w:tc>
          <w:tcPr>
            <w:tcW w:w="963" w:type="dxa"/>
            <w:tcBorders>
              <w:top w:val="nil"/>
              <w:left w:val="nil"/>
              <w:bottom w:val="single" w:sz="4" w:space="0" w:color="auto"/>
              <w:right w:val="nil"/>
            </w:tcBorders>
            <w:shd w:val="clear" w:color="auto" w:fill="auto"/>
            <w:noWrap/>
            <w:vAlign w:val="bottom"/>
            <w:hideMark/>
          </w:tcPr>
          <w:p w14:paraId="08D98E66" w14:textId="52E9F705" w:rsidR="00ED02A4" w:rsidRPr="007256AA" w:rsidRDefault="00F86965" w:rsidP="00367A87">
            <w:pPr>
              <w:spacing w:after="0" w:line="240" w:lineRule="auto"/>
              <w:jc w:val="right"/>
              <w:rPr>
                <w:rFonts w:ascii="Calibri" w:eastAsia="Times New Roman" w:hAnsi="Calibri" w:cs="Calibri"/>
                <w:color w:val="000000"/>
                <w:lang w:eastAsia="en-IE"/>
              </w:rPr>
            </w:pPr>
            <w:r>
              <w:t>0.</w:t>
            </w:r>
          </w:p>
        </w:tc>
        <w:tc>
          <w:tcPr>
            <w:tcW w:w="961" w:type="dxa"/>
            <w:tcBorders>
              <w:top w:val="nil"/>
              <w:left w:val="nil"/>
              <w:bottom w:val="single" w:sz="4" w:space="0" w:color="auto"/>
              <w:right w:val="nil"/>
            </w:tcBorders>
            <w:shd w:val="clear" w:color="auto" w:fill="auto"/>
            <w:noWrap/>
            <w:vAlign w:val="bottom"/>
            <w:hideMark/>
          </w:tcPr>
          <w:p w14:paraId="1D389B60" w14:textId="26B9BF50"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w:t>
            </w:r>
            <w:r w:rsidR="00E833E9">
              <w:t>192</w:t>
            </w:r>
          </w:p>
        </w:tc>
        <w:tc>
          <w:tcPr>
            <w:tcW w:w="960" w:type="dxa"/>
            <w:tcBorders>
              <w:top w:val="nil"/>
              <w:left w:val="nil"/>
              <w:bottom w:val="single" w:sz="4" w:space="0" w:color="auto"/>
              <w:right w:val="nil"/>
            </w:tcBorders>
            <w:shd w:val="clear" w:color="auto" w:fill="auto"/>
            <w:noWrap/>
            <w:vAlign w:val="bottom"/>
            <w:hideMark/>
          </w:tcPr>
          <w:p w14:paraId="1FAD6DD2" w14:textId="48A8E78A" w:rsidR="00ED02A4" w:rsidRPr="007256AA" w:rsidRDefault="00517DE4" w:rsidP="00367A87">
            <w:pPr>
              <w:spacing w:after="0" w:line="240" w:lineRule="auto"/>
              <w:jc w:val="right"/>
              <w:rPr>
                <w:rFonts w:ascii="Calibri" w:eastAsia="Times New Roman" w:hAnsi="Calibri" w:cs="Calibri"/>
                <w:color w:val="000000"/>
                <w:lang w:eastAsia="en-IE"/>
              </w:rPr>
            </w:pPr>
            <w:r>
              <w:t>0.044</w:t>
            </w:r>
          </w:p>
        </w:tc>
        <w:tc>
          <w:tcPr>
            <w:tcW w:w="967" w:type="dxa"/>
            <w:tcBorders>
              <w:top w:val="nil"/>
              <w:left w:val="nil"/>
              <w:bottom w:val="single" w:sz="4" w:space="0" w:color="auto"/>
              <w:right w:val="single" w:sz="4" w:space="0" w:color="auto"/>
            </w:tcBorders>
            <w:shd w:val="clear" w:color="auto" w:fill="auto"/>
            <w:noWrap/>
            <w:vAlign w:val="bottom"/>
            <w:hideMark/>
          </w:tcPr>
          <w:p w14:paraId="5B5AD0C1" w14:textId="236F3973"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w:t>
            </w:r>
            <w:r w:rsidR="00517DE4">
              <w:rPr>
                <w:rFonts w:ascii="Calibri" w:eastAsia="Times New Roman" w:hAnsi="Calibri" w:cs="Calibri"/>
                <w:color w:val="000000"/>
                <w:lang w:eastAsia="en-IE"/>
              </w:rPr>
              <w:t>193</w:t>
            </w:r>
          </w:p>
        </w:tc>
      </w:tr>
    </w:tbl>
    <w:p w14:paraId="219BED46" w14:textId="77777777" w:rsidR="00ED02A4" w:rsidRDefault="00ED02A4" w:rsidP="00ED02A4">
      <w:pPr>
        <w:jc w:val="center"/>
        <w:rPr>
          <w:rFonts w:ascii="Calibri" w:eastAsia="Times New Roman" w:hAnsi="Calibri" w:cs="Times New Roman"/>
          <w:b/>
          <w:bCs/>
          <w:color w:val="000000"/>
          <w:sz w:val="24"/>
          <w:szCs w:val="24"/>
          <w:lang w:eastAsia="en-IE"/>
        </w:rPr>
      </w:pPr>
    </w:p>
    <w:p w14:paraId="75EA53DE" w14:textId="5B5795F8" w:rsidR="00C20E05" w:rsidRDefault="00ED02A4" w:rsidP="00380104">
      <w:pPr>
        <w:spacing w:line="240" w:lineRule="auto"/>
        <w:jc w:val="both"/>
        <w:rPr>
          <w:rFonts w:eastAsia="Times New Roman" w:cs="Times New Roman"/>
          <w:color w:val="000000"/>
          <w:lang w:eastAsia="en-IE"/>
        </w:rPr>
      </w:pPr>
      <w:r w:rsidRPr="001D5400">
        <w:rPr>
          <w:rFonts w:eastAsia="Times New Roman" w:cs="Times New Roman"/>
          <w:color w:val="000000"/>
          <w:lang w:eastAsia="en-IE"/>
        </w:rPr>
        <w:t xml:space="preserve">The </w:t>
      </w:r>
      <w:r>
        <w:rPr>
          <w:rFonts w:eastAsia="Times New Roman" w:cs="Times New Roman"/>
          <w:color w:val="000000"/>
          <w:lang w:eastAsia="en-IE"/>
        </w:rPr>
        <w:t xml:space="preserve">unbalanced </w:t>
      </w:r>
      <w:r w:rsidRPr="001D5400">
        <w:rPr>
          <w:rFonts w:eastAsia="Times New Roman" w:cs="Times New Roman"/>
          <w:color w:val="000000"/>
          <w:lang w:eastAsia="en-IE"/>
        </w:rPr>
        <w:t xml:space="preserve">regressions estimate the relation between the diversification indexes, Equity, Bond and REIT, and proxies for macro-financial and developmental factors.  Given the high correlation between many developmental factors in table 6, a single variable, </w:t>
      </w:r>
      <w:r>
        <w:rPr>
          <w:rFonts w:eastAsia="Times New Roman" w:cs="Times New Roman"/>
          <w:color w:val="000000"/>
          <w:lang w:eastAsia="en-IE"/>
        </w:rPr>
        <w:t xml:space="preserve">proxied three times </w:t>
      </w:r>
      <w:r w:rsidRPr="001D5400">
        <w:rPr>
          <w:rFonts w:eastAsia="Times New Roman" w:cs="Times New Roman"/>
          <w:color w:val="000000"/>
          <w:lang w:eastAsia="en-IE"/>
        </w:rPr>
        <w:t xml:space="preserve">is included in the regressions.  </w:t>
      </w:r>
      <w:r>
        <w:rPr>
          <w:rFonts w:eastAsia="Times New Roman" w:cs="Times New Roman"/>
          <w:color w:val="000000"/>
          <w:lang w:eastAsia="en-IE"/>
        </w:rPr>
        <w:t xml:space="preserve">Global INTERNET is an average of all countries INTERNET usage whereas Country Internet represents country level data.  The first Principal Component of a set of </w:t>
      </w:r>
      <w:r w:rsidR="0064075D">
        <w:rPr>
          <w:rFonts w:eastAsia="Times New Roman" w:cs="Times New Roman"/>
          <w:color w:val="000000"/>
          <w:lang w:eastAsia="en-IE"/>
        </w:rPr>
        <w:t xml:space="preserve">country level </w:t>
      </w:r>
      <w:r>
        <w:rPr>
          <w:rFonts w:eastAsia="Times New Roman" w:cs="Times New Roman"/>
          <w:color w:val="000000"/>
          <w:lang w:eastAsia="en-IE"/>
        </w:rPr>
        <w:t xml:space="preserve">developmental factors, DEVPC1, is also included separately as a developmental factor instead of internet.  </w:t>
      </w:r>
      <w:r w:rsidRPr="001D5400">
        <w:rPr>
          <w:rFonts w:eastAsia="Times New Roman" w:cs="Times New Roman"/>
          <w:color w:val="000000"/>
          <w:lang w:eastAsia="en-IE"/>
        </w:rPr>
        <w:t xml:space="preserve">Results are reported for unbalanced panels with a timeframe 1986-2012.  Country fixed effects are included in all regressions.  </w:t>
      </w:r>
      <w:r w:rsidRPr="00535389">
        <w:t xml:space="preserve">P-values are in </w:t>
      </w:r>
      <w:r>
        <w:t>bold and italics</w:t>
      </w:r>
      <w:r w:rsidRPr="00535389">
        <w:t xml:space="preserve">. </w:t>
      </w:r>
    </w:p>
    <w:p w14:paraId="3F6FEA4F" w14:textId="77777777" w:rsidR="00C20E05" w:rsidRDefault="00C20E05">
      <w:pPr>
        <w:rPr>
          <w:rFonts w:eastAsia="Times New Roman" w:cs="Times New Roman"/>
          <w:color w:val="000000"/>
          <w:lang w:eastAsia="en-IE"/>
        </w:rPr>
      </w:pPr>
      <w:r>
        <w:rPr>
          <w:rFonts w:eastAsia="Times New Roman" w:cs="Times New Roman"/>
          <w:color w:val="000000"/>
          <w:lang w:eastAsia="en-IE"/>
        </w:rPr>
        <w:br w:type="page"/>
      </w:r>
    </w:p>
    <w:p w14:paraId="39A069C1" w14:textId="77777777" w:rsidR="00ED02A4" w:rsidRPr="001D5400" w:rsidRDefault="00ED02A4" w:rsidP="00ED02A4">
      <w:pPr>
        <w:spacing w:after="0" w:line="240" w:lineRule="auto"/>
        <w:jc w:val="center"/>
        <w:rPr>
          <w:rFonts w:ascii="Calibri" w:eastAsia="Times New Roman" w:hAnsi="Calibri" w:cs="Times New Roman"/>
          <w:b/>
          <w:bCs/>
          <w:color w:val="000000"/>
          <w:sz w:val="24"/>
          <w:szCs w:val="24"/>
          <w:lang w:eastAsia="en-IE"/>
        </w:rPr>
      </w:pPr>
      <w:r w:rsidRPr="001D5400">
        <w:rPr>
          <w:rFonts w:ascii="Calibri" w:eastAsia="Times New Roman" w:hAnsi="Calibri" w:cs="Times New Roman"/>
          <w:b/>
          <w:bCs/>
          <w:color w:val="000000"/>
          <w:sz w:val="24"/>
          <w:szCs w:val="24"/>
          <w:lang w:eastAsia="en-IE"/>
        </w:rPr>
        <w:lastRenderedPageBreak/>
        <w:t xml:space="preserve">Table </w:t>
      </w:r>
      <w:r>
        <w:rPr>
          <w:rFonts w:ascii="Calibri" w:eastAsia="Times New Roman" w:hAnsi="Calibri" w:cs="Times New Roman"/>
          <w:b/>
          <w:bCs/>
          <w:color w:val="000000"/>
          <w:sz w:val="24"/>
          <w:szCs w:val="24"/>
          <w:lang w:eastAsia="en-IE"/>
        </w:rPr>
        <w:t>9</w:t>
      </w:r>
    </w:p>
    <w:p w14:paraId="5A05DF90" w14:textId="77777777" w:rsidR="00ED02A4" w:rsidRDefault="00ED02A4" w:rsidP="00ED02A4">
      <w:pPr>
        <w:jc w:val="center"/>
        <w:rPr>
          <w:rFonts w:ascii="Calibri" w:eastAsia="Times New Roman" w:hAnsi="Calibri" w:cs="Times New Roman"/>
          <w:b/>
          <w:bCs/>
          <w:color w:val="000000"/>
          <w:sz w:val="24"/>
          <w:szCs w:val="24"/>
          <w:lang w:eastAsia="en-IE"/>
        </w:rPr>
      </w:pPr>
      <w:r w:rsidRPr="001D5400">
        <w:rPr>
          <w:rFonts w:ascii="Calibri" w:eastAsia="Times New Roman" w:hAnsi="Calibri" w:cs="Times New Roman"/>
          <w:b/>
          <w:bCs/>
          <w:color w:val="000000"/>
          <w:sz w:val="24"/>
          <w:szCs w:val="24"/>
          <w:lang w:eastAsia="en-IE"/>
        </w:rPr>
        <w:t>Panel Regression Analysis of Diversification Indexes</w:t>
      </w:r>
    </w:p>
    <w:tbl>
      <w:tblPr>
        <w:tblW w:w="9901" w:type="dxa"/>
        <w:tblInd w:w="103" w:type="dxa"/>
        <w:tblLook w:val="04A0" w:firstRow="1" w:lastRow="0" w:firstColumn="1" w:lastColumn="0" w:noHBand="0" w:noVBand="1"/>
      </w:tblPr>
      <w:tblGrid>
        <w:gridCol w:w="1235"/>
        <w:gridCol w:w="963"/>
        <w:gridCol w:w="963"/>
        <w:gridCol w:w="963"/>
        <w:gridCol w:w="963"/>
        <w:gridCol w:w="963"/>
        <w:gridCol w:w="963"/>
        <w:gridCol w:w="961"/>
        <w:gridCol w:w="960"/>
        <w:gridCol w:w="967"/>
      </w:tblGrid>
      <w:tr w:rsidR="00ED02A4" w:rsidRPr="007256AA" w14:paraId="3681EF1E" w14:textId="77777777" w:rsidTr="00380104">
        <w:trPr>
          <w:trHeight w:val="288"/>
        </w:trPr>
        <w:tc>
          <w:tcPr>
            <w:tcW w:w="1235" w:type="dxa"/>
            <w:tcBorders>
              <w:top w:val="single" w:sz="4" w:space="0" w:color="auto"/>
              <w:left w:val="single" w:sz="4" w:space="0" w:color="auto"/>
              <w:bottom w:val="nil"/>
              <w:right w:val="nil"/>
            </w:tcBorders>
            <w:shd w:val="clear" w:color="auto" w:fill="auto"/>
            <w:noWrap/>
            <w:vAlign w:val="bottom"/>
            <w:hideMark/>
          </w:tcPr>
          <w:p w14:paraId="2E5E77F9"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c>
          <w:tcPr>
            <w:tcW w:w="2889" w:type="dxa"/>
            <w:gridSpan w:val="3"/>
            <w:tcBorders>
              <w:top w:val="single" w:sz="4" w:space="0" w:color="auto"/>
              <w:left w:val="nil"/>
              <w:bottom w:val="nil"/>
              <w:right w:val="nil"/>
            </w:tcBorders>
            <w:shd w:val="clear" w:color="auto" w:fill="auto"/>
            <w:noWrap/>
            <w:vAlign w:val="center"/>
            <w:hideMark/>
          </w:tcPr>
          <w:p w14:paraId="792D4B11" w14:textId="77777777" w:rsidR="00ED02A4" w:rsidRPr="007256AA" w:rsidRDefault="00ED02A4" w:rsidP="00367A87">
            <w:pPr>
              <w:spacing w:after="0" w:line="240" w:lineRule="auto"/>
              <w:jc w:val="center"/>
              <w:rPr>
                <w:rFonts w:ascii="Calibri" w:eastAsia="Times New Roman" w:hAnsi="Calibri" w:cs="Calibri"/>
                <w:color w:val="000000"/>
                <w:lang w:eastAsia="en-IE"/>
              </w:rPr>
            </w:pPr>
            <w:r w:rsidRPr="007256AA">
              <w:rPr>
                <w:rFonts w:ascii="Calibri" w:eastAsia="Times New Roman" w:hAnsi="Calibri" w:cs="Calibri"/>
                <w:color w:val="000000"/>
                <w:lang w:eastAsia="en-IE"/>
              </w:rPr>
              <w:t>NO Developmental Factor</w:t>
            </w:r>
          </w:p>
        </w:tc>
        <w:tc>
          <w:tcPr>
            <w:tcW w:w="2889" w:type="dxa"/>
            <w:gridSpan w:val="3"/>
            <w:tcBorders>
              <w:top w:val="single" w:sz="4" w:space="0" w:color="auto"/>
              <w:left w:val="nil"/>
              <w:bottom w:val="nil"/>
              <w:right w:val="nil"/>
            </w:tcBorders>
            <w:shd w:val="clear" w:color="auto" w:fill="auto"/>
            <w:noWrap/>
            <w:vAlign w:val="center"/>
            <w:hideMark/>
          </w:tcPr>
          <w:p w14:paraId="59A5D38B" w14:textId="77777777" w:rsidR="00ED02A4" w:rsidRPr="007256AA" w:rsidRDefault="00ED02A4" w:rsidP="00367A87">
            <w:pPr>
              <w:spacing w:after="0" w:line="240" w:lineRule="auto"/>
              <w:jc w:val="center"/>
              <w:rPr>
                <w:rFonts w:ascii="Calibri" w:eastAsia="Times New Roman" w:hAnsi="Calibri" w:cs="Calibri"/>
                <w:color w:val="000000"/>
                <w:lang w:eastAsia="en-IE"/>
              </w:rPr>
            </w:pPr>
            <w:r w:rsidRPr="007256AA">
              <w:rPr>
                <w:rFonts w:ascii="Calibri" w:eastAsia="Times New Roman" w:hAnsi="Calibri" w:cs="Calibri"/>
                <w:color w:val="000000"/>
                <w:lang w:eastAsia="en-IE"/>
              </w:rPr>
              <w:t>INTERNET as Developmental Factor</w:t>
            </w:r>
          </w:p>
        </w:tc>
        <w:tc>
          <w:tcPr>
            <w:tcW w:w="2888" w:type="dxa"/>
            <w:gridSpan w:val="3"/>
            <w:tcBorders>
              <w:top w:val="single" w:sz="4" w:space="0" w:color="auto"/>
              <w:left w:val="nil"/>
              <w:bottom w:val="nil"/>
              <w:right w:val="single" w:sz="4" w:space="0" w:color="000000"/>
            </w:tcBorders>
            <w:shd w:val="clear" w:color="auto" w:fill="auto"/>
            <w:noWrap/>
            <w:vAlign w:val="center"/>
            <w:hideMark/>
          </w:tcPr>
          <w:p w14:paraId="49B16BD0" w14:textId="77777777" w:rsidR="00ED02A4" w:rsidRPr="007256AA" w:rsidRDefault="00ED02A4" w:rsidP="00367A87">
            <w:pPr>
              <w:spacing w:after="0" w:line="240" w:lineRule="auto"/>
              <w:jc w:val="center"/>
              <w:rPr>
                <w:rFonts w:ascii="Calibri" w:eastAsia="Times New Roman" w:hAnsi="Calibri" w:cs="Calibri"/>
                <w:color w:val="000000"/>
                <w:lang w:eastAsia="en-IE"/>
              </w:rPr>
            </w:pPr>
            <w:r w:rsidRPr="007256AA">
              <w:rPr>
                <w:rFonts w:ascii="Calibri" w:eastAsia="Times New Roman" w:hAnsi="Calibri" w:cs="Calibri"/>
                <w:color w:val="000000"/>
                <w:lang w:eastAsia="en-IE"/>
              </w:rPr>
              <w:t>1st PC as Developmental Factor</w:t>
            </w:r>
          </w:p>
        </w:tc>
      </w:tr>
      <w:tr w:rsidR="00ED02A4" w:rsidRPr="007256AA" w14:paraId="67B67A83"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31BF2299"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c>
          <w:tcPr>
            <w:tcW w:w="963" w:type="dxa"/>
            <w:tcBorders>
              <w:top w:val="nil"/>
              <w:left w:val="nil"/>
              <w:bottom w:val="nil"/>
              <w:right w:val="nil"/>
            </w:tcBorders>
            <w:shd w:val="clear" w:color="auto" w:fill="auto"/>
            <w:noWrap/>
            <w:vAlign w:val="bottom"/>
            <w:hideMark/>
          </w:tcPr>
          <w:p w14:paraId="0C9F131D"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Equity</w:t>
            </w:r>
          </w:p>
        </w:tc>
        <w:tc>
          <w:tcPr>
            <w:tcW w:w="963" w:type="dxa"/>
            <w:tcBorders>
              <w:top w:val="nil"/>
              <w:left w:val="nil"/>
              <w:bottom w:val="nil"/>
              <w:right w:val="nil"/>
            </w:tcBorders>
            <w:shd w:val="clear" w:color="auto" w:fill="auto"/>
            <w:noWrap/>
            <w:vAlign w:val="bottom"/>
            <w:hideMark/>
          </w:tcPr>
          <w:p w14:paraId="4DACF69B"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xml:space="preserve">Bond </w:t>
            </w:r>
          </w:p>
        </w:tc>
        <w:tc>
          <w:tcPr>
            <w:tcW w:w="963" w:type="dxa"/>
            <w:tcBorders>
              <w:top w:val="nil"/>
              <w:left w:val="nil"/>
              <w:bottom w:val="nil"/>
              <w:right w:val="nil"/>
            </w:tcBorders>
            <w:shd w:val="clear" w:color="auto" w:fill="auto"/>
            <w:noWrap/>
            <w:vAlign w:val="bottom"/>
            <w:hideMark/>
          </w:tcPr>
          <w:p w14:paraId="7F7D858D"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REIT</w:t>
            </w:r>
          </w:p>
        </w:tc>
        <w:tc>
          <w:tcPr>
            <w:tcW w:w="963" w:type="dxa"/>
            <w:tcBorders>
              <w:top w:val="nil"/>
              <w:left w:val="nil"/>
              <w:bottom w:val="nil"/>
              <w:right w:val="nil"/>
            </w:tcBorders>
            <w:shd w:val="clear" w:color="auto" w:fill="auto"/>
            <w:noWrap/>
            <w:vAlign w:val="bottom"/>
            <w:hideMark/>
          </w:tcPr>
          <w:p w14:paraId="0D796BFC"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Equity</w:t>
            </w:r>
          </w:p>
        </w:tc>
        <w:tc>
          <w:tcPr>
            <w:tcW w:w="963" w:type="dxa"/>
            <w:tcBorders>
              <w:top w:val="nil"/>
              <w:left w:val="nil"/>
              <w:bottom w:val="nil"/>
              <w:right w:val="nil"/>
            </w:tcBorders>
            <w:shd w:val="clear" w:color="auto" w:fill="auto"/>
            <w:noWrap/>
            <w:vAlign w:val="bottom"/>
            <w:hideMark/>
          </w:tcPr>
          <w:p w14:paraId="06305C78"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Bond</w:t>
            </w:r>
          </w:p>
        </w:tc>
        <w:tc>
          <w:tcPr>
            <w:tcW w:w="963" w:type="dxa"/>
            <w:tcBorders>
              <w:top w:val="nil"/>
              <w:left w:val="nil"/>
              <w:bottom w:val="nil"/>
              <w:right w:val="nil"/>
            </w:tcBorders>
            <w:shd w:val="clear" w:color="auto" w:fill="auto"/>
            <w:noWrap/>
            <w:vAlign w:val="bottom"/>
            <w:hideMark/>
          </w:tcPr>
          <w:p w14:paraId="08582ABC"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REIT</w:t>
            </w:r>
          </w:p>
        </w:tc>
        <w:tc>
          <w:tcPr>
            <w:tcW w:w="961" w:type="dxa"/>
            <w:tcBorders>
              <w:top w:val="nil"/>
              <w:left w:val="nil"/>
              <w:bottom w:val="nil"/>
              <w:right w:val="nil"/>
            </w:tcBorders>
            <w:shd w:val="clear" w:color="auto" w:fill="auto"/>
            <w:noWrap/>
            <w:vAlign w:val="bottom"/>
            <w:hideMark/>
          </w:tcPr>
          <w:p w14:paraId="396C182F"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Equity</w:t>
            </w:r>
          </w:p>
        </w:tc>
        <w:tc>
          <w:tcPr>
            <w:tcW w:w="960" w:type="dxa"/>
            <w:tcBorders>
              <w:top w:val="nil"/>
              <w:left w:val="nil"/>
              <w:bottom w:val="nil"/>
              <w:right w:val="nil"/>
            </w:tcBorders>
            <w:shd w:val="clear" w:color="auto" w:fill="auto"/>
            <w:noWrap/>
            <w:vAlign w:val="bottom"/>
            <w:hideMark/>
          </w:tcPr>
          <w:p w14:paraId="02E88B29"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Bond</w:t>
            </w:r>
          </w:p>
        </w:tc>
        <w:tc>
          <w:tcPr>
            <w:tcW w:w="967" w:type="dxa"/>
            <w:tcBorders>
              <w:top w:val="nil"/>
              <w:left w:val="nil"/>
              <w:bottom w:val="nil"/>
              <w:right w:val="single" w:sz="4" w:space="0" w:color="auto"/>
            </w:tcBorders>
            <w:shd w:val="clear" w:color="auto" w:fill="auto"/>
            <w:noWrap/>
            <w:vAlign w:val="bottom"/>
            <w:hideMark/>
          </w:tcPr>
          <w:p w14:paraId="2E2F4D55"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REIT</w:t>
            </w:r>
          </w:p>
        </w:tc>
      </w:tr>
      <w:tr w:rsidR="00ED02A4" w:rsidRPr="007256AA" w14:paraId="3820D90B"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5E86F31E"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TED</w:t>
            </w:r>
          </w:p>
        </w:tc>
        <w:tc>
          <w:tcPr>
            <w:tcW w:w="963" w:type="dxa"/>
            <w:tcBorders>
              <w:top w:val="nil"/>
              <w:left w:val="nil"/>
              <w:bottom w:val="nil"/>
              <w:right w:val="nil"/>
            </w:tcBorders>
            <w:shd w:val="clear" w:color="auto" w:fill="auto"/>
            <w:noWrap/>
            <w:vAlign w:val="bottom"/>
            <w:hideMark/>
          </w:tcPr>
          <w:p w14:paraId="7A29A59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-22.921</w:t>
            </w:r>
          </w:p>
        </w:tc>
        <w:tc>
          <w:tcPr>
            <w:tcW w:w="963" w:type="dxa"/>
            <w:tcBorders>
              <w:top w:val="nil"/>
              <w:left w:val="nil"/>
              <w:bottom w:val="nil"/>
              <w:right w:val="nil"/>
            </w:tcBorders>
            <w:shd w:val="clear" w:color="auto" w:fill="auto"/>
            <w:noWrap/>
            <w:vAlign w:val="bottom"/>
            <w:hideMark/>
          </w:tcPr>
          <w:p w14:paraId="2AC21D3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-23.532</w:t>
            </w:r>
          </w:p>
        </w:tc>
        <w:tc>
          <w:tcPr>
            <w:tcW w:w="963" w:type="dxa"/>
            <w:tcBorders>
              <w:top w:val="nil"/>
              <w:left w:val="nil"/>
              <w:bottom w:val="nil"/>
              <w:right w:val="nil"/>
            </w:tcBorders>
            <w:shd w:val="clear" w:color="auto" w:fill="auto"/>
            <w:noWrap/>
            <w:vAlign w:val="bottom"/>
            <w:hideMark/>
          </w:tcPr>
          <w:p w14:paraId="73E8C4BD"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-32.967</w:t>
            </w:r>
          </w:p>
        </w:tc>
        <w:tc>
          <w:tcPr>
            <w:tcW w:w="963" w:type="dxa"/>
            <w:tcBorders>
              <w:top w:val="nil"/>
              <w:left w:val="nil"/>
              <w:bottom w:val="nil"/>
              <w:right w:val="nil"/>
            </w:tcBorders>
            <w:shd w:val="clear" w:color="auto" w:fill="auto"/>
            <w:noWrap/>
            <w:vAlign w:val="bottom"/>
            <w:hideMark/>
          </w:tcPr>
          <w:p w14:paraId="43D0721B"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-9.481</w:t>
            </w:r>
          </w:p>
        </w:tc>
        <w:tc>
          <w:tcPr>
            <w:tcW w:w="963" w:type="dxa"/>
            <w:tcBorders>
              <w:top w:val="nil"/>
              <w:left w:val="nil"/>
              <w:bottom w:val="nil"/>
              <w:right w:val="nil"/>
            </w:tcBorders>
            <w:shd w:val="clear" w:color="auto" w:fill="auto"/>
            <w:noWrap/>
            <w:vAlign w:val="bottom"/>
            <w:hideMark/>
          </w:tcPr>
          <w:p w14:paraId="2EB661C8"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-19.901</w:t>
            </w:r>
          </w:p>
        </w:tc>
        <w:tc>
          <w:tcPr>
            <w:tcW w:w="963" w:type="dxa"/>
            <w:tcBorders>
              <w:top w:val="nil"/>
              <w:left w:val="nil"/>
              <w:bottom w:val="nil"/>
              <w:right w:val="nil"/>
            </w:tcBorders>
            <w:shd w:val="clear" w:color="auto" w:fill="auto"/>
            <w:noWrap/>
            <w:vAlign w:val="bottom"/>
            <w:hideMark/>
          </w:tcPr>
          <w:p w14:paraId="25D205AE"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-21.489</w:t>
            </w:r>
          </w:p>
        </w:tc>
        <w:tc>
          <w:tcPr>
            <w:tcW w:w="961" w:type="dxa"/>
            <w:tcBorders>
              <w:top w:val="nil"/>
              <w:left w:val="nil"/>
              <w:bottom w:val="nil"/>
              <w:right w:val="nil"/>
            </w:tcBorders>
            <w:shd w:val="clear" w:color="auto" w:fill="auto"/>
            <w:noWrap/>
            <w:vAlign w:val="bottom"/>
            <w:hideMark/>
          </w:tcPr>
          <w:p w14:paraId="0530BDC1"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-8.399</w:t>
            </w:r>
          </w:p>
        </w:tc>
        <w:tc>
          <w:tcPr>
            <w:tcW w:w="960" w:type="dxa"/>
            <w:tcBorders>
              <w:top w:val="nil"/>
              <w:left w:val="nil"/>
              <w:bottom w:val="nil"/>
              <w:right w:val="nil"/>
            </w:tcBorders>
            <w:shd w:val="clear" w:color="auto" w:fill="auto"/>
            <w:noWrap/>
            <w:vAlign w:val="bottom"/>
            <w:hideMark/>
          </w:tcPr>
          <w:p w14:paraId="39EC4AEA"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-21.994</w:t>
            </w:r>
          </w:p>
        </w:tc>
        <w:tc>
          <w:tcPr>
            <w:tcW w:w="967" w:type="dxa"/>
            <w:tcBorders>
              <w:top w:val="nil"/>
              <w:left w:val="nil"/>
              <w:bottom w:val="nil"/>
              <w:right w:val="single" w:sz="4" w:space="0" w:color="auto"/>
            </w:tcBorders>
            <w:shd w:val="clear" w:color="auto" w:fill="auto"/>
            <w:noWrap/>
            <w:vAlign w:val="bottom"/>
            <w:hideMark/>
          </w:tcPr>
          <w:p w14:paraId="3902B68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-24.711</w:t>
            </w:r>
          </w:p>
        </w:tc>
      </w:tr>
      <w:tr w:rsidR="00ED02A4" w:rsidRPr="007256AA" w14:paraId="7B48389B"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5F3354D5" w14:textId="77777777" w:rsidR="00ED02A4" w:rsidRPr="007256AA" w:rsidRDefault="00ED02A4" w:rsidP="00367A87">
            <w:pPr>
              <w:spacing w:after="0" w:line="240" w:lineRule="auto"/>
              <w:rPr>
                <w:rFonts w:ascii="Calibri" w:eastAsia="Times New Roman" w:hAnsi="Calibri" w:cs="Calibri"/>
                <w:b/>
                <w:bCs/>
                <w:color w:val="000000"/>
                <w:lang w:eastAsia="en-IE"/>
              </w:rPr>
            </w:pPr>
            <w:r w:rsidRPr="007256AA">
              <w:rPr>
                <w:rFonts w:ascii="Calibri" w:eastAsia="Times New Roman" w:hAnsi="Calibri" w:cs="Calibri"/>
                <w:b/>
                <w:bCs/>
                <w:color w:val="000000"/>
                <w:lang w:eastAsia="en-IE"/>
              </w:rPr>
              <w:t> </w:t>
            </w:r>
          </w:p>
        </w:tc>
        <w:tc>
          <w:tcPr>
            <w:tcW w:w="963" w:type="dxa"/>
            <w:tcBorders>
              <w:top w:val="nil"/>
              <w:left w:val="nil"/>
              <w:bottom w:val="nil"/>
              <w:right w:val="nil"/>
            </w:tcBorders>
            <w:shd w:val="clear" w:color="auto" w:fill="auto"/>
            <w:noWrap/>
            <w:vAlign w:val="bottom"/>
            <w:hideMark/>
          </w:tcPr>
          <w:p w14:paraId="4F4A676A" w14:textId="77777777" w:rsidR="00ED02A4" w:rsidRPr="007256AA" w:rsidRDefault="00ED02A4" w:rsidP="00367A87">
            <w:pPr>
              <w:spacing w:after="0" w:line="240" w:lineRule="auto"/>
              <w:jc w:val="right"/>
              <w:rPr>
                <w:rFonts w:ascii="Calibri" w:eastAsia="Times New Roman" w:hAnsi="Calibri" w:cs="Calibri"/>
                <w:b/>
                <w:bCs/>
                <w:color w:val="000000"/>
                <w:lang w:eastAsia="en-IE"/>
              </w:rPr>
            </w:pPr>
            <w:r w:rsidRPr="007256AA">
              <w:rPr>
                <w:rFonts w:ascii="Calibri" w:eastAsia="Times New Roman" w:hAnsi="Calibri" w:cs="Calibri"/>
                <w:b/>
                <w:bCs/>
                <w:color w:val="000000"/>
                <w:lang w:eastAsia="en-IE"/>
              </w:rPr>
              <w:t>0.000</w:t>
            </w:r>
          </w:p>
        </w:tc>
        <w:tc>
          <w:tcPr>
            <w:tcW w:w="963" w:type="dxa"/>
            <w:tcBorders>
              <w:top w:val="nil"/>
              <w:left w:val="nil"/>
              <w:bottom w:val="nil"/>
              <w:right w:val="nil"/>
            </w:tcBorders>
            <w:shd w:val="clear" w:color="auto" w:fill="auto"/>
            <w:noWrap/>
            <w:vAlign w:val="bottom"/>
            <w:hideMark/>
          </w:tcPr>
          <w:p w14:paraId="746E26E5" w14:textId="77777777" w:rsidR="00ED02A4" w:rsidRPr="007256AA" w:rsidRDefault="00ED02A4" w:rsidP="00367A87">
            <w:pPr>
              <w:spacing w:after="0" w:line="240" w:lineRule="auto"/>
              <w:jc w:val="right"/>
              <w:rPr>
                <w:rFonts w:ascii="Calibri" w:eastAsia="Times New Roman" w:hAnsi="Calibri" w:cs="Calibri"/>
                <w:b/>
                <w:bCs/>
                <w:color w:val="000000"/>
                <w:lang w:eastAsia="en-IE"/>
              </w:rPr>
            </w:pPr>
            <w:r w:rsidRPr="007256AA">
              <w:rPr>
                <w:rFonts w:ascii="Calibri" w:eastAsia="Times New Roman" w:hAnsi="Calibri" w:cs="Calibri"/>
                <w:b/>
                <w:bCs/>
                <w:color w:val="000000"/>
                <w:lang w:eastAsia="en-IE"/>
              </w:rPr>
              <w:t>0.000</w:t>
            </w:r>
          </w:p>
        </w:tc>
        <w:tc>
          <w:tcPr>
            <w:tcW w:w="963" w:type="dxa"/>
            <w:tcBorders>
              <w:top w:val="nil"/>
              <w:left w:val="nil"/>
              <w:bottom w:val="nil"/>
              <w:right w:val="nil"/>
            </w:tcBorders>
            <w:shd w:val="clear" w:color="auto" w:fill="auto"/>
            <w:noWrap/>
            <w:vAlign w:val="bottom"/>
            <w:hideMark/>
          </w:tcPr>
          <w:p w14:paraId="40D713C8" w14:textId="77777777" w:rsidR="00ED02A4" w:rsidRPr="007256AA" w:rsidRDefault="00ED02A4" w:rsidP="00367A87">
            <w:pPr>
              <w:spacing w:after="0" w:line="240" w:lineRule="auto"/>
              <w:jc w:val="right"/>
              <w:rPr>
                <w:rFonts w:ascii="Calibri" w:eastAsia="Times New Roman" w:hAnsi="Calibri" w:cs="Calibri"/>
                <w:b/>
                <w:bCs/>
                <w:color w:val="000000"/>
                <w:lang w:eastAsia="en-IE"/>
              </w:rPr>
            </w:pPr>
            <w:r w:rsidRPr="007256AA">
              <w:rPr>
                <w:rFonts w:ascii="Calibri" w:eastAsia="Times New Roman" w:hAnsi="Calibri" w:cs="Calibri"/>
                <w:b/>
                <w:bCs/>
                <w:color w:val="000000"/>
                <w:lang w:eastAsia="en-IE"/>
              </w:rPr>
              <w:t>0.000</w:t>
            </w:r>
          </w:p>
        </w:tc>
        <w:tc>
          <w:tcPr>
            <w:tcW w:w="963" w:type="dxa"/>
            <w:tcBorders>
              <w:top w:val="nil"/>
              <w:left w:val="nil"/>
              <w:bottom w:val="nil"/>
              <w:right w:val="nil"/>
            </w:tcBorders>
            <w:shd w:val="clear" w:color="auto" w:fill="auto"/>
            <w:noWrap/>
            <w:vAlign w:val="bottom"/>
            <w:hideMark/>
          </w:tcPr>
          <w:p w14:paraId="161EAB69" w14:textId="77777777" w:rsidR="00ED02A4" w:rsidRPr="007256AA" w:rsidRDefault="00ED02A4" w:rsidP="00367A87">
            <w:pPr>
              <w:spacing w:after="0" w:line="240" w:lineRule="auto"/>
              <w:jc w:val="right"/>
              <w:rPr>
                <w:rFonts w:ascii="Calibri" w:eastAsia="Times New Roman" w:hAnsi="Calibri" w:cs="Calibri"/>
                <w:b/>
                <w:bCs/>
                <w:color w:val="000000"/>
                <w:lang w:eastAsia="en-IE"/>
              </w:rPr>
            </w:pPr>
            <w:r w:rsidRPr="007256AA">
              <w:rPr>
                <w:rFonts w:ascii="Calibri" w:eastAsia="Times New Roman" w:hAnsi="Calibri" w:cs="Calibri"/>
                <w:b/>
                <w:bCs/>
                <w:color w:val="000000"/>
                <w:lang w:eastAsia="en-IE"/>
              </w:rPr>
              <w:t>0.000</w:t>
            </w:r>
          </w:p>
        </w:tc>
        <w:tc>
          <w:tcPr>
            <w:tcW w:w="963" w:type="dxa"/>
            <w:tcBorders>
              <w:top w:val="nil"/>
              <w:left w:val="nil"/>
              <w:bottom w:val="nil"/>
              <w:right w:val="nil"/>
            </w:tcBorders>
            <w:shd w:val="clear" w:color="auto" w:fill="auto"/>
            <w:noWrap/>
            <w:vAlign w:val="bottom"/>
            <w:hideMark/>
          </w:tcPr>
          <w:p w14:paraId="31A2A71F" w14:textId="77777777" w:rsidR="00ED02A4" w:rsidRPr="007256AA" w:rsidRDefault="00ED02A4" w:rsidP="00367A87">
            <w:pPr>
              <w:spacing w:after="0" w:line="240" w:lineRule="auto"/>
              <w:jc w:val="right"/>
              <w:rPr>
                <w:rFonts w:ascii="Calibri" w:eastAsia="Times New Roman" w:hAnsi="Calibri" w:cs="Calibri"/>
                <w:b/>
                <w:bCs/>
                <w:color w:val="000000"/>
                <w:lang w:eastAsia="en-IE"/>
              </w:rPr>
            </w:pPr>
            <w:r w:rsidRPr="007256AA">
              <w:rPr>
                <w:rFonts w:ascii="Calibri" w:eastAsia="Times New Roman" w:hAnsi="Calibri" w:cs="Calibri"/>
                <w:b/>
                <w:bCs/>
                <w:color w:val="000000"/>
                <w:lang w:eastAsia="en-IE"/>
              </w:rPr>
              <w:t>0.000</w:t>
            </w:r>
          </w:p>
        </w:tc>
        <w:tc>
          <w:tcPr>
            <w:tcW w:w="963" w:type="dxa"/>
            <w:tcBorders>
              <w:top w:val="nil"/>
              <w:left w:val="nil"/>
              <w:bottom w:val="nil"/>
              <w:right w:val="nil"/>
            </w:tcBorders>
            <w:shd w:val="clear" w:color="auto" w:fill="auto"/>
            <w:noWrap/>
            <w:vAlign w:val="bottom"/>
            <w:hideMark/>
          </w:tcPr>
          <w:p w14:paraId="47F23125" w14:textId="77777777" w:rsidR="00ED02A4" w:rsidRPr="007256AA" w:rsidRDefault="00ED02A4" w:rsidP="00367A87">
            <w:pPr>
              <w:spacing w:after="0" w:line="240" w:lineRule="auto"/>
              <w:jc w:val="right"/>
              <w:rPr>
                <w:rFonts w:ascii="Calibri" w:eastAsia="Times New Roman" w:hAnsi="Calibri" w:cs="Calibri"/>
                <w:b/>
                <w:bCs/>
                <w:color w:val="000000"/>
                <w:lang w:eastAsia="en-IE"/>
              </w:rPr>
            </w:pPr>
            <w:r w:rsidRPr="007256AA">
              <w:rPr>
                <w:rFonts w:ascii="Calibri" w:eastAsia="Times New Roman" w:hAnsi="Calibri" w:cs="Calibri"/>
                <w:b/>
                <w:bCs/>
                <w:color w:val="000000"/>
                <w:lang w:eastAsia="en-IE"/>
              </w:rPr>
              <w:t>0.000</w:t>
            </w:r>
          </w:p>
        </w:tc>
        <w:tc>
          <w:tcPr>
            <w:tcW w:w="961" w:type="dxa"/>
            <w:tcBorders>
              <w:top w:val="nil"/>
              <w:left w:val="nil"/>
              <w:bottom w:val="nil"/>
              <w:right w:val="nil"/>
            </w:tcBorders>
            <w:shd w:val="clear" w:color="auto" w:fill="auto"/>
            <w:noWrap/>
            <w:vAlign w:val="bottom"/>
            <w:hideMark/>
          </w:tcPr>
          <w:p w14:paraId="31542CF6" w14:textId="77777777" w:rsidR="00ED02A4" w:rsidRPr="007256AA" w:rsidRDefault="00ED02A4" w:rsidP="00367A87">
            <w:pPr>
              <w:spacing w:after="0" w:line="240" w:lineRule="auto"/>
              <w:jc w:val="right"/>
              <w:rPr>
                <w:rFonts w:ascii="Calibri" w:eastAsia="Times New Roman" w:hAnsi="Calibri" w:cs="Calibri"/>
                <w:b/>
                <w:bCs/>
                <w:color w:val="000000"/>
                <w:lang w:eastAsia="en-IE"/>
              </w:rPr>
            </w:pPr>
            <w:r w:rsidRPr="007256AA">
              <w:rPr>
                <w:rFonts w:ascii="Calibri" w:eastAsia="Times New Roman" w:hAnsi="Calibri" w:cs="Calibri"/>
                <w:b/>
                <w:bCs/>
                <w:color w:val="000000"/>
                <w:lang w:eastAsia="en-IE"/>
              </w:rPr>
              <w:t>0.049</w:t>
            </w:r>
          </w:p>
        </w:tc>
        <w:tc>
          <w:tcPr>
            <w:tcW w:w="960" w:type="dxa"/>
            <w:tcBorders>
              <w:top w:val="nil"/>
              <w:left w:val="nil"/>
              <w:bottom w:val="nil"/>
              <w:right w:val="nil"/>
            </w:tcBorders>
            <w:shd w:val="clear" w:color="auto" w:fill="auto"/>
            <w:noWrap/>
            <w:vAlign w:val="bottom"/>
            <w:hideMark/>
          </w:tcPr>
          <w:p w14:paraId="054DAF04" w14:textId="77777777" w:rsidR="00ED02A4" w:rsidRPr="007256AA" w:rsidRDefault="00ED02A4" w:rsidP="00367A87">
            <w:pPr>
              <w:spacing w:after="0" w:line="240" w:lineRule="auto"/>
              <w:jc w:val="right"/>
              <w:rPr>
                <w:rFonts w:ascii="Calibri" w:eastAsia="Times New Roman" w:hAnsi="Calibri" w:cs="Calibri"/>
                <w:b/>
                <w:bCs/>
                <w:color w:val="000000"/>
                <w:lang w:eastAsia="en-IE"/>
              </w:rPr>
            </w:pPr>
            <w:r w:rsidRPr="007256AA">
              <w:rPr>
                <w:rFonts w:ascii="Calibri" w:eastAsia="Times New Roman" w:hAnsi="Calibri" w:cs="Calibri"/>
                <w:b/>
                <w:bCs/>
                <w:color w:val="000000"/>
                <w:lang w:eastAsia="en-IE"/>
              </w:rPr>
              <w:t>0.000</w:t>
            </w:r>
          </w:p>
        </w:tc>
        <w:tc>
          <w:tcPr>
            <w:tcW w:w="967" w:type="dxa"/>
            <w:tcBorders>
              <w:top w:val="nil"/>
              <w:left w:val="nil"/>
              <w:bottom w:val="nil"/>
              <w:right w:val="single" w:sz="4" w:space="0" w:color="auto"/>
            </w:tcBorders>
            <w:shd w:val="clear" w:color="auto" w:fill="auto"/>
            <w:noWrap/>
            <w:vAlign w:val="bottom"/>
            <w:hideMark/>
          </w:tcPr>
          <w:p w14:paraId="103FD12C" w14:textId="77777777" w:rsidR="00ED02A4" w:rsidRPr="007256AA" w:rsidRDefault="00ED02A4" w:rsidP="00367A87">
            <w:pPr>
              <w:spacing w:after="0" w:line="240" w:lineRule="auto"/>
              <w:jc w:val="right"/>
              <w:rPr>
                <w:rFonts w:ascii="Calibri" w:eastAsia="Times New Roman" w:hAnsi="Calibri" w:cs="Calibri"/>
                <w:b/>
                <w:bCs/>
                <w:color w:val="000000"/>
                <w:lang w:eastAsia="en-IE"/>
              </w:rPr>
            </w:pPr>
            <w:r w:rsidRPr="007256AA">
              <w:rPr>
                <w:rFonts w:ascii="Calibri" w:eastAsia="Times New Roman" w:hAnsi="Calibri" w:cs="Calibri"/>
                <w:b/>
                <w:bCs/>
                <w:color w:val="000000"/>
                <w:lang w:eastAsia="en-IE"/>
              </w:rPr>
              <w:t>0.000</w:t>
            </w:r>
          </w:p>
        </w:tc>
      </w:tr>
      <w:tr w:rsidR="00ED02A4" w:rsidRPr="007256AA" w14:paraId="2FFC6F69"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1CB09848"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VIX</w:t>
            </w:r>
          </w:p>
        </w:tc>
        <w:tc>
          <w:tcPr>
            <w:tcW w:w="963" w:type="dxa"/>
            <w:tcBorders>
              <w:top w:val="nil"/>
              <w:left w:val="nil"/>
              <w:bottom w:val="nil"/>
              <w:right w:val="nil"/>
            </w:tcBorders>
            <w:shd w:val="clear" w:color="auto" w:fill="auto"/>
            <w:noWrap/>
            <w:vAlign w:val="bottom"/>
            <w:hideMark/>
          </w:tcPr>
          <w:p w14:paraId="3DCED34E"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0.681</w:t>
            </w:r>
          </w:p>
        </w:tc>
        <w:tc>
          <w:tcPr>
            <w:tcW w:w="963" w:type="dxa"/>
            <w:tcBorders>
              <w:top w:val="nil"/>
              <w:left w:val="nil"/>
              <w:bottom w:val="nil"/>
              <w:right w:val="nil"/>
            </w:tcBorders>
            <w:shd w:val="clear" w:color="auto" w:fill="auto"/>
            <w:noWrap/>
            <w:vAlign w:val="bottom"/>
            <w:hideMark/>
          </w:tcPr>
          <w:p w14:paraId="428D264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1.658</w:t>
            </w:r>
          </w:p>
        </w:tc>
        <w:tc>
          <w:tcPr>
            <w:tcW w:w="963" w:type="dxa"/>
            <w:tcBorders>
              <w:top w:val="nil"/>
              <w:left w:val="nil"/>
              <w:bottom w:val="nil"/>
              <w:right w:val="nil"/>
            </w:tcBorders>
            <w:shd w:val="clear" w:color="auto" w:fill="auto"/>
            <w:noWrap/>
            <w:vAlign w:val="bottom"/>
            <w:hideMark/>
          </w:tcPr>
          <w:p w14:paraId="3C038FC6"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1.129</w:t>
            </w:r>
          </w:p>
        </w:tc>
        <w:tc>
          <w:tcPr>
            <w:tcW w:w="963" w:type="dxa"/>
            <w:tcBorders>
              <w:top w:val="nil"/>
              <w:left w:val="nil"/>
              <w:bottom w:val="nil"/>
              <w:right w:val="nil"/>
            </w:tcBorders>
            <w:shd w:val="clear" w:color="auto" w:fill="auto"/>
            <w:noWrap/>
            <w:vAlign w:val="bottom"/>
            <w:hideMark/>
          </w:tcPr>
          <w:p w14:paraId="6FAF680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0.034</w:t>
            </w:r>
          </w:p>
        </w:tc>
        <w:tc>
          <w:tcPr>
            <w:tcW w:w="963" w:type="dxa"/>
            <w:tcBorders>
              <w:top w:val="nil"/>
              <w:left w:val="nil"/>
              <w:bottom w:val="nil"/>
              <w:right w:val="nil"/>
            </w:tcBorders>
            <w:shd w:val="clear" w:color="auto" w:fill="auto"/>
            <w:noWrap/>
            <w:vAlign w:val="bottom"/>
            <w:hideMark/>
          </w:tcPr>
          <w:p w14:paraId="3737EC1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1.448</w:t>
            </w:r>
          </w:p>
        </w:tc>
        <w:tc>
          <w:tcPr>
            <w:tcW w:w="963" w:type="dxa"/>
            <w:tcBorders>
              <w:top w:val="nil"/>
              <w:left w:val="nil"/>
              <w:bottom w:val="nil"/>
              <w:right w:val="nil"/>
            </w:tcBorders>
            <w:shd w:val="clear" w:color="auto" w:fill="auto"/>
            <w:noWrap/>
            <w:vAlign w:val="bottom"/>
            <w:hideMark/>
          </w:tcPr>
          <w:p w14:paraId="77689301"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0.494</w:t>
            </w:r>
          </w:p>
        </w:tc>
        <w:tc>
          <w:tcPr>
            <w:tcW w:w="961" w:type="dxa"/>
            <w:tcBorders>
              <w:top w:val="nil"/>
              <w:left w:val="nil"/>
              <w:bottom w:val="nil"/>
              <w:right w:val="nil"/>
            </w:tcBorders>
            <w:shd w:val="clear" w:color="auto" w:fill="auto"/>
            <w:noWrap/>
            <w:vAlign w:val="bottom"/>
            <w:hideMark/>
          </w:tcPr>
          <w:p w14:paraId="01DC821B"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0.115</w:t>
            </w:r>
          </w:p>
        </w:tc>
        <w:tc>
          <w:tcPr>
            <w:tcW w:w="960" w:type="dxa"/>
            <w:tcBorders>
              <w:top w:val="nil"/>
              <w:left w:val="nil"/>
              <w:bottom w:val="nil"/>
              <w:right w:val="nil"/>
            </w:tcBorders>
            <w:shd w:val="clear" w:color="auto" w:fill="auto"/>
            <w:noWrap/>
            <w:vAlign w:val="bottom"/>
            <w:hideMark/>
          </w:tcPr>
          <w:p w14:paraId="0377F92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1.398</w:t>
            </w:r>
          </w:p>
        </w:tc>
        <w:tc>
          <w:tcPr>
            <w:tcW w:w="967" w:type="dxa"/>
            <w:tcBorders>
              <w:top w:val="nil"/>
              <w:left w:val="nil"/>
              <w:bottom w:val="nil"/>
              <w:right w:val="single" w:sz="4" w:space="0" w:color="auto"/>
            </w:tcBorders>
            <w:shd w:val="clear" w:color="auto" w:fill="auto"/>
            <w:noWrap/>
            <w:vAlign w:val="bottom"/>
            <w:hideMark/>
          </w:tcPr>
          <w:p w14:paraId="2C9D777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0.560</w:t>
            </w:r>
          </w:p>
        </w:tc>
      </w:tr>
      <w:tr w:rsidR="00ED02A4" w:rsidRPr="007256AA" w14:paraId="76514B0F"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024ACBEA"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0A7D8F67"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0DF30929"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3FB330D8"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58659995"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0.715</w:t>
            </w:r>
          </w:p>
        </w:tc>
        <w:tc>
          <w:tcPr>
            <w:tcW w:w="963" w:type="dxa"/>
            <w:tcBorders>
              <w:top w:val="nil"/>
              <w:left w:val="nil"/>
              <w:bottom w:val="nil"/>
              <w:right w:val="nil"/>
            </w:tcBorders>
            <w:shd w:val="clear" w:color="auto" w:fill="auto"/>
            <w:noWrap/>
            <w:vAlign w:val="bottom"/>
            <w:hideMark/>
          </w:tcPr>
          <w:p w14:paraId="4CC1D9D2"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43CE2E52"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0.016</w:t>
            </w:r>
          </w:p>
        </w:tc>
        <w:tc>
          <w:tcPr>
            <w:tcW w:w="961" w:type="dxa"/>
            <w:tcBorders>
              <w:top w:val="nil"/>
              <w:left w:val="nil"/>
              <w:bottom w:val="nil"/>
              <w:right w:val="nil"/>
            </w:tcBorders>
            <w:shd w:val="clear" w:color="auto" w:fill="auto"/>
            <w:noWrap/>
            <w:vAlign w:val="bottom"/>
            <w:hideMark/>
          </w:tcPr>
          <w:p w14:paraId="57D3E23E"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0.563</w:t>
            </w:r>
          </w:p>
        </w:tc>
        <w:tc>
          <w:tcPr>
            <w:tcW w:w="960" w:type="dxa"/>
            <w:tcBorders>
              <w:top w:val="nil"/>
              <w:left w:val="nil"/>
              <w:bottom w:val="nil"/>
              <w:right w:val="nil"/>
            </w:tcBorders>
            <w:shd w:val="clear" w:color="auto" w:fill="auto"/>
            <w:noWrap/>
            <w:vAlign w:val="bottom"/>
            <w:hideMark/>
          </w:tcPr>
          <w:p w14:paraId="769B5849"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7" w:type="dxa"/>
            <w:tcBorders>
              <w:top w:val="nil"/>
              <w:left w:val="nil"/>
              <w:bottom w:val="nil"/>
              <w:right w:val="single" w:sz="4" w:space="0" w:color="auto"/>
            </w:tcBorders>
            <w:shd w:val="clear" w:color="auto" w:fill="auto"/>
            <w:noWrap/>
            <w:vAlign w:val="bottom"/>
            <w:hideMark/>
          </w:tcPr>
          <w:p w14:paraId="4096DAB6"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0.005</w:t>
            </w:r>
          </w:p>
        </w:tc>
      </w:tr>
      <w:tr w:rsidR="00ED02A4" w:rsidRPr="007256AA" w14:paraId="47EB5192"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27B98193"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SENT</w:t>
            </w:r>
          </w:p>
        </w:tc>
        <w:tc>
          <w:tcPr>
            <w:tcW w:w="963" w:type="dxa"/>
            <w:tcBorders>
              <w:top w:val="nil"/>
              <w:left w:val="nil"/>
              <w:bottom w:val="nil"/>
              <w:right w:val="nil"/>
            </w:tcBorders>
            <w:shd w:val="clear" w:color="auto" w:fill="auto"/>
            <w:noWrap/>
            <w:vAlign w:val="bottom"/>
            <w:hideMark/>
          </w:tcPr>
          <w:p w14:paraId="12ACB94D"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-0.718</w:t>
            </w:r>
          </w:p>
        </w:tc>
        <w:tc>
          <w:tcPr>
            <w:tcW w:w="963" w:type="dxa"/>
            <w:tcBorders>
              <w:top w:val="nil"/>
              <w:left w:val="nil"/>
              <w:bottom w:val="nil"/>
              <w:right w:val="nil"/>
            </w:tcBorders>
            <w:shd w:val="clear" w:color="auto" w:fill="auto"/>
            <w:noWrap/>
            <w:vAlign w:val="bottom"/>
            <w:hideMark/>
          </w:tcPr>
          <w:p w14:paraId="074D6ABC"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1.491</w:t>
            </w:r>
          </w:p>
        </w:tc>
        <w:tc>
          <w:tcPr>
            <w:tcW w:w="963" w:type="dxa"/>
            <w:tcBorders>
              <w:top w:val="nil"/>
              <w:left w:val="nil"/>
              <w:bottom w:val="nil"/>
              <w:right w:val="nil"/>
            </w:tcBorders>
            <w:shd w:val="clear" w:color="auto" w:fill="auto"/>
            <w:noWrap/>
            <w:vAlign w:val="bottom"/>
            <w:hideMark/>
          </w:tcPr>
          <w:p w14:paraId="400464C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1.118</w:t>
            </w:r>
          </w:p>
        </w:tc>
        <w:tc>
          <w:tcPr>
            <w:tcW w:w="963" w:type="dxa"/>
            <w:tcBorders>
              <w:top w:val="nil"/>
              <w:left w:val="nil"/>
              <w:bottom w:val="nil"/>
              <w:right w:val="nil"/>
            </w:tcBorders>
            <w:shd w:val="clear" w:color="auto" w:fill="auto"/>
            <w:noWrap/>
            <w:vAlign w:val="bottom"/>
            <w:hideMark/>
          </w:tcPr>
          <w:p w14:paraId="039AB56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-0.845</w:t>
            </w:r>
          </w:p>
        </w:tc>
        <w:tc>
          <w:tcPr>
            <w:tcW w:w="963" w:type="dxa"/>
            <w:tcBorders>
              <w:top w:val="nil"/>
              <w:left w:val="nil"/>
              <w:bottom w:val="nil"/>
              <w:right w:val="nil"/>
            </w:tcBorders>
            <w:shd w:val="clear" w:color="auto" w:fill="auto"/>
            <w:noWrap/>
            <w:vAlign w:val="bottom"/>
            <w:hideMark/>
          </w:tcPr>
          <w:p w14:paraId="612F0AF6"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1.450</w:t>
            </w:r>
          </w:p>
        </w:tc>
        <w:tc>
          <w:tcPr>
            <w:tcW w:w="963" w:type="dxa"/>
            <w:tcBorders>
              <w:top w:val="nil"/>
              <w:left w:val="nil"/>
              <w:bottom w:val="nil"/>
              <w:right w:val="nil"/>
            </w:tcBorders>
            <w:shd w:val="clear" w:color="auto" w:fill="auto"/>
            <w:noWrap/>
            <w:vAlign w:val="bottom"/>
            <w:hideMark/>
          </w:tcPr>
          <w:p w14:paraId="64C45C9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0.584</w:t>
            </w:r>
          </w:p>
        </w:tc>
        <w:tc>
          <w:tcPr>
            <w:tcW w:w="961" w:type="dxa"/>
            <w:tcBorders>
              <w:top w:val="nil"/>
              <w:left w:val="nil"/>
              <w:bottom w:val="nil"/>
              <w:right w:val="nil"/>
            </w:tcBorders>
            <w:shd w:val="clear" w:color="auto" w:fill="auto"/>
            <w:noWrap/>
            <w:vAlign w:val="bottom"/>
            <w:hideMark/>
          </w:tcPr>
          <w:p w14:paraId="5C20721B"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0.473</w:t>
            </w:r>
          </w:p>
        </w:tc>
        <w:tc>
          <w:tcPr>
            <w:tcW w:w="960" w:type="dxa"/>
            <w:tcBorders>
              <w:top w:val="nil"/>
              <w:left w:val="nil"/>
              <w:bottom w:val="nil"/>
              <w:right w:val="nil"/>
            </w:tcBorders>
            <w:shd w:val="clear" w:color="auto" w:fill="auto"/>
            <w:noWrap/>
            <w:vAlign w:val="bottom"/>
            <w:hideMark/>
          </w:tcPr>
          <w:p w14:paraId="63C65591"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1.160</w:t>
            </w:r>
          </w:p>
        </w:tc>
        <w:tc>
          <w:tcPr>
            <w:tcW w:w="967" w:type="dxa"/>
            <w:tcBorders>
              <w:top w:val="nil"/>
              <w:left w:val="nil"/>
              <w:bottom w:val="nil"/>
              <w:right w:val="single" w:sz="4" w:space="0" w:color="auto"/>
            </w:tcBorders>
            <w:shd w:val="clear" w:color="auto" w:fill="auto"/>
            <w:noWrap/>
            <w:vAlign w:val="bottom"/>
            <w:hideMark/>
          </w:tcPr>
          <w:p w14:paraId="4ACD7AC2"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1.463</w:t>
            </w:r>
          </w:p>
        </w:tc>
      </w:tr>
      <w:tr w:rsidR="00ED02A4" w:rsidRPr="007256AA" w14:paraId="7AF6AA98"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29A539DD"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42A9955F"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0.393</w:t>
            </w:r>
          </w:p>
        </w:tc>
        <w:tc>
          <w:tcPr>
            <w:tcW w:w="963" w:type="dxa"/>
            <w:tcBorders>
              <w:top w:val="nil"/>
              <w:left w:val="nil"/>
              <w:bottom w:val="nil"/>
              <w:right w:val="nil"/>
            </w:tcBorders>
            <w:shd w:val="clear" w:color="auto" w:fill="auto"/>
            <w:noWrap/>
            <w:vAlign w:val="bottom"/>
            <w:hideMark/>
          </w:tcPr>
          <w:p w14:paraId="7ED43F4A"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0.022</w:t>
            </w:r>
          </w:p>
        </w:tc>
        <w:tc>
          <w:tcPr>
            <w:tcW w:w="963" w:type="dxa"/>
            <w:tcBorders>
              <w:top w:val="nil"/>
              <w:left w:val="nil"/>
              <w:bottom w:val="nil"/>
              <w:right w:val="nil"/>
            </w:tcBorders>
            <w:shd w:val="clear" w:color="auto" w:fill="auto"/>
            <w:noWrap/>
            <w:vAlign w:val="bottom"/>
            <w:hideMark/>
          </w:tcPr>
          <w:p w14:paraId="2F8CFBA9"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0.334</w:t>
            </w:r>
          </w:p>
        </w:tc>
        <w:tc>
          <w:tcPr>
            <w:tcW w:w="963" w:type="dxa"/>
            <w:tcBorders>
              <w:top w:val="nil"/>
              <w:left w:val="nil"/>
              <w:bottom w:val="nil"/>
              <w:right w:val="nil"/>
            </w:tcBorders>
            <w:shd w:val="clear" w:color="auto" w:fill="auto"/>
            <w:noWrap/>
            <w:vAlign w:val="bottom"/>
            <w:hideMark/>
          </w:tcPr>
          <w:p w14:paraId="4E9F4CF3"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0.255</w:t>
            </w:r>
          </w:p>
        </w:tc>
        <w:tc>
          <w:tcPr>
            <w:tcW w:w="963" w:type="dxa"/>
            <w:tcBorders>
              <w:top w:val="nil"/>
              <w:left w:val="nil"/>
              <w:bottom w:val="nil"/>
              <w:right w:val="nil"/>
            </w:tcBorders>
            <w:shd w:val="clear" w:color="auto" w:fill="auto"/>
            <w:noWrap/>
            <w:vAlign w:val="bottom"/>
            <w:hideMark/>
          </w:tcPr>
          <w:p w14:paraId="5057D5DA"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0.036</w:t>
            </w:r>
          </w:p>
        </w:tc>
        <w:tc>
          <w:tcPr>
            <w:tcW w:w="963" w:type="dxa"/>
            <w:tcBorders>
              <w:top w:val="nil"/>
              <w:left w:val="nil"/>
              <w:bottom w:val="nil"/>
              <w:right w:val="nil"/>
            </w:tcBorders>
            <w:shd w:val="clear" w:color="auto" w:fill="auto"/>
            <w:noWrap/>
            <w:vAlign w:val="bottom"/>
            <w:hideMark/>
          </w:tcPr>
          <w:p w14:paraId="54B3E249"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0.614</w:t>
            </w:r>
          </w:p>
        </w:tc>
        <w:tc>
          <w:tcPr>
            <w:tcW w:w="961" w:type="dxa"/>
            <w:tcBorders>
              <w:top w:val="nil"/>
              <w:left w:val="nil"/>
              <w:bottom w:val="nil"/>
              <w:right w:val="nil"/>
            </w:tcBorders>
            <w:shd w:val="clear" w:color="auto" w:fill="auto"/>
            <w:noWrap/>
            <w:vAlign w:val="bottom"/>
            <w:hideMark/>
          </w:tcPr>
          <w:p w14:paraId="13FCFF69"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0.728</w:t>
            </w:r>
          </w:p>
        </w:tc>
        <w:tc>
          <w:tcPr>
            <w:tcW w:w="960" w:type="dxa"/>
            <w:tcBorders>
              <w:top w:val="nil"/>
              <w:left w:val="nil"/>
              <w:bottom w:val="nil"/>
              <w:right w:val="nil"/>
            </w:tcBorders>
            <w:shd w:val="clear" w:color="auto" w:fill="auto"/>
            <w:noWrap/>
            <w:vAlign w:val="bottom"/>
            <w:hideMark/>
          </w:tcPr>
          <w:p w14:paraId="6BDF2068"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0.151</w:t>
            </w:r>
          </w:p>
        </w:tc>
        <w:tc>
          <w:tcPr>
            <w:tcW w:w="967" w:type="dxa"/>
            <w:tcBorders>
              <w:top w:val="nil"/>
              <w:left w:val="nil"/>
              <w:bottom w:val="nil"/>
              <w:right w:val="single" w:sz="4" w:space="0" w:color="auto"/>
            </w:tcBorders>
            <w:shd w:val="clear" w:color="auto" w:fill="auto"/>
            <w:noWrap/>
            <w:vAlign w:val="bottom"/>
            <w:hideMark/>
          </w:tcPr>
          <w:p w14:paraId="69EB17A3"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0.133</w:t>
            </w:r>
          </w:p>
        </w:tc>
      </w:tr>
      <w:tr w:rsidR="00ED02A4" w:rsidRPr="007256AA" w14:paraId="456D1F8B"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63FB7603"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FEDFUNDS</w:t>
            </w:r>
          </w:p>
        </w:tc>
        <w:tc>
          <w:tcPr>
            <w:tcW w:w="963" w:type="dxa"/>
            <w:tcBorders>
              <w:top w:val="nil"/>
              <w:left w:val="nil"/>
              <w:bottom w:val="nil"/>
              <w:right w:val="nil"/>
            </w:tcBorders>
            <w:shd w:val="clear" w:color="auto" w:fill="auto"/>
            <w:noWrap/>
            <w:vAlign w:val="bottom"/>
            <w:hideMark/>
          </w:tcPr>
          <w:p w14:paraId="40EB4767"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3.591</w:t>
            </w:r>
          </w:p>
        </w:tc>
        <w:tc>
          <w:tcPr>
            <w:tcW w:w="963" w:type="dxa"/>
            <w:tcBorders>
              <w:top w:val="nil"/>
              <w:left w:val="nil"/>
              <w:bottom w:val="nil"/>
              <w:right w:val="nil"/>
            </w:tcBorders>
            <w:shd w:val="clear" w:color="auto" w:fill="auto"/>
            <w:noWrap/>
            <w:vAlign w:val="bottom"/>
            <w:hideMark/>
          </w:tcPr>
          <w:p w14:paraId="1D1F0CFE"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2.966</w:t>
            </w:r>
          </w:p>
        </w:tc>
        <w:tc>
          <w:tcPr>
            <w:tcW w:w="963" w:type="dxa"/>
            <w:tcBorders>
              <w:top w:val="nil"/>
              <w:left w:val="nil"/>
              <w:bottom w:val="nil"/>
              <w:right w:val="nil"/>
            </w:tcBorders>
            <w:shd w:val="clear" w:color="auto" w:fill="auto"/>
            <w:noWrap/>
            <w:vAlign w:val="bottom"/>
            <w:hideMark/>
          </w:tcPr>
          <w:p w14:paraId="4B422631"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3.270</w:t>
            </w:r>
          </w:p>
        </w:tc>
        <w:tc>
          <w:tcPr>
            <w:tcW w:w="963" w:type="dxa"/>
            <w:tcBorders>
              <w:top w:val="nil"/>
              <w:left w:val="nil"/>
              <w:bottom w:val="nil"/>
              <w:right w:val="nil"/>
            </w:tcBorders>
            <w:shd w:val="clear" w:color="auto" w:fill="auto"/>
            <w:noWrap/>
            <w:vAlign w:val="bottom"/>
            <w:hideMark/>
          </w:tcPr>
          <w:p w14:paraId="43C00F4D"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0.690</w:t>
            </w:r>
          </w:p>
        </w:tc>
        <w:tc>
          <w:tcPr>
            <w:tcW w:w="963" w:type="dxa"/>
            <w:tcBorders>
              <w:top w:val="nil"/>
              <w:left w:val="nil"/>
              <w:bottom w:val="nil"/>
              <w:right w:val="nil"/>
            </w:tcBorders>
            <w:shd w:val="clear" w:color="auto" w:fill="auto"/>
            <w:noWrap/>
            <w:vAlign w:val="bottom"/>
            <w:hideMark/>
          </w:tcPr>
          <w:p w14:paraId="3A17CD39"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2.018</w:t>
            </w:r>
          </w:p>
        </w:tc>
        <w:tc>
          <w:tcPr>
            <w:tcW w:w="963" w:type="dxa"/>
            <w:tcBorders>
              <w:top w:val="nil"/>
              <w:left w:val="nil"/>
              <w:bottom w:val="nil"/>
              <w:right w:val="nil"/>
            </w:tcBorders>
            <w:shd w:val="clear" w:color="auto" w:fill="auto"/>
            <w:noWrap/>
            <w:vAlign w:val="bottom"/>
            <w:hideMark/>
          </w:tcPr>
          <w:p w14:paraId="3E28CBCA"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0.244</w:t>
            </w:r>
          </w:p>
        </w:tc>
        <w:tc>
          <w:tcPr>
            <w:tcW w:w="961" w:type="dxa"/>
            <w:tcBorders>
              <w:top w:val="nil"/>
              <w:left w:val="nil"/>
              <w:bottom w:val="nil"/>
              <w:right w:val="nil"/>
            </w:tcBorders>
            <w:shd w:val="clear" w:color="auto" w:fill="auto"/>
            <w:noWrap/>
            <w:vAlign w:val="bottom"/>
            <w:hideMark/>
          </w:tcPr>
          <w:p w14:paraId="3E1ED42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1.030</w:t>
            </w:r>
          </w:p>
        </w:tc>
        <w:tc>
          <w:tcPr>
            <w:tcW w:w="960" w:type="dxa"/>
            <w:tcBorders>
              <w:top w:val="nil"/>
              <w:left w:val="nil"/>
              <w:bottom w:val="nil"/>
              <w:right w:val="nil"/>
            </w:tcBorders>
            <w:shd w:val="clear" w:color="auto" w:fill="auto"/>
            <w:noWrap/>
            <w:vAlign w:val="bottom"/>
            <w:hideMark/>
          </w:tcPr>
          <w:p w14:paraId="3FBED3B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2.415</w:t>
            </w:r>
          </w:p>
        </w:tc>
        <w:tc>
          <w:tcPr>
            <w:tcW w:w="967" w:type="dxa"/>
            <w:tcBorders>
              <w:top w:val="nil"/>
              <w:left w:val="nil"/>
              <w:bottom w:val="nil"/>
              <w:right w:val="single" w:sz="4" w:space="0" w:color="auto"/>
            </w:tcBorders>
            <w:shd w:val="clear" w:color="auto" w:fill="auto"/>
            <w:noWrap/>
            <w:vAlign w:val="bottom"/>
            <w:hideMark/>
          </w:tcPr>
          <w:p w14:paraId="16CCAF48"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1.296</w:t>
            </w:r>
          </w:p>
        </w:tc>
      </w:tr>
      <w:tr w:rsidR="00ED02A4" w:rsidRPr="007256AA" w14:paraId="6EA38160"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065FEECB"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29588650"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4425771D"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6C577B62"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7325555C"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0.032</w:t>
            </w:r>
          </w:p>
        </w:tc>
        <w:tc>
          <w:tcPr>
            <w:tcW w:w="963" w:type="dxa"/>
            <w:tcBorders>
              <w:top w:val="nil"/>
              <w:left w:val="nil"/>
              <w:bottom w:val="nil"/>
              <w:right w:val="nil"/>
            </w:tcBorders>
            <w:shd w:val="clear" w:color="auto" w:fill="auto"/>
            <w:noWrap/>
            <w:vAlign w:val="bottom"/>
            <w:hideMark/>
          </w:tcPr>
          <w:p w14:paraId="7A48A6E0"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5036D456"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0.725</w:t>
            </w:r>
          </w:p>
        </w:tc>
        <w:tc>
          <w:tcPr>
            <w:tcW w:w="961" w:type="dxa"/>
            <w:tcBorders>
              <w:top w:val="nil"/>
              <w:left w:val="nil"/>
              <w:bottom w:val="nil"/>
              <w:right w:val="nil"/>
            </w:tcBorders>
            <w:shd w:val="clear" w:color="auto" w:fill="auto"/>
            <w:noWrap/>
            <w:vAlign w:val="bottom"/>
            <w:hideMark/>
          </w:tcPr>
          <w:p w14:paraId="627CD5E9"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0.086</w:t>
            </w:r>
          </w:p>
        </w:tc>
        <w:tc>
          <w:tcPr>
            <w:tcW w:w="960" w:type="dxa"/>
            <w:tcBorders>
              <w:top w:val="nil"/>
              <w:left w:val="nil"/>
              <w:bottom w:val="nil"/>
              <w:right w:val="nil"/>
            </w:tcBorders>
            <w:shd w:val="clear" w:color="auto" w:fill="auto"/>
            <w:noWrap/>
            <w:vAlign w:val="bottom"/>
            <w:hideMark/>
          </w:tcPr>
          <w:p w14:paraId="6A273059"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7" w:type="dxa"/>
            <w:tcBorders>
              <w:top w:val="nil"/>
              <w:left w:val="nil"/>
              <w:bottom w:val="nil"/>
              <w:right w:val="single" w:sz="4" w:space="0" w:color="auto"/>
            </w:tcBorders>
            <w:shd w:val="clear" w:color="auto" w:fill="auto"/>
            <w:noWrap/>
            <w:vAlign w:val="bottom"/>
            <w:hideMark/>
          </w:tcPr>
          <w:p w14:paraId="7C76A4F7"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0.055</w:t>
            </w:r>
          </w:p>
        </w:tc>
      </w:tr>
      <w:tr w:rsidR="00ED02A4" w:rsidRPr="007256AA" w14:paraId="396D85DF"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11A7446D"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ERM</w:t>
            </w:r>
          </w:p>
        </w:tc>
        <w:tc>
          <w:tcPr>
            <w:tcW w:w="963" w:type="dxa"/>
            <w:tcBorders>
              <w:top w:val="nil"/>
              <w:left w:val="nil"/>
              <w:bottom w:val="nil"/>
              <w:right w:val="nil"/>
            </w:tcBorders>
            <w:shd w:val="clear" w:color="auto" w:fill="auto"/>
            <w:noWrap/>
            <w:vAlign w:val="bottom"/>
            <w:hideMark/>
          </w:tcPr>
          <w:p w14:paraId="58F8C98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-8.489</w:t>
            </w:r>
          </w:p>
        </w:tc>
        <w:tc>
          <w:tcPr>
            <w:tcW w:w="963" w:type="dxa"/>
            <w:tcBorders>
              <w:top w:val="nil"/>
              <w:left w:val="nil"/>
              <w:bottom w:val="nil"/>
              <w:right w:val="nil"/>
            </w:tcBorders>
            <w:shd w:val="clear" w:color="auto" w:fill="auto"/>
            <w:noWrap/>
            <w:vAlign w:val="bottom"/>
            <w:hideMark/>
          </w:tcPr>
          <w:p w14:paraId="5B577E1B"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-23.681</w:t>
            </w:r>
          </w:p>
        </w:tc>
        <w:tc>
          <w:tcPr>
            <w:tcW w:w="963" w:type="dxa"/>
            <w:tcBorders>
              <w:top w:val="nil"/>
              <w:left w:val="nil"/>
              <w:bottom w:val="nil"/>
              <w:right w:val="nil"/>
            </w:tcBorders>
            <w:shd w:val="clear" w:color="auto" w:fill="auto"/>
            <w:noWrap/>
            <w:vAlign w:val="bottom"/>
            <w:hideMark/>
          </w:tcPr>
          <w:p w14:paraId="468DB1A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-7.524</w:t>
            </w:r>
          </w:p>
        </w:tc>
        <w:tc>
          <w:tcPr>
            <w:tcW w:w="963" w:type="dxa"/>
            <w:tcBorders>
              <w:top w:val="nil"/>
              <w:left w:val="nil"/>
              <w:bottom w:val="nil"/>
              <w:right w:val="nil"/>
            </w:tcBorders>
            <w:shd w:val="clear" w:color="auto" w:fill="auto"/>
            <w:noWrap/>
            <w:vAlign w:val="bottom"/>
            <w:hideMark/>
          </w:tcPr>
          <w:p w14:paraId="44E4C6A1"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-15.038</w:t>
            </w:r>
          </w:p>
        </w:tc>
        <w:tc>
          <w:tcPr>
            <w:tcW w:w="963" w:type="dxa"/>
            <w:tcBorders>
              <w:top w:val="nil"/>
              <w:left w:val="nil"/>
              <w:bottom w:val="nil"/>
              <w:right w:val="nil"/>
            </w:tcBorders>
            <w:shd w:val="clear" w:color="auto" w:fill="auto"/>
            <w:noWrap/>
            <w:vAlign w:val="bottom"/>
            <w:hideMark/>
          </w:tcPr>
          <w:p w14:paraId="17A4F777"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-25.003</w:t>
            </w:r>
          </w:p>
        </w:tc>
        <w:tc>
          <w:tcPr>
            <w:tcW w:w="963" w:type="dxa"/>
            <w:tcBorders>
              <w:top w:val="nil"/>
              <w:left w:val="nil"/>
              <w:bottom w:val="nil"/>
              <w:right w:val="nil"/>
            </w:tcBorders>
            <w:shd w:val="clear" w:color="auto" w:fill="auto"/>
            <w:noWrap/>
            <w:vAlign w:val="bottom"/>
            <w:hideMark/>
          </w:tcPr>
          <w:p w14:paraId="2EB65611"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-13.248</w:t>
            </w:r>
          </w:p>
        </w:tc>
        <w:tc>
          <w:tcPr>
            <w:tcW w:w="961" w:type="dxa"/>
            <w:tcBorders>
              <w:top w:val="nil"/>
              <w:left w:val="nil"/>
              <w:bottom w:val="nil"/>
              <w:right w:val="nil"/>
            </w:tcBorders>
            <w:shd w:val="clear" w:color="auto" w:fill="auto"/>
            <w:noWrap/>
            <w:vAlign w:val="bottom"/>
            <w:hideMark/>
          </w:tcPr>
          <w:p w14:paraId="241088BE"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-20.707</w:t>
            </w:r>
          </w:p>
        </w:tc>
        <w:tc>
          <w:tcPr>
            <w:tcW w:w="960" w:type="dxa"/>
            <w:tcBorders>
              <w:top w:val="nil"/>
              <w:left w:val="nil"/>
              <w:bottom w:val="nil"/>
              <w:right w:val="nil"/>
            </w:tcBorders>
            <w:shd w:val="clear" w:color="auto" w:fill="auto"/>
            <w:noWrap/>
            <w:vAlign w:val="bottom"/>
            <w:hideMark/>
          </w:tcPr>
          <w:p w14:paraId="295AAE3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-22.897</w:t>
            </w:r>
          </w:p>
        </w:tc>
        <w:tc>
          <w:tcPr>
            <w:tcW w:w="967" w:type="dxa"/>
            <w:tcBorders>
              <w:top w:val="nil"/>
              <w:left w:val="nil"/>
              <w:bottom w:val="nil"/>
              <w:right w:val="single" w:sz="4" w:space="0" w:color="auto"/>
            </w:tcBorders>
            <w:shd w:val="clear" w:color="auto" w:fill="auto"/>
            <w:noWrap/>
            <w:vAlign w:val="bottom"/>
            <w:hideMark/>
          </w:tcPr>
          <w:p w14:paraId="16D9B7D1"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-10.310</w:t>
            </w:r>
          </w:p>
        </w:tc>
      </w:tr>
      <w:tr w:rsidR="00ED02A4" w:rsidRPr="007256AA" w14:paraId="619EE744"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39B597A6"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06879AC4"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1B49146B"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5DA0FDB9"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0.010</w:t>
            </w:r>
          </w:p>
        </w:tc>
        <w:tc>
          <w:tcPr>
            <w:tcW w:w="963" w:type="dxa"/>
            <w:tcBorders>
              <w:top w:val="nil"/>
              <w:left w:val="nil"/>
              <w:bottom w:val="nil"/>
              <w:right w:val="nil"/>
            </w:tcBorders>
            <w:shd w:val="clear" w:color="auto" w:fill="auto"/>
            <w:noWrap/>
            <w:vAlign w:val="bottom"/>
            <w:hideMark/>
          </w:tcPr>
          <w:p w14:paraId="04328C89"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22460D95"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7483CE3D"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0.001</w:t>
            </w:r>
          </w:p>
        </w:tc>
        <w:tc>
          <w:tcPr>
            <w:tcW w:w="961" w:type="dxa"/>
            <w:tcBorders>
              <w:top w:val="nil"/>
              <w:left w:val="nil"/>
              <w:bottom w:val="nil"/>
              <w:right w:val="nil"/>
            </w:tcBorders>
            <w:shd w:val="clear" w:color="auto" w:fill="auto"/>
            <w:noWrap/>
            <w:vAlign w:val="bottom"/>
            <w:hideMark/>
          </w:tcPr>
          <w:p w14:paraId="7F8BF471"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0" w:type="dxa"/>
            <w:tcBorders>
              <w:top w:val="nil"/>
              <w:left w:val="nil"/>
              <w:bottom w:val="nil"/>
              <w:right w:val="nil"/>
            </w:tcBorders>
            <w:shd w:val="clear" w:color="auto" w:fill="auto"/>
            <w:noWrap/>
            <w:vAlign w:val="bottom"/>
            <w:hideMark/>
          </w:tcPr>
          <w:p w14:paraId="372D7DAD"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7" w:type="dxa"/>
            <w:tcBorders>
              <w:top w:val="nil"/>
              <w:left w:val="nil"/>
              <w:bottom w:val="nil"/>
              <w:right w:val="single" w:sz="4" w:space="0" w:color="auto"/>
            </w:tcBorders>
            <w:shd w:val="clear" w:color="auto" w:fill="auto"/>
            <w:noWrap/>
            <w:vAlign w:val="bottom"/>
            <w:hideMark/>
          </w:tcPr>
          <w:p w14:paraId="673B1B9B"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0.005</w:t>
            </w:r>
          </w:p>
        </w:tc>
      </w:tr>
      <w:tr w:rsidR="00ED02A4" w:rsidRPr="007256AA" w14:paraId="0021524C"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281B135E"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Euro</w:t>
            </w:r>
          </w:p>
        </w:tc>
        <w:tc>
          <w:tcPr>
            <w:tcW w:w="963" w:type="dxa"/>
            <w:tcBorders>
              <w:top w:val="nil"/>
              <w:left w:val="nil"/>
              <w:bottom w:val="nil"/>
              <w:right w:val="nil"/>
            </w:tcBorders>
            <w:shd w:val="clear" w:color="auto" w:fill="auto"/>
            <w:noWrap/>
            <w:vAlign w:val="bottom"/>
            <w:hideMark/>
          </w:tcPr>
          <w:p w14:paraId="31C2B3B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-23.260</w:t>
            </w:r>
          </w:p>
        </w:tc>
        <w:tc>
          <w:tcPr>
            <w:tcW w:w="963" w:type="dxa"/>
            <w:tcBorders>
              <w:top w:val="nil"/>
              <w:left w:val="nil"/>
              <w:bottom w:val="nil"/>
              <w:right w:val="nil"/>
            </w:tcBorders>
            <w:shd w:val="clear" w:color="auto" w:fill="auto"/>
            <w:noWrap/>
            <w:vAlign w:val="bottom"/>
            <w:hideMark/>
          </w:tcPr>
          <w:p w14:paraId="1574967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-36.464</w:t>
            </w:r>
          </w:p>
        </w:tc>
        <w:tc>
          <w:tcPr>
            <w:tcW w:w="963" w:type="dxa"/>
            <w:tcBorders>
              <w:top w:val="nil"/>
              <w:left w:val="nil"/>
              <w:bottom w:val="nil"/>
              <w:right w:val="nil"/>
            </w:tcBorders>
            <w:shd w:val="clear" w:color="auto" w:fill="auto"/>
            <w:noWrap/>
            <w:vAlign w:val="bottom"/>
            <w:hideMark/>
          </w:tcPr>
          <w:p w14:paraId="34BE500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-35.013</w:t>
            </w:r>
          </w:p>
        </w:tc>
        <w:tc>
          <w:tcPr>
            <w:tcW w:w="963" w:type="dxa"/>
            <w:tcBorders>
              <w:top w:val="nil"/>
              <w:left w:val="nil"/>
              <w:bottom w:val="nil"/>
              <w:right w:val="nil"/>
            </w:tcBorders>
            <w:shd w:val="clear" w:color="auto" w:fill="auto"/>
            <w:noWrap/>
            <w:vAlign w:val="bottom"/>
            <w:hideMark/>
          </w:tcPr>
          <w:p w14:paraId="0410870B"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-7.986</w:t>
            </w:r>
          </w:p>
        </w:tc>
        <w:tc>
          <w:tcPr>
            <w:tcW w:w="963" w:type="dxa"/>
            <w:tcBorders>
              <w:top w:val="nil"/>
              <w:left w:val="nil"/>
              <w:bottom w:val="nil"/>
              <w:right w:val="nil"/>
            </w:tcBorders>
            <w:shd w:val="clear" w:color="auto" w:fill="auto"/>
            <w:noWrap/>
            <w:vAlign w:val="bottom"/>
            <w:hideMark/>
          </w:tcPr>
          <w:p w14:paraId="09195F7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-32.039</w:t>
            </w:r>
          </w:p>
        </w:tc>
        <w:tc>
          <w:tcPr>
            <w:tcW w:w="963" w:type="dxa"/>
            <w:tcBorders>
              <w:top w:val="nil"/>
              <w:left w:val="nil"/>
              <w:bottom w:val="nil"/>
              <w:right w:val="nil"/>
            </w:tcBorders>
            <w:shd w:val="clear" w:color="auto" w:fill="auto"/>
            <w:noWrap/>
            <w:vAlign w:val="bottom"/>
            <w:hideMark/>
          </w:tcPr>
          <w:p w14:paraId="2D6FB04C"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-20.216</w:t>
            </w:r>
          </w:p>
        </w:tc>
        <w:tc>
          <w:tcPr>
            <w:tcW w:w="961" w:type="dxa"/>
            <w:tcBorders>
              <w:top w:val="nil"/>
              <w:left w:val="nil"/>
              <w:bottom w:val="nil"/>
              <w:right w:val="nil"/>
            </w:tcBorders>
            <w:shd w:val="clear" w:color="auto" w:fill="auto"/>
            <w:noWrap/>
            <w:vAlign w:val="bottom"/>
            <w:hideMark/>
          </w:tcPr>
          <w:p w14:paraId="30CB0E3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-6.178</w:t>
            </w:r>
          </w:p>
        </w:tc>
        <w:tc>
          <w:tcPr>
            <w:tcW w:w="960" w:type="dxa"/>
            <w:tcBorders>
              <w:top w:val="nil"/>
              <w:left w:val="nil"/>
              <w:bottom w:val="nil"/>
              <w:right w:val="nil"/>
            </w:tcBorders>
            <w:shd w:val="clear" w:color="auto" w:fill="auto"/>
            <w:noWrap/>
            <w:vAlign w:val="bottom"/>
            <w:hideMark/>
          </w:tcPr>
          <w:p w14:paraId="78ECBC60"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-29.383</w:t>
            </w:r>
          </w:p>
        </w:tc>
        <w:tc>
          <w:tcPr>
            <w:tcW w:w="967" w:type="dxa"/>
            <w:tcBorders>
              <w:top w:val="nil"/>
              <w:left w:val="nil"/>
              <w:bottom w:val="nil"/>
              <w:right w:val="single" w:sz="4" w:space="0" w:color="auto"/>
            </w:tcBorders>
            <w:shd w:val="clear" w:color="auto" w:fill="auto"/>
            <w:noWrap/>
            <w:vAlign w:val="bottom"/>
            <w:hideMark/>
          </w:tcPr>
          <w:p w14:paraId="2D03A6C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-22.356</w:t>
            </w:r>
          </w:p>
        </w:tc>
      </w:tr>
      <w:tr w:rsidR="00ED02A4" w:rsidRPr="007256AA" w14:paraId="09FE2775"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195EDDB7"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676C807C"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4889F66F"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6FBFE720"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3012988F"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0.003</w:t>
            </w:r>
          </w:p>
        </w:tc>
        <w:tc>
          <w:tcPr>
            <w:tcW w:w="963" w:type="dxa"/>
            <w:tcBorders>
              <w:top w:val="nil"/>
              <w:left w:val="nil"/>
              <w:bottom w:val="nil"/>
              <w:right w:val="nil"/>
            </w:tcBorders>
            <w:shd w:val="clear" w:color="auto" w:fill="auto"/>
            <w:noWrap/>
            <w:vAlign w:val="bottom"/>
            <w:hideMark/>
          </w:tcPr>
          <w:p w14:paraId="54736902"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6A90615E"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1" w:type="dxa"/>
            <w:tcBorders>
              <w:top w:val="nil"/>
              <w:left w:val="nil"/>
              <w:bottom w:val="nil"/>
              <w:right w:val="nil"/>
            </w:tcBorders>
            <w:shd w:val="clear" w:color="auto" w:fill="auto"/>
            <w:noWrap/>
            <w:vAlign w:val="bottom"/>
            <w:hideMark/>
          </w:tcPr>
          <w:p w14:paraId="3FF445B7"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0.261</w:t>
            </w:r>
          </w:p>
        </w:tc>
        <w:tc>
          <w:tcPr>
            <w:tcW w:w="960" w:type="dxa"/>
            <w:tcBorders>
              <w:top w:val="nil"/>
              <w:left w:val="nil"/>
              <w:bottom w:val="nil"/>
              <w:right w:val="nil"/>
            </w:tcBorders>
            <w:shd w:val="clear" w:color="auto" w:fill="auto"/>
            <w:noWrap/>
            <w:vAlign w:val="bottom"/>
            <w:hideMark/>
          </w:tcPr>
          <w:p w14:paraId="19234CE8"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7" w:type="dxa"/>
            <w:tcBorders>
              <w:top w:val="nil"/>
              <w:left w:val="nil"/>
              <w:bottom w:val="nil"/>
              <w:right w:val="single" w:sz="4" w:space="0" w:color="auto"/>
            </w:tcBorders>
            <w:shd w:val="clear" w:color="auto" w:fill="auto"/>
            <w:noWrap/>
            <w:vAlign w:val="bottom"/>
            <w:hideMark/>
          </w:tcPr>
          <w:p w14:paraId="7A4A286F"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r>
      <w:tr w:rsidR="00ED02A4" w:rsidRPr="007256AA" w14:paraId="681847DB"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763C7404"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ECONOMIC</w:t>
            </w:r>
          </w:p>
        </w:tc>
        <w:tc>
          <w:tcPr>
            <w:tcW w:w="963" w:type="dxa"/>
            <w:tcBorders>
              <w:top w:val="nil"/>
              <w:left w:val="nil"/>
              <w:bottom w:val="nil"/>
              <w:right w:val="nil"/>
            </w:tcBorders>
            <w:shd w:val="clear" w:color="auto" w:fill="auto"/>
            <w:noWrap/>
            <w:vAlign w:val="bottom"/>
            <w:hideMark/>
          </w:tcPr>
          <w:p w14:paraId="083BA65B"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-1.786</w:t>
            </w:r>
          </w:p>
        </w:tc>
        <w:tc>
          <w:tcPr>
            <w:tcW w:w="963" w:type="dxa"/>
            <w:tcBorders>
              <w:top w:val="nil"/>
              <w:left w:val="nil"/>
              <w:bottom w:val="nil"/>
              <w:right w:val="nil"/>
            </w:tcBorders>
            <w:shd w:val="clear" w:color="auto" w:fill="auto"/>
            <w:noWrap/>
            <w:vAlign w:val="bottom"/>
            <w:hideMark/>
          </w:tcPr>
          <w:p w14:paraId="7369AFEC"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-0.748</w:t>
            </w:r>
          </w:p>
        </w:tc>
        <w:tc>
          <w:tcPr>
            <w:tcW w:w="963" w:type="dxa"/>
            <w:tcBorders>
              <w:top w:val="nil"/>
              <w:left w:val="nil"/>
              <w:bottom w:val="nil"/>
              <w:right w:val="nil"/>
            </w:tcBorders>
            <w:shd w:val="clear" w:color="auto" w:fill="auto"/>
            <w:noWrap/>
            <w:vAlign w:val="bottom"/>
            <w:hideMark/>
          </w:tcPr>
          <w:p w14:paraId="388ED9C9"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-1.118</w:t>
            </w:r>
          </w:p>
        </w:tc>
        <w:tc>
          <w:tcPr>
            <w:tcW w:w="963" w:type="dxa"/>
            <w:tcBorders>
              <w:top w:val="nil"/>
              <w:left w:val="nil"/>
              <w:bottom w:val="nil"/>
              <w:right w:val="nil"/>
            </w:tcBorders>
            <w:shd w:val="clear" w:color="auto" w:fill="auto"/>
            <w:noWrap/>
            <w:vAlign w:val="bottom"/>
            <w:hideMark/>
          </w:tcPr>
          <w:p w14:paraId="5B45C0D2"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-0.418</w:t>
            </w:r>
          </w:p>
        </w:tc>
        <w:tc>
          <w:tcPr>
            <w:tcW w:w="963" w:type="dxa"/>
            <w:tcBorders>
              <w:top w:val="nil"/>
              <w:left w:val="nil"/>
              <w:bottom w:val="nil"/>
              <w:right w:val="nil"/>
            </w:tcBorders>
            <w:shd w:val="clear" w:color="auto" w:fill="auto"/>
            <w:noWrap/>
            <w:vAlign w:val="bottom"/>
            <w:hideMark/>
          </w:tcPr>
          <w:p w14:paraId="1E031919"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-0.277</w:t>
            </w:r>
          </w:p>
        </w:tc>
        <w:tc>
          <w:tcPr>
            <w:tcW w:w="963" w:type="dxa"/>
            <w:tcBorders>
              <w:top w:val="nil"/>
              <w:left w:val="nil"/>
              <w:bottom w:val="nil"/>
              <w:right w:val="nil"/>
            </w:tcBorders>
            <w:shd w:val="clear" w:color="auto" w:fill="auto"/>
            <w:noWrap/>
            <w:vAlign w:val="bottom"/>
            <w:hideMark/>
          </w:tcPr>
          <w:p w14:paraId="77E6A1A1"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0.606</w:t>
            </w:r>
          </w:p>
        </w:tc>
        <w:tc>
          <w:tcPr>
            <w:tcW w:w="961" w:type="dxa"/>
            <w:tcBorders>
              <w:top w:val="nil"/>
              <w:left w:val="nil"/>
              <w:bottom w:val="nil"/>
              <w:right w:val="nil"/>
            </w:tcBorders>
            <w:shd w:val="clear" w:color="auto" w:fill="auto"/>
            <w:noWrap/>
            <w:vAlign w:val="bottom"/>
            <w:hideMark/>
          </w:tcPr>
          <w:p w14:paraId="65D39D9D"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-0.420</w:t>
            </w:r>
          </w:p>
        </w:tc>
        <w:tc>
          <w:tcPr>
            <w:tcW w:w="960" w:type="dxa"/>
            <w:tcBorders>
              <w:top w:val="nil"/>
              <w:left w:val="nil"/>
              <w:bottom w:val="nil"/>
              <w:right w:val="nil"/>
            </w:tcBorders>
            <w:shd w:val="clear" w:color="auto" w:fill="auto"/>
            <w:noWrap/>
            <w:vAlign w:val="bottom"/>
            <w:hideMark/>
          </w:tcPr>
          <w:p w14:paraId="0252811B"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-0.326</w:t>
            </w:r>
          </w:p>
        </w:tc>
        <w:tc>
          <w:tcPr>
            <w:tcW w:w="967" w:type="dxa"/>
            <w:tcBorders>
              <w:top w:val="nil"/>
              <w:left w:val="nil"/>
              <w:bottom w:val="nil"/>
              <w:right w:val="single" w:sz="4" w:space="0" w:color="auto"/>
            </w:tcBorders>
            <w:shd w:val="clear" w:color="auto" w:fill="auto"/>
            <w:noWrap/>
            <w:vAlign w:val="bottom"/>
            <w:hideMark/>
          </w:tcPr>
          <w:p w14:paraId="322F9FF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0.039</w:t>
            </w:r>
          </w:p>
        </w:tc>
      </w:tr>
      <w:tr w:rsidR="00ED02A4" w:rsidRPr="007256AA" w14:paraId="284363B2"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068982D7"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646D2342"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49EE7ACF"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5CEA3D40"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0.013</w:t>
            </w:r>
          </w:p>
        </w:tc>
        <w:tc>
          <w:tcPr>
            <w:tcW w:w="963" w:type="dxa"/>
            <w:tcBorders>
              <w:top w:val="nil"/>
              <w:left w:val="nil"/>
              <w:bottom w:val="nil"/>
              <w:right w:val="nil"/>
            </w:tcBorders>
            <w:shd w:val="clear" w:color="auto" w:fill="auto"/>
            <w:noWrap/>
            <w:vAlign w:val="bottom"/>
            <w:hideMark/>
          </w:tcPr>
          <w:p w14:paraId="213CA93A"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0.008</w:t>
            </w:r>
          </w:p>
        </w:tc>
        <w:tc>
          <w:tcPr>
            <w:tcW w:w="963" w:type="dxa"/>
            <w:tcBorders>
              <w:top w:val="nil"/>
              <w:left w:val="nil"/>
              <w:bottom w:val="nil"/>
              <w:right w:val="nil"/>
            </w:tcBorders>
            <w:shd w:val="clear" w:color="auto" w:fill="auto"/>
            <w:noWrap/>
            <w:vAlign w:val="bottom"/>
            <w:hideMark/>
          </w:tcPr>
          <w:p w14:paraId="2F34DBE8"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0.225</w:t>
            </w:r>
          </w:p>
        </w:tc>
        <w:tc>
          <w:tcPr>
            <w:tcW w:w="963" w:type="dxa"/>
            <w:tcBorders>
              <w:top w:val="nil"/>
              <w:left w:val="nil"/>
              <w:bottom w:val="nil"/>
              <w:right w:val="nil"/>
            </w:tcBorders>
            <w:shd w:val="clear" w:color="auto" w:fill="auto"/>
            <w:noWrap/>
            <w:vAlign w:val="bottom"/>
            <w:hideMark/>
          </w:tcPr>
          <w:p w14:paraId="19E511D9"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0.287</w:t>
            </w:r>
          </w:p>
        </w:tc>
        <w:tc>
          <w:tcPr>
            <w:tcW w:w="961" w:type="dxa"/>
            <w:tcBorders>
              <w:top w:val="nil"/>
              <w:left w:val="nil"/>
              <w:bottom w:val="nil"/>
              <w:right w:val="nil"/>
            </w:tcBorders>
            <w:shd w:val="clear" w:color="auto" w:fill="auto"/>
            <w:noWrap/>
            <w:vAlign w:val="bottom"/>
            <w:hideMark/>
          </w:tcPr>
          <w:p w14:paraId="03EA7F03"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0.121</w:t>
            </w:r>
          </w:p>
        </w:tc>
        <w:tc>
          <w:tcPr>
            <w:tcW w:w="960" w:type="dxa"/>
            <w:tcBorders>
              <w:top w:val="nil"/>
              <w:left w:val="nil"/>
              <w:bottom w:val="nil"/>
              <w:right w:val="nil"/>
            </w:tcBorders>
            <w:shd w:val="clear" w:color="auto" w:fill="auto"/>
            <w:noWrap/>
            <w:vAlign w:val="bottom"/>
            <w:hideMark/>
          </w:tcPr>
          <w:p w14:paraId="56174D03"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0.156</w:t>
            </w:r>
          </w:p>
        </w:tc>
        <w:tc>
          <w:tcPr>
            <w:tcW w:w="967" w:type="dxa"/>
            <w:tcBorders>
              <w:top w:val="nil"/>
              <w:left w:val="nil"/>
              <w:bottom w:val="nil"/>
              <w:right w:val="single" w:sz="4" w:space="0" w:color="auto"/>
            </w:tcBorders>
            <w:shd w:val="clear" w:color="auto" w:fill="auto"/>
            <w:noWrap/>
            <w:vAlign w:val="bottom"/>
            <w:hideMark/>
          </w:tcPr>
          <w:p w14:paraId="56F24B66"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0.943</w:t>
            </w:r>
          </w:p>
        </w:tc>
      </w:tr>
      <w:tr w:rsidR="00ED02A4" w:rsidRPr="007256AA" w14:paraId="1A720838"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3C545CC3"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FINANCIAL</w:t>
            </w:r>
          </w:p>
        </w:tc>
        <w:tc>
          <w:tcPr>
            <w:tcW w:w="963" w:type="dxa"/>
            <w:tcBorders>
              <w:top w:val="nil"/>
              <w:left w:val="nil"/>
              <w:bottom w:val="nil"/>
              <w:right w:val="nil"/>
            </w:tcBorders>
            <w:shd w:val="clear" w:color="auto" w:fill="auto"/>
            <w:noWrap/>
            <w:vAlign w:val="bottom"/>
            <w:hideMark/>
          </w:tcPr>
          <w:p w14:paraId="0B77680E"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0.877</w:t>
            </w:r>
          </w:p>
        </w:tc>
        <w:tc>
          <w:tcPr>
            <w:tcW w:w="963" w:type="dxa"/>
            <w:tcBorders>
              <w:top w:val="nil"/>
              <w:left w:val="nil"/>
              <w:bottom w:val="nil"/>
              <w:right w:val="nil"/>
            </w:tcBorders>
            <w:shd w:val="clear" w:color="auto" w:fill="auto"/>
            <w:noWrap/>
            <w:vAlign w:val="bottom"/>
            <w:hideMark/>
          </w:tcPr>
          <w:p w14:paraId="7EDF91F0"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0.230</w:t>
            </w:r>
          </w:p>
        </w:tc>
        <w:tc>
          <w:tcPr>
            <w:tcW w:w="963" w:type="dxa"/>
            <w:tcBorders>
              <w:top w:val="nil"/>
              <w:left w:val="nil"/>
              <w:bottom w:val="nil"/>
              <w:right w:val="nil"/>
            </w:tcBorders>
            <w:shd w:val="clear" w:color="auto" w:fill="auto"/>
            <w:noWrap/>
            <w:vAlign w:val="bottom"/>
            <w:hideMark/>
          </w:tcPr>
          <w:p w14:paraId="61EE8E82"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-1.961</w:t>
            </w:r>
          </w:p>
        </w:tc>
        <w:tc>
          <w:tcPr>
            <w:tcW w:w="963" w:type="dxa"/>
            <w:tcBorders>
              <w:top w:val="nil"/>
              <w:left w:val="nil"/>
              <w:bottom w:val="nil"/>
              <w:right w:val="nil"/>
            </w:tcBorders>
            <w:shd w:val="clear" w:color="auto" w:fill="auto"/>
            <w:noWrap/>
            <w:vAlign w:val="bottom"/>
            <w:hideMark/>
          </w:tcPr>
          <w:p w14:paraId="17DE07D7"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0.122</w:t>
            </w:r>
          </w:p>
        </w:tc>
        <w:tc>
          <w:tcPr>
            <w:tcW w:w="963" w:type="dxa"/>
            <w:tcBorders>
              <w:top w:val="nil"/>
              <w:left w:val="nil"/>
              <w:bottom w:val="nil"/>
              <w:right w:val="nil"/>
            </w:tcBorders>
            <w:shd w:val="clear" w:color="auto" w:fill="auto"/>
            <w:noWrap/>
            <w:vAlign w:val="bottom"/>
            <w:hideMark/>
          </w:tcPr>
          <w:p w14:paraId="3BDF8B30"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0.135</w:t>
            </w:r>
          </w:p>
        </w:tc>
        <w:tc>
          <w:tcPr>
            <w:tcW w:w="963" w:type="dxa"/>
            <w:tcBorders>
              <w:top w:val="nil"/>
              <w:left w:val="nil"/>
              <w:bottom w:val="nil"/>
              <w:right w:val="nil"/>
            </w:tcBorders>
            <w:shd w:val="clear" w:color="auto" w:fill="auto"/>
            <w:noWrap/>
            <w:vAlign w:val="bottom"/>
            <w:hideMark/>
          </w:tcPr>
          <w:p w14:paraId="09EB803D"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-2.098</w:t>
            </w:r>
          </w:p>
        </w:tc>
        <w:tc>
          <w:tcPr>
            <w:tcW w:w="961" w:type="dxa"/>
            <w:tcBorders>
              <w:top w:val="nil"/>
              <w:left w:val="nil"/>
              <w:bottom w:val="nil"/>
              <w:right w:val="nil"/>
            </w:tcBorders>
            <w:shd w:val="clear" w:color="auto" w:fill="auto"/>
            <w:noWrap/>
            <w:vAlign w:val="bottom"/>
            <w:hideMark/>
          </w:tcPr>
          <w:p w14:paraId="2AA368CC"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0.219</w:t>
            </w:r>
          </w:p>
        </w:tc>
        <w:tc>
          <w:tcPr>
            <w:tcW w:w="960" w:type="dxa"/>
            <w:tcBorders>
              <w:top w:val="nil"/>
              <w:left w:val="nil"/>
              <w:bottom w:val="nil"/>
              <w:right w:val="nil"/>
            </w:tcBorders>
            <w:shd w:val="clear" w:color="auto" w:fill="auto"/>
            <w:noWrap/>
            <w:vAlign w:val="bottom"/>
            <w:hideMark/>
          </w:tcPr>
          <w:p w14:paraId="59F81C4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-0.060</w:t>
            </w:r>
          </w:p>
        </w:tc>
        <w:tc>
          <w:tcPr>
            <w:tcW w:w="967" w:type="dxa"/>
            <w:tcBorders>
              <w:top w:val="nil"/>
              <w:left w:val="nil"/>
              <w:bottom w:val="nil"/>
              <w:right w:val="single" w:sz="4" w:space="0" w:color="auto"/>
            </w:tcBorders>
            <w:shd w:val="clear" w:color="auto" w:fill="auto"/>
            <w:noWrap/>
            <w:vAlign w:val="bottom"/>
            <w:hideMark/>
          </w:tcPr>
          <w:p w14:paraId="1E616BD2"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-1.890</w:t>
            </w:r>
          </w:p>
        </w:tc>
      </w:tr>
      <w:tr w:rsidR="00ED02A4" w:rsidRPr="007256AA" w14:paraId="00D6B02F"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23B21746"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0233A47C"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0.001</w:t>
            </w:r>
          </w:p>
        </w:tc>
        <w:tc>
          <w:tcPr>
            <w:tcW w:w="963" w:type="dxa"/>
            <w:tcBorders>
              <w:top w:val="nil"/>
              <w:left w:val="nil"/>
              <w:bottom w:val="nil"/>
              <w:right w:val="nil"/>
            </w:tcBorders>
            <w:shd w:val="clear" w:color="auto" w:fill="auto"/>
            <w:noWrap/>
            <w:vAlign w:val="bottom"/>
            <w:hideMark/>
          </w:tcPr>
          <w:p w14:paraId="1239EA8A"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0.461</w:t>
            </w:r>
          </w:p>
        </w:tc>
        <w:tc>
          <w:tcPr>
            <w:tcW w:w="963" w:type="dxa"/>
            <w:tcBorders>
              <w:top w:val="nil"/>
              <w:left w:val="nil"/>
              <w:bottom w:val="nil"/>
              <w:right w:val="nil"/>
            </w:tcBorders>
            <w:shd w:val="clear" w:color="auto" w:fill="auto"/>
            <w:noWrap/>
            <w:vAlign w:val="bottom"/>
            <w:hideMark/>
          </w:tcPr>
          <w:p w14:paraId="52E75A2B"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0.003</w:t>
            </w:r>
          </w:p>
        </w:tc>
        <w:tc>
          <w:tcPr>
            <w:tcW w:w="963" w:type="dxa"/>
            <w:tcBorders>
              <w:top w:val="nil"/>
              <w:left w:val="nil"/>
              <w:bottom w:val="nil"/>
              <w:right w:val="nil"/>
            </w:tcBorders>
            <w:shd w:val="clear" w:color="auto" w:fill="auto"/>
            <w:noWrap/>
            <w:vAlign w:val="bottom"/>
            <w:hideMark/>
          </w:tcPr>
          <w:p w14:paraId="107B10A5"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0.567</w:t>
            </w:r>
          </w:p>
        </w:tc>
        <w:tc>
          <w:tcPr>
            <w:tcW w:w="963" w:type="dxa"/>
            <w:tcBorders>
              <w:top w:val="nil"/>
              <w:left w:val="nil"/>
              <w:bottom w:val="nil"/>
              <w:right w:val="nil"/>
            </w:tcBorders>
            <w:shd w:val="clear" w:color="auto" w:fill="auto"/>
            <w:noWrap/>
            <w:vAlign w:val="bottom"/>
            <w:hideMark/>
          </w:tcPr>
          <w:p w14:paraId="5C3A486E"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0.676</w:t>
            </w:r>
          </w:p>
        </w:tc>
        <w:tc>
          <w:tcPr>
            <w:tcW w:w="963" w:type="dxa"/>
            <w:tcBorders>
              <w:top w:val="nil"/>
              <w:left w:val="nil"/>
              <w:bottom w:val="nil"/>
              <w:right w:val="nil"/>
            </w:tcBorders>
            <w:shd w:val="clear" w:color="auto" w:fill="auto"/>
            <w:noWrap/>
            <w:vAlign w:val="bottom"/>
            <w:hideMark/>
          </w:tcPr>
          <w:p w14:paraId="42F99088"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0.001</w:t>
            </w:r>
          </w:p>
        </w:tc>
        <w:tc>
          <w:tcPr>
            <w:tcW w:w="961" w:type="dxa"/>
            <w:tcBorders>
              <w:top w:val="nil"/>
              <w:left w:val="nil"/>
              <w:bottom w:val="nil"/>
              <w:right w:val="nil"/>
            </w:tcBorders>
            <w:shd w:val="clear" w:color="auto" w:fill="auto"/>
            <w:noWrap/>
            <w:vAlign w:val="bottom"/>
            <w:hideMark/>
          </w:tcPr>
          <w:p w14:paraId="7B2A92CF"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0.491</w:t>
            </w:r>
          </w:p>
        </w:tc>
        <w:tc>
          <w:tcPr>
            <w:tcW w:w="960" w:type="dxa"/>
            <w:tcBorders>
              <w:top w:val="nil"/>
              <w:left w:val="nil"/>
              <w:bottom w:val="nil"/>
              <w:right w:val="nil"/>
            </w:tcBorders>
            <w:shd w:val="clear" w:color="auto" w:fill="auto"/>
            <w:noWrap/>
            <w:vAlign w:val="bottom"/>
            <w:hideMark/>
          </w:tcPr>
          <w:p w14:paraId="2B4F1480"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0.886</w:t>
            </w:r>
          </w:p>
        </w:tc>
        <w:tc>
          <w:tcPr>
            <w:tcW w:w="967" w:type="dxa"/>
            <w:tcBorders>
              <w:top w:val="nil"/>
              <w:left w:val="nil"/>
              <w:bottom w:val="nil"/>
              <w:right w:val="single" w:sz="4" w:space="0" w:color="auto"/>
            </w:tcBorders>
            <w:shd w:val="clear" w:color="auto" w:fill="auto"/>
            <w:noWrap/>
            <w:vAlign w:val="bottom"/>
            <w:hideMark/>
          </w:tcPr>
          <w:p w14:paraId="13D22B60"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0.010</w:t>
            </w:r>
          </w:p>
        </w:tc>
      </w:tr>
      <w:tr w:rsidR="00ED02A4" w:rsidRPr="007256AA" w14:paraId="0D4AAD6E"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4731B84A"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POLITICAL</w:t>
            </w:r>
          </w:p>
        </w:tc>
        <w:tc>
          <w:tcPr>
            <w:tcW w:w="963" w:type="dxa"/>
            <w:tcBorders>
              <w:top w:val="nil"/>
              <w:left w:val="nil"/>
              <w:bottom w:val="nil"/>
              <w:right w:val="nil"/>
            </w:tcBorders>
            <w:shd w:val="clear" w:color="auto" w:fill="auto"/>
            <w:noWrap/>
            <w:vAlign w:val="bottom"/>
            <w:hideMark/>
          </w:tcPr>
          <w:p w14:paraId="5977D81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-0.278</w:t>
            </w:r>
          </w:p>
        </w:tc>
        <w:tc>
          <w:tcPr>
            <w:tcW w:w="963" w:type="dxa"/>
            <w:tcBorders>
              <w:top w:val="nil"/>
              <w:left w:val="nil"/>
              <w:bottom w:val="nil"/>
              <w:right w:val="nil"/>
            </w:tcBorders>
            <w:shd w:val="clear" w:color="auto" w:fill="auto"/>
            <w:noWrap/>
            <w:vAlign w:val="bottom"/>
            <w:hideMark/>
          </w:tcPr>
          <w:p w14:paraId="65A983D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-0.299</w:t>
            </w:r>
          </w:p>
        </w:tc>
        <w:tc>
          <w:tcPr>
            <w:tcW w:w="963" w:type="dxa"/>
            <w:tcBorders>
              <w:top w:val="nil"/>
              <w:left w:val="nil"/>
              <w:bottom w:val="nil"/>
              <w:right w:val="nil"/>
            </w:tcBorders>
            <w:shd w:val="clear" w:color="auto" w:fill="auto"/>
            <w:noWrap/>
            <w:vAlign w:val="bottom"/>
            <w:hideMark/>
          </w:tcPr>
          <w:p w14:paraId="333352EE"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0.193</w:t>
            </w:r>
          </w:p>
        </w:tc>
        <w:tc>
          <w:tcPr>
            <w:tcW w:w="963" w:type="dxa"/>
            <w:tcBorders>
              <w:top w:val="nil"/>
              <w:left w:val="nil"/>
              <w:bottom w:val="nil"/>
              <w:right w:val="nil"/>
            </w:tcBorders>
            <w:shd w:val="clear" w:color="auto" w:fill="auto"/>
            <w:noWrap/>
            <w:vAlign w:val="bottom"/>
            <w:hideMark/>
          </w:tcPr>
          <w:p w14:paraId="5301320D"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-0.462</w:t>
            </w:r>
          </w:p>
        </w:tc>
        <w:tc>
          <w:tcPr>
            <w:tcW w:w="963" w:type="dxa"/>
            <w:tcBorders>
              <w:top w:val="nil"/>
              <w:left w:val="nil"/>
              <w:bottom w:val="nil"/>
              <w:right w:val="nil"/>
            </w:tcBorders>
            <w:shd w:val="clear" w:color="auto" w:fill="auto"/>
            <w:noWrap/>
            <w:vAlign w:val="bottom"/>
            <w:hideMark/>
          </w:tcPr>
          <w:p w14:paraId="6FEA0266"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-0.394</w:t>
            </w:r>
          </w:p>
        </w:tc>
        <w:tc>
          <w:tcPr>
            <w:tcW w:w="963" w:type="dxa"/>
            <w:tcBorders>
              <w:top w:val="nil"/>
              <w:left w:val="nil"/>
              <w:bottom w:val="nil"/>
              <w:right w:val="nil"/>
            </w:tcBorders>
            <w:shd w:val="clear" w:color="auto" w:fill="auto"/>
            <w:noWrap/>
            <w:vAlign w:val="bottom"/>
            <w:hideMark/>
          </w:tcPr>
          <w:p w14:paraId="7F6AEF8C"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-0.202</w:t>
            </w:r>
          </w:p>
        </w:tc>
        <w:tc>
          <w:tcPr>
            <w:tcW w:w="961" w:type="dxa"/>
            <w:tcBorders>
              <w:top w:val="nil"/>
              <w:left w:val="nil"/>
              <w:bottom w:val="nil"/>
              <w:right w:val="nil"/>
            </w:tcBorders>
            <w:shd w:val="clear" w:color="auto" w:fill="auto"/>
            <w:noWrap/>
            <w:vAlign w:val="bottom"/>
            <w:hideMark/>
          </w:tcPr>
          <w:p w14:paraId="4474CEA9"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-0.695</w:t>
            </w:r>
          </w:p>
        </w:tc>
        <w:tc>
          <w:tcPr>
            <w:tcW w:w="960" w:type="dxa"/>
            <w:tcBorders>
              <w:top w:val="nil"/>
              <w:left w:val="nil"/>
              <w:bottom w:val="nil"/>
              <w:right w:val="nil"/>
            </w:tcBorders>
            <w:shd w:val="clear" w:color="auto" w:fill="auto"/>
            <w:noWrap/>
            <w:vAlign w:val="bottom"/>
            <w:hideMark/>
          </w:tcPr>
          <w:p w14:paraId="50290C86"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-0.518</w:t>
            </w:r>
          </w:p>
        </w:tc>
        <w:tc>
          <w:tcPr>
            <w:tcW w:w="967" w:type="dxa"/>
            <w:tcBorders>
              <w:top w:val="nil"/>
              <w:left w:val="nil"/>
              <w:bottom w:val="nil"/>
              <w:right w:val="single" w:sz="4" w:space="0" w:color="auto"/>
            </w:tcBorders>
            <w:shd w:val="clear" w:color="auto" w:fill="auto"/>
            <w:noWrap/>
            <w:vAlign w:val="bottom"/>
            <w:hideMark/>
          </w:tcPr>
          <w:p w14:paraId="51D2566E"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-0.305</w:t>
            </w:r>
          </w:p>
        </w:tc>
      </w:tr>
      <w:tr w:rsidR="00ED02A4" w:rsidRPr="007256AA" w14:paraId="3BD1033F"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04EC04EB"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6D85686F"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0.139</w:t>
            </w:r>
          </w:p>
        </w:tc>
        <w:tc>
          <w:tcPr>
            <w:tcW w:w="963" w:type="dxa"/>
            <w:tcBorders>
              <w:top w:val="nil"/>
              <w:left w:val="nil"/>
              <w:bottom w:val="nil"/>
              <w:right w:val="nil"/>
            </w:tcBorders>
            <w:shd w:val="clear" w:color="auto" w:fill="auto"/>
            <w:noWrap/>
            <w:vAlign w:val="bottom"/>
            <w:hideMark/>
          </w:tcPr>
          <w:p w14:paraId="32046BF4"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0.150</w:t>
            </w:r>
          </w:p>
        </w:tc>
        <w:tc>
          <w:tcPr>
            <w:tcW w:w="963" w:type="dxa"/>
            <w:tcBorders>
              <w:top w:val="nil"/>
              <w:left w:val="nil"/>
              <w:bottom w:val="nil"/>
              <w:right w:val="nil"/>
            </w:tcBorders>
            <w:shd w:val="clear" w:color="auto" w:fill="auto"/>
            <w:noWrap/>
            <w:vAlign w:val="bottom"/>
            <w:hideMark/>
          </w:tcPr>
          <w:p w14:paraId="6EAE2C41"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0.677</w:t>
            </w:r>
          </w:p>
        </w:tc>
        <w:tc>
          <w:tcPr>
            <w:tcW w:w="963" w:type="dxa"/>
            <w:tcBorders>
              <w:top w:val="nil"/>
              <w:left w:val="nil"/>
              <w:bottom w:val="nil"/>
              <w:right w:val="nil"/>
            </w:tcBorders>
            <w:shd w:val="clear" w:color="auto" w:fill="auto"/>
            <w:noWrap/>
            <w:vAlign w:val="bottom"/>
            <w:hideMark/>
          </w:tcPr>
          <w:p w14:paraId="2AE4B7CB"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0.002</w:t>
            </w:r>
          </w:p>
        </w:tc>
        <w:tc>
          <w:tcPr>
            <w:tcW w:w="963" w:type="dxa"/>
            <w:tcBorders>
              <w:top w:val="nil"/>
              <w:left w:val="nil"/>
              <w:bottom w:val="nil"/>
              <w:right w:val="nil"/>
            </w:tcBorders>
            <w:shd w:val="clear" w:color="auto" w:fill="auto"/>
            <w:noWrap/>
            <w:vAlign w:val="bottom"/>
            <w:hideMark/>
          </w:tcPr>
          <w:p w14:paraId="236BBC17"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0.076</w:t>
            </w:r>
          </w:p>
        </w:tc>
        <w:tc>
          <w:tcPr>
            <w:tcW w:w="963" w:type="dxa"/>
            <w:tcBorders>
              <w:top w:val="nil"/>
              <w:left w:val="nil"/>
              <w:bottom w:val="nil"/>
              <w:right w:val="nil"/>
            </w:tcBorders>
            <w:shd w:val="clear" w:color="auto" w:fill="auto"/>
            <w:noWrap/>
            <w:vAlign w:val="bottom"/>
            <w:hideMark/>
          </w:tcPr>
          <w:p w14:paraId="771B93EC"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0.568</w:t>
            </w:r>
          </w:p>
        </w:tc>
        <w:tc>
          <w:tcPr>
            <w:tcW w:w="961" w:type="dxa"/>
            <w:tcBorders>
              <w:top w:val="nil"/>
              <w:left w:val="nil"/>
              <w:bottom w:val="nil"/>
              <w:right w:val="nil"/>
            </w:tcBorders>
            <w:shd w:val="clear" w:color="auto" w:fill="auto"/>
            <w:noWrap/>
            <w:vAlign w:val="bottom"/>
            <w:hideMark/>
          </w:tcPr>
          <w:p w14:paraId="7806AF34"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0.027</w:t>
            </w:r>
          </w:p>
        </w:tc>
        <w:tc>
          <w:tcPr>
            <w:tcW w:w="960" w:type="dxa"/>
            <w:tcBorders>
              <w:top w:val="nil"/>
              <w:left w:val="nil"/>
              <w:bottom w:val="nil"/>
              <w:right w:val="nil"/>
            </w:tcBorders>
            <w:shd w:val="clear" w:color="auto" w:fill="auto"/>
            <w:noWrap/>
            <w:vAlign w:val="bottom"/>
            <w:hideMark/>
          </w:tcPr>
          <w:p w14:paraId="337C6271"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0.092</w:t>
            </w:r>
          </w:p>
        </w:tc>
        <w:tc>
          <w:tcPr>
            <w:tcW w:w="967" w:type="dxa"/>
            <w:tcBorders>
              <w:top w:val="nil"/>
              <w:left w:val="nil"/>
              <w:bottom w:val="nil"/>
              <w:right w:val="single" w:sz="4" w:space="0" w:color="auto"/>
            </w:tcBorders>
            <w:shd w:val="clear" w:color="auto" w:fill="auto"/>
            <w:noWrap/>
            <w:vAlign w:val="bottom"/>
            <w:hideMark/>
          </w:tcPr>
          <w:p w14:paraId="45D948F7"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0.428</w:t>
            </w:r>
          </w:p>
        </w:tc>
      </w:tr>
      <w:tr w:rsidR="00ED02A4" w:rsidRPr="007256AA" w14:paraId="2CD71887"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5C7667B8"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LIQUIDITY</w:t>
            </w:r>
          </w:p>
        </w:tc>
        <w:tc>
          <w:tcPr>
            <w:tcW w:w="963" w:type="dxa"/>
            <w:tcBorders>
              <w:top w:val="nil"/>
              <w:left w:val="nil"/>
              <w:bottom w:val="nil"/>
              <w:right w:val="nil"/>
            </w:tcBorders>
            <w:shd w:val="clear" w:color="auto" w:fill="auto"/>
            <w:noWrap/>
            <w:vAlign w:val="bottom"/>
            <w:hideMark/>
          </w:tcPr>
          <w:p w14:paraId="4575E3E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18.508</w:t>
            </w:r>
          </w:p>
        </w:tc>
        <w:tc>
          <w:tcPr>
            <w:tcW w:w="963" w:type="dxa"/>
            <w:tcBorders>
              <w:top w:val="nil"/>
              <w:left w:val="nil"/>
              <w:bottom w:val="nil"/>
              <w:right w:val="nil"/>
            </w:tcBorders>
            <w:shd w:val="clear" w:color="auto" w:fill="auto"/>
            <w:noWrap/>
            <w:vAlign w:val="bottom"/>
            <w:hideMark/>
          </w:tcPr>
          <w:p w14:paraId="56B4B12A"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7.971</w:t>
            </w:r>
          </w:p>
        </w:tc>
        <w:tc>
          <w:tcPr>
            <w:tcW w:w="963" w:type="dxa"/>
            <w:tcBorders>
              <w:top w:val="nil"/>
              <w:left w:val="nil"/>
              <w:bottom w:val="nil"/>
              <w:right w:val="nil"/>
            </w:tcBorders>
            <w:shd w:val="clear" w:color="auto" w:fill="auto"/>
            <w:noWrap/>
            <w:vAlign w:val="bottom"/>
            <w:hideMark/>
          </w:tcPr>
          <w:p w14:paraId="6CFD847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3.230</w:t>
            </w:r>
          </w:p>
        </w:tc>
        <w:tc>
          <w:tcPr>
            <w:tcW w:w="963" w:type="dxa"/>
            <w:tcBorders>
              <w:top w:val="nil"/>
              <w:left w:val="nil"/>
              <w:bottom w:val="nil"/>
              <w:right w:val="nil"/>
            </w:tcBorders>
            <w:shd w:val="clear" w:color="auto" w:fill="auto"/>
            <w:noWrap/>
            <w:vAlign w:val="bottom"/>
            <w:hideMark/>
          </w:tcPr>
          <w:p w14:paraId="54CF3B11"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19.481</w:t>
            </w:r>
          </w:p>
        </w:tc>
        <w:tc>
          <w:tcPr>
            <w:tcW w:w="963" w:type="dxa"/>
            <w:tcBorders>
              <w:top w:val="nil"/>
              <w:left w:val="nil"/>
              <w:bottom w:val="nil"/>
              <w:right w:val="nil"/>
            </w:tcBorders>
            <w:shd w:val="clear" w:color="auto" w:fill="auto"/>
            <w:noWrap/>
            <w:vAlign w:val="bottom"/>
            <w:hideMark/>
          </w:tcPr>
          <w:p w14:paraId="2D19EECB"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2.106</w:t>
            </w:r>
          </w:p>
        </w:tc>
        <w:tc>
          <w:tcPr>
            <w:tcW w:w="963" w:type="dxa"/>
            <w:tcBorders>
              <w:top w:val="nil"/>
              <w:left w:val="nil"/>
              <w:bottom w:val="nil"/>
              <w:right w:val="nil"/>
            </w:tcBorders>
            <w:shd w:val="clear" w:color="auto" w:fill="auto"/>
            <w:noWrap/>
            <w:vAlign w:val="bottom"/>
            <w:hideMark/>
          </w:tcPr>
          <w:p w14:paraId="56EA9FA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3.065</w:t>
            </w:r>
          </w:p>
        </w:tc>
        <w:tc>
          <w:tcPr>
            <w:tcW w:w="961" w:type="dxa"/>
            <w:tcBorders>
              <w:top w:val="nil"/>
              <w:left w:val="nil"/>
              <w:bottom w:val="nil"/>
              <w:right w:val="nil"/>
            </w:tcBorders>
            <w:shd w:val="clear" w:color="auto" w:fill="auto"/>
            <w:noWrap/>
            <w:vAlign w:val="bottom"/>
            <w:hideMark/>
          </w:tcPr>
          <w:p w14:paraId="01FB0B68"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27.902</w:t>
            </w:r>
          </w:p>
        </w:tc>
        <w:tc>
          <w:tcPr>
            <w:tcW w:w="960" w:type="dxa"/>
            <w:tcBorders>
              <w:top w:val="nil"/>
              <w:left w:val="nil"/>
              <w:bottom w:val="nil"/>
              <w:right w:val="nil"/>
            </w:tcBorders>
            <w:shd w:val="clear" w:color="auto" w:fill="auto"/>
            <w:noWrap/>
            <w:vAlign w:val="bottom"/>
            <w:hideMark/>
          </w:tcPr>
          <w:p w14:paraId="16F14A6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-0.828</w:t>
            </w:r>
          </w:p>
        </w:tc>
        <w:tc>
          <w:tcPr>
            <w:tcW w:w="967" w:type="dxa"/>
            <w:tcBorders>
              <w:top w:val="nil"/>
              <w:left w:val="nil"/>
              <w:bottom w:val="nil"/>
              <w:right w:val="single" w:sz="4" w:space="0" w:color="auto"/>
            </w:tcBorders>
            <w:shd w:val="clear" w:color="auto" w:fill="auto"/>
            <w:noWrap/>
            <w:vAlign w:val="bottom"/>
            <w:hideMark/>
          </w:tcPr>
          <w:p w14:paraId="41C139E7"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3.880</w:t>
            </w:r>
          </w:p>
        </w:tc>
      </w:tr>
      <w:tr w:rsidR="00ED02A4" w:rsidRPr="007256AA" w14:paraId="794F4DB9"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52D4C311"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474C3CB7"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0.043</w:t>
            </w:r>
          </w:p>
        </w:tc>
        <w:tc>
          <w:tcPr>
            <w:tcW w:w="963" w:type="dxa"/>
            <w:tcBorders>
              <w:top w:val="nil"/>
              <w:left w:val="nil"/>
              <w:bottom w:val="nil"/>
              <w:right w:val="nil"/>
            </w:tcBorders>
            <w:shd w:val="clear" w:color="auto" w:fill="auto"/>
            <w:noWrap/>
            <w:vAlign w:val="bottom"/>
            <w:hideMark/>
          </w:tcPr>
          <w:p w14:paraId="52C214A4"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7A9EC173"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0.830</w:t>
            </w:r>
          </w:p>
        </w:tc>
        <w:tc>
          <w:tcPr>
            <w:tcW w:w="963" w:type="dxa"/>
            <w:tcBorders>
              <w:top w:val="nil"/>
              <w:left w:val="nil"/>
              <w:bottom w:val="nil"/>
              <w:right w:val="nil"/>
            </w:tcBorders>
            <w:shd w:val="clear" w:color="auto" w:fill="auto"/>
            <w:noWrap/>
            <w:vAlign w:val="bottom"/>
            <w:hideMark/>
          </w:tcPr>
          <w:p w14:paraId="37704BDE"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0.003</w:t>
            </w:r>
          </w:p>
        </w:tc>
        <w:tc>
          <w:tcPr>
            <w:tcW w:w="963" w:type="dxa"/>
            <w:tcBorders>
              <w:top w:val="nil"/>
              <w:left w:val="nil"/>
              <w:bottom w:val="nil"/>
              <w:right w:val="nil"/>
            </w:tcBorders>
            <w:shd w:val="clear" w:color="auto" w:fill="auto"/>
            <w:noWrap/>
            <w:vAlign w:val="bottom"/>
            <w:hideMark/>
          </w:tcPr>
          <w:p w14:paraId="6A1B5D7C"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0.513</w:t>
            </w:r>
          </w:p>
        </w:tc>
        <w:tc>
          <w:tcPr>
            <w:tcW w:w="963" w:type="dxa"/>
            <w:tcBorders>
              <w:top w:val="nil"/>
              <w:left w:val="nil"/>
              <w:bottom w:val="nil"/>
              <w:right w:val="nil"/>
            </w:tcBorders>
            <w:shd w:val="clear" w:color="auto" w:fill="auto"/>
            <w:noWrap/>
            <w:vAlign w:val="bottom"/>
            <w:hideMark/>
          </w:tcPr>
          <w:p w14:paraId="36DE5615"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0.794</w:t>
            </w:r>
          </w:p>
        </w:tc>
        <w:tc>
          <w:tcPr>
            <w:tcW w:w="961" w:type="dxa"/>
            <w:tcBorders>
              <w:top w:val="nil"/>
              <w:left w:val="nil"/>
              <w:bottom w:val="nil"/>
              <w:right w:val="nil"/>
            </w:tcBorders>
            <w:shd w:val="clear" w:color="auto" w:fill="auto"/>
            <w:noWrap/>
            <w:vAlign w:val="bottom"/>
            <w:hideMark/>
          </w:tcPr>
          <w:p w14:paraId="0A993D06"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0.183</w:t>
            </w:r>
          </w:p>
        </w:tc>
        <w:tc>
          <w:tcPr>
            <w:tcW w:w="960" w:type="dxa"/>
            <w:tcBorders>
              <w:top w:val="nil"/>
              <w:left w:val="nil"/>
              <w:bottom w:val="nil"/>
              <w:right w:val="nil"/>
            </w:tcBorders>
            <w:shd w:val="clear" w:color="auto" w:fill="auto"/>
            <w:noWrap/>
            <w:vAlign w:val="bottom"/>
            <w:hideMark/>
          </w:tcPr>
          <w:p w14:paraId="33C6B70B"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0.839</w:t>
            </w:r>
          </w:p>
        </w:tc>
        <w:tc>
          <w:tcPr>
            <w:tcW w:w="967" w:type="dxa"/>
            <w:tcBorders>
              <w:top w:val="nil"/>
              <w:left w:val="nil"/>
              <w:bottom w:val="nil"/>
              <w:right w:val="single" w:sz="4" w:space="0" w:color="auto"/>
            </w:tcBorders>
            <w:shd w:val="clear" w:color="auto" w:fill="auto"/>
            <w:noWrap/>
            <w:vAlign w:val="bottom"/>
            <w:hideMark/>
          </w:tcPr>
          <w:p w14:paraId="6968ECBF"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0.828</w:t>
            </w:r>
          </w:p>
        </w:tc>
      </w:tr>
      <w:tr w:rsidR="00ED02A4" w:rsidRPr="007256AA" w14:paraId="56415899" w14:textId="77777777" w:rsidTr="00380104">
        <w:trPr>
          <w:trHeight w:val="288"/>
        </w:trPr>
        <w:tc>
          <w:tcPr>
            <w:tcW w:w="2198" w:type="dxa"/>
            <w:gridSpan w:val="2"/>
            <w:tcBorders>
              <w:top w:val="nil"/>
              <w:left w:val="single" w:sz="4" w:space="0" w:color="auto"/>
              <w:bottom w:val="nil"/>
              <w:right w:val="nil"/>
            </w:tcBorders>
            <w:shd w:val="clear" w:color="auto" w:fill="auto"/>
            <w:noWrap/>
            <w:vAlign w:val="bottom"/>
            <w:hideMark/>
          </w:tcPr>
          <w:p w14:paraId="7265B973"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INTERNET</w:t>
            </w:r>
          </w:p>
        </w:tc>
        <w:tc>
          <w:tcPr>
            <w:tcW w:w="963" w:type="dxa"/>
            <w:tcBorders>
              <w:top w:val="nil"/>
              <w:left w:val="nil"/>
              <w:bottom w:val="nil"/>
              <w:right w:val="nil"/>
            </w:tcBorders>
            <w:shd w:val="clear" w:color="auto" w:fill="auto"/>
            <w:noWrap/>
            <w:vAlign w:val="bottom"/>
            <w:hideMark/>
          </w:tcPr>
          <w:p w14:paraId="43886BBC"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6399E7FB"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22657C79"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-0.574</w:t>
            </w:r>
          </w:p>
        </w:tc>
        <w:tc>
          <w:tcPr>
            <w:tcW w:w="963" w:type="dxa"/>
            <w:tcBorders>
              <w:top w:val="nil"/>
              <w:left w:val="nil"/>
              <w:bottom w:val="nil"/>
              <w:right w:val="nil"/>
            </w:tcBorders>
            <w:shd w:val="clear" w:color="auto" w:fill="auto"/>
            <w:noWrap/>
            <w:vAlign w:val="bottom"/>
            <w:hideMark/>
          </w:tcPr>
          <w:p w14:paraId="2A65043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-0.126</w:t>
            </w:r>
          </w:p>
        </w:tc>
        <w:tc>
          <w:tcPr>
            <w:tcW w:w="963" w:type="dxa"/>
            <w:tcBorders>
              <w:top w:val="nil"/>
              <w:left w:val="nil"/>
              <w:bottom w:val="nil"/>
              <w:right w:val="nil"/>
            </w:tcBorders>
            <w:shd w:val="clear" w:color="auto" w:fill="auto"/>
            <w:noWrap/>
            <w:vAlign w:val="bottom"/>
            <w:hideMark/>
          </w:tcPr>
          <w:p w14:paraId="005EF4FE"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-0.451</w:t>
            </w:r>
          </w:p>
        </w:tc>
        <w:tc>
          <w:tcPr>
            <w:tcW w:w="961" w:type="dxa"/>
            <w:tcBorders>
              <w:top w:val="nil"/>
              <w:left w:val="nil"/>
              <w:bottom w:val="nil"/>
              <w:right w:val="nil"/>
            </w:tcBorders>
            <w:shd w:val="clear" w:color="auto" w:fill="auto"/>
            <w:noWrap/>
            <w:vAlign w:val="bottom"/>
            <w:hideMark/>
          </w:tcPr>
          <w:p w14:paraId="55E96D4B"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0" w:type="dxa"/>
            <w:tcBorders>
              <w:top w:val="nil"/>
              <w:left w:val="nil"/>
              <w:bottom w:val="nil"/>
              <w:right w:val="nil"/>
            </w:tcBorders>
            <w:shd w:val="clear" w:color="auto" w:fill="auto"/>
            <w:noWrap/>
            <w:vAlign w:val="bottom"/>
            <w:hideMark/>
          </w:tcPr>
          <w:p w14:paraId="7712B8DA"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7" w:type="dxa"/>
            <w:tcBorders>
              <w:top w:val="nil"/>
              <w:left w:val="nil"/>
              <w:bottom w:val="nil"/>
              <w:right w:val="single" w:sz="4" w:space="0" w:color="auto"/>
            </w:tcBorders>
            <w:shd w:val="clear" w:color="auto" w:fill="auto"/>
            <w:noWrap/>
            <w:vAlign w:val="bottom"/>
            <w:hideMark/>
          </w:tcPr>
          <w:p w14:paraId="244A6CEC"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ED02A4" w:rsidRPr="007256AA" w14:paraId="11ECE662"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23F0CEA2"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6833E9A7"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2A978C7A"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12F4F1E0"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59EFD1C6"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604F89FF"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666DD925"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1" w:type="dxa"/>
            <w:tcBorders>
              <w:top w:val="nil"/>
              <w:left w:val="nil"/>
              <w:bottom w:val="nil"/>
              <w:right w:val="nil"/>
            </w:tcBorders>
            <w:shd w:val="clear" w:color="auto" w:fill="auto"/>
            <w:noWrap/>
            <w:vAlign w:val="bottom"/>
            <w:hideMark/>
          </w:tcPr>
          <w:p w14:paraId="1F3054A8"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0" w:type="dxa"/>
            <w:tcBorders>
              <w:top w:val="nil"/>
              <w:left w:val="nil"/>
              <w:bottom w:val="nil"/>
              <w:right w:val="nil"/>
            </w:tcBorders>
            <w:shd w:val="clear" w:color="auto" w:fill="auto"/>
            <w:noWrap/>
            <w:vAlign w:val="bottom"/>
            <w:hideMark/>
          </w:tcPr>
          <w:p w14:paraId="1C2C804F"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7" w:type="dxa"/>
            <w:tcBorders>
              <w:top w:val="nil"/>
              <w:left w:val="nil"/>
              <w:bottom w:val="nil"/>
              <w:right w:val="single" w:sz="4" w:space="0" w:color="auto"/>
            </w:tcBorders>
            <w:shd w:val="clear" w:color="auto" w:fill="auto"/>
            <w:noWrap/>
            <w:vAlign w:val="bottom"/>
            <w:hideMark/>
          </w:tcPr>
          <w:p w14:paraId="724310EA"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ED02A4" w:rsidRPr="007256AA" w14:paraId="00A20CEC"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484EFD5E"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DEVPC1</w:t>
            </w:r>
          </w:p>
        </w:tc>
        <w:tc>
          <w:tcPr>
            <w:tcW w:w="963" w:type="dxa"/>
            <w:tcBorders>
              <w:top w:val="nil"/>
              <w:left w:val="nil"/>
              <w:bottom w:val="nil"/>
              <w:right w:val="nil"/>
            </w:tcBorders>
            <w:shd w:val="clear" w:color="auto" w:fill="auto"/>
            <w:noWrap/>
            <w:vAlign w:val="bottom"/>
            <w:hideMark/>
          </w:tcPr>
          <w:p w14:paraId="195AC8BB"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4AD36FA5"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2C6EF23F"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3750248B"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3" w:type="dxa"/>
            <w:tcBorders>
              <w:top w:val="nil"/>
              <w:left w:val="nil"/>
              <w:bottom w:val="nil"/>
              <w:right w:val="nil"/>
            </w:tcBorders>
            <w:shd w:val="clear" w:color="auto" w:fill="auto"/>
            <w:noWrap/>
            <w:vAlign w:val="bottom"/>
            <w:hideMark/>
          </w:tcPr>
          <w:p w14:paraId="1896B12E"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3" w:type="dxa"/>
            <w:tcBorders>
              <w:top w:val="nil"/>
              <w:left w:val="nil"/>
              <w:bottom w:val="nil"/>
              <w:right w:val="nil"/>
            </w:tcBorders>
            <w:shd w:val="clear" w:color="auto" w:fill="auto"/>
            <w:noWrap/>
            <w:vAlign w:val="bottom"/>
            <w:hideMark/>
          </w:tcPr>
          <w:p w14:paraId="6817EC87"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1" w:type="dxa"/>
            <w:tcBorders>
              <w:top w:val="nil"/>
              <w:left w:val="nil"/>
              <w:bottom w:val="nil"/>
              <w:right w:val="nil"/>
            </w:tcBorders>
            <w:shd w:val="clear" w:color="auto" w:fill="auto"/>
            <w:noWrap/>
            <w:vAlign w:val="bottom"/>
            <w:hideMark/>
          </w:tcPr>
          <w:p w14:paraId="78D9E76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-7.992</w:t>
            </w:r>
          </w:p>
        </w:tc>
        <w:tc>
          <w:tcPr>
            <w:tcW w:w="960" w:type="dxa"/>
            <w:tcBorders>
              <w:top w:val="nil"/>
              <w:left w:val="nil"/>
              <w:bottom w:val="nil"/>
              <w:right w:val="nil"/>
            </w:tcBorders>
            <w:shd w:val="clear" w:color="auto" w:fill="auto"/>
            <w:noWrap/>
            <w:vAlign w:val="bottom"/>
            <w:hideMark/>
          </w:tcPr>
          <w:p w14:paraId="5A9078D8"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-1.337</w:t>
            </w:r>
          </w:p>
        </w:tc>
        <w:tc>
          <w:tcPr>
            <w:tcW w:w="967" w:type="dxa"/>
            <w:tcBorders>
              <w:top w:val="nil"/>
              <w:left w:val="nil"/>
              <w:bottom w:val="nil"/>
              <w:right w:val="single" w:sz="4" w:space="0" w:color="auto"/>
            </w:tcBorders>
            <w:shd w:val="clear" w:color="auto" w:fill="auto"/>
            <w:noWrap/>
            <w:vAlign w:val="bottom"/>
            <w:hideMark/>
          </w:tcPr>
          <w:p w14:paraId="7378E97B"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-4.046</w:t>
            </w:r>
          </w:p>
        </w:tc>
      </w:tr>
      <w:tr w:rsidR="00ED02A4" w:rsidRPr="007256AA" w14:paraId="1600E8B9"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63D6692A"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338D4946"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4E40DFA4"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29D06EEC"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3C3C0D21"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3" w:type="dxa"/>
            <w:tcBorders>
              <w:top w:val="nil"/>
              <w:left w:val="nil"/>
              <w:bottom w:val="nil"/>
              <w:right w:val="nil"/>
            </w:tcBorders>
            <w:shd w:val="clear" w:color="auto" w:fill="auto"/>
            <w:noWrap/>
            <w:vAlign w:val="bottom"/>
            <w:hideMark/>
          </w:tcPr>
          <w:p w14:paraId="66D08A12"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3" w:type="dxa"/>
            <w:tcBorders>
              <w:top w:val="nil"/>
              <w:left w:val="nil"/>
              <w:bottom w:val="nil"/>
              <w:right w:val="nil"/>
            </w:tcBorders>
            <w:shd w:val="clear" w:color="auto" w:fill="auto"/>
            <w:noWrap/>
            <w:vAlign w:val="bottom"/>
            <w:hideMark/>
          </w:tcPr>
          <w:p w14:paraId="694DC1A2"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61" w:type="dxa"/>
            <w:tcBorders>
              <w:top w:val="nil"/>
              <w:left w:val="nil"/>
              <w:bottom w:val="nil"/>
              <w:right w:val="nil"/>
            </w:tcBorders>
            <w:shd w:val="clear" w:color="auto" w:fill="auto"/>
            <w:noWrap/>
            <w:vAlign w:val="bottom"/>
            <w:hideMark/>
          </w:tcPr>
          <w:p w14:paraId="670A4FAC"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60" w:type="dxa"/>
            <w:tcBorders>
              <w:top w:val="nil"/>
              <w:left w:val="nil"/>
              <w:bottom w:val="nil"/>
              <w:right w:val="nil"/>
            </w:tcBorders>
            <w:shd w:val="clear" w:color="auto" w:fill="auto"/>
            <w:noWrap/>
            <w:vAlign w:val="bottom"/>
            <w:hideMark/>
          </w:tcPr>
          <w:p w14:paraId="119F61F0"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0.042</w:t>
            </w:r>
          </w:p>
        </w:tc>
        <w:tc>
          <w:tcPr>
            <w:tcW w:w="967" w:type="dxa"/>
            <w:tcBorders>
              <w:top w:val="nil"/>
              <w:left w:val="nil"/>
              <w:bottom w:val="nil"/>
              <w:right w:val="single" w:sz="4" w:space="0" w:color="auto"/>
            </w:tcBorders>
            <w:shd w:val="clear" w:color="auto" w:fill="auto"/>
            <w:noWrap/>
            <w:vAlign w:val="bottom"/>
            <w:hideMark/>
          </w:tcPr>
          <w:p w14:paraId="2A7CEF9B"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0.079</w:t>
            </w:r>
          </w:p>
        </w:tc>
      </w:tr>
      <w:tr w:rsidR="00ED02A4" w:rsidRPr="007256AA" w14:paraId="2F2031C0"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73563D40"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Nobs</w:t>
            </w:r>
          </w:p>
        </w:tc>
        <w:tc>
          <w:tcPr>
            <w:tcW w:w="963" w:type="dxa"/>
            <w:tcBorders>
              <w:top w:val="nil"/>
              <w:left w:val="nil"/>
              <w:bottom w:val="nil"/>
              <w:right w:val="nil"/>
            </w:tcBorders>
            <w:shd w:val="clear" w:color="auto" w:fill="auto"/>
            <w:noWrap/>
            <w:vAlign w:val="bottom"/>
            <w:hideMark/>
          </w:tcPr>
          <w:p w14:paraId="4E78B73C"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1132</w:t>
            </w:r>
          </w:p>
        </w:tc>
        <w:tc>
          <w:tcPr>
            <w:tcW w:w="963" w:type="dxa"/>
            <w:tcBorders>
              <w:top w:val="nil"/>
              <w:left w:val="nil"/>
              <w:bottom w:val="nil"/>
              <w:right w:val="nil"/>
            </w:tcBorders>
            <w:shd w:val="clear" w:color="auto" w:fill="auto"/>
            <w:noWrap/>
            <w:vAlign w:val="bottom"/>
            <w:hideMark/>
          </w:tcPr>
          <w:p w14:paraId="081A63B9"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435</w:t>
            </w:r>
          </w:p>
        </w:tc>
        <w:tc>
          <w:tcPr>
            <w:tcW w:w="963" w:type="dxa"/>
            <w:tcBorders>
              <w:top w:val="nil"/>
              <w:left w:val="nil"/>
              <w:bottom w:val="nil"/>
              <w:right w:val="nil"/>
            </w:tcBorders>
            <w:shd w:val="clear" w:color="auto" w:fill="auto"/>
            <w:noWrap/>
            <w:vAlign w:val="bottom"/>
            <w:hideMark/>
          </w:tcPr>
          <w:p w14:paraId="77706B66"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213</w:t>
            </w:r>
          </w:p>
        </w:tc>
        <w:tc>
          <w:tcPr>
            <w:tcW w:w="963" w:type="dxa"/>
            <w:tcBorders>
              <w:top w:val="nil"/>
              <w:left w:val="nil"/>
              <w:bottom w:val="nil"/>
              <w:right w:val="nil"/>
            </w:tcBorders>
            <w:shd w:val="clear" w:color="auto" w:fill="auto"/>
            <w:noWrap/>
            <w:vAlign w:val="bottom"/>
            <w:hideMark/>
          </w:tcPr>
          <w:p w14:paraId="2ED514ED"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1074</w:t>
            </w:r>
          </w:p>
        </w:tc>
        <w:tc>
          <w:tcPr>
            <w:tcW w:w="963" w:type="dxa"/>
            <w:tcBorders>
              <w:top w:val="nil"/>
              <w:left w:val="nil"/>
              <w:bottom w:val="nil"/>
              <w:right w:val="nil"/>
            </w:tcBorders>
            <w:shd w:val="clear" w:color="auto" w:fill="auto"/>
            <w:noWrap/>
            <w:vAlign w:val="bottom"/>
            <w:hideMark/>
          </w:tcPr>
          <w:p w14:paraId="3F909F17"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431</w:t>
            </w:r>
          </w:p>
        </w:tc>
        <w:tc>
          <w:tcPr>
            <w:tcW w:w="963" w:type="dxa"/>
            <w:tcBorders>
              <w:top w:val="nil"/>
              <w:left w:val="nil"/>
              <w:bottom w:val="nil"/>
              <w:right w:val="nil"/>
            </w:tcBorders>
            <w:shd w:val="clear" w:color="auto" w:fill="auto"/>
            <w:noWrap/>
            <w:vAlign w:val="bottom"/>
            <w:hideMark/>
          </w:tcPr>
          <w:p w14:paraId="2A340AC6"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210</w:t>
            </w:r>
          </w:p>
        </w:tc>
        <w:tc>
          <w:tcPr>
            <w:tcW w:w="961" w:type="dxa"/>
            <w:tcBorders>
              <w:top w:val="nil"/>
              <w:left w:val="nil"/>
              <w:bottom w:val="nil"/>
              <w:right w:val="nil"/>
            </w:tcBorders>
            <w:shd w:val="clear" w:color="auto" w:fill="auto"/>
            <w:noWrap/>
            <w:vAlign w:val="bottom"/>
            <w:hideMark/>
          </w:tcPr>
          <w:p w14:paraId="298E2A78"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514</w:t>
            </w:r>
          </w:p>
        </w:tc>
        <w:tc>
          <w:tcPr>
            <w:tcW w:w="960" w:type="dxa"/>
            <w:tcBorders>
              <w:top w:val="nil"/>
              <w:left w:val="nil"/>
              <w:bottom w:val="nil"/>
              <w:right w:val="nil"/>
            </w:tcBorders>
            <w:shd w:val="clear" w:color="auto" w:fill="auto"/>
            <w:noWrap/>
            <w:vAlign w:val="bottom"/>
            <w:hideMark/>
          </w:tcPr>
          <w:p w14:paraId="4DFFFD9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324</w:t>
            </w:r>
          </w:p>
        </w:tc>
        <w:tc>
          <w:tcPr>
            <w:tcW w:w="967" w:type="dxa"/>
            <w:tcBorders>
              <w:top w:val="nil"/>
              <w:left w:val="nil"/>
              <w:bottom w:val="nil"/>
              <w:right w:val="single" w:sz="4" w:space="0" w:color="auto"/>
            </w:tcBorders>
            <w:shd w:val="clear" w:color="auto" w:fill="auto"/>
            <w:noWrap/>
            <w:vAlign w:val="bottom"/>
            <w:hideMark/>
          </w:tcPr>
          <w:p w14:paraId="70B01B9C"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182</w:t>
            </w:r>
          </w:p>
        </w:tc>
      </w:tr>
      <w:tr w:rsidR="00ED02A4" w:rsidRPr="007256AA" w14:paraId="2772E8E5" w14:textId="77777777" w:rsidTr="00380104">
        <w:trPr>
          <w:trHeight w:val="288"/>
        </w:trPr>
        <w:tc>
          <w:tcPr>
            <w:tcW w:w="1235" w:type="dxa"/>
            <w:tcBorders>
              <w:top w:val="nil"/>
              <w:left w:val="single" w:sz="4" w:space="0" w:color="auto"/>
              <w:bottom w:val="single" w:sz="4" w:space="0" w:color="auto"/>
              <w:right w:val="nil"/>
            </w:tcBorders>
            <w:shd w:val="clear" w:color="auto" w:fill="auto"/>
            <w:noWrap/>
            <w:vAlign w:val="bottom"/>
            <w:hideMark/>
          </w:tcPr>
          <w:p w14:paraId="012152D1"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Adj. R2</w:t>
            </w:r>
          </w:p>
        </w:tc>
        <w:tc>
          <w:tcPr>
            <w:tcW w:w="963" w:type="dxa"/>
            <w:tcBorders>
              <w:top w:val="nil"/>
              <w:left w:val="nil"/>
              <w:bottom w:val="single" w:sz="4" w:space="0" w:color="auto"/>
              <w:right w:val="nil"/>
            </w:tcBorders>
            <w:shd w:val="clear" w:color="auto" w:fill="auto"/>
            <w:noWrap/>
            <w:vAlign w:val="bottom"/>
            <w:hideMark/>
          </w:tcPr>
          <w:p w14:paraId="7672DB0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0.499</w:t>
            </w:r>
          </w:p>
        </w:tc>
        <w:tc>
          <w:tcPr>
            <w:tcW w:w="963" w:type="dxa"/>
            <w:tcBorders>
              <w:top w:val="nil"/>
              <w:left w:val="nil"/>
              <w:bottom w:val="single" w:sz="4" w:space="0" w:color="auto"/>
              <w:right w:val="nil"/>
            </w:tcBorders>
            <w:shd w:val="clear" w:color="auto" w:fill="auto"/>
            <w:noWrap/>
            <w:vAlign w:val="bottom"/>
            <w:hideMark/>
          </w:tcPr>
          <w:p w14:paraId="2F49000C"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0.620</w:t>
            </w:r>
          </w:p>
        </w:tc>
        <w:tc>
          <w:tcPr>
            <w:tcW w:w="963" w:type="dxa"/>
            <w:tcBorders>
              <w:top w:val="nil"/>
              <w:left w:val="nil"/>
              <w:bottom w:val="single" w:sz="4" w:space="0" w:color="auto"/>
              <w:right w:val="nil"/>
            </w:tcBorders>
            <w:shd w:val="clear" w:color="auto" w:fill="auto"/>
            <w:noWrap/>
            <w:vAlign w:val="bottom"/>
            <w:hideMark/>
          </w:tcPr>
          <w:p w14:paraId="1E93984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0.557</w:t>
            </w:r>
          </w:p>
        </w:tc>
        <w:tc>
          <w:tcPr>
            <w:tcW w:w="963" w:type="dxa"/>
            <w:tcBorders>
              <w:top w:val="nil"/>
              <w:left w:val="nil"/>
              <w:bottom w:val="single" w:sz="4" w:space="0" w:color="auto"/>
              <w:right w:val="nil"/>
            </w:tcBorders>
            <w:shd w:val="clear" w:color="auto" w:fill="auto"/>
            <w:noWrap/>
            <w:vAlign w:val="bottom"/>
            <w:hideMark/>
          </w:tcPr>
          <w:p w14:paraId="1F451C42"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0.642</w:t>
            </w:r>
          </w:p>
        </w:tc>
        <w:tc>
          <w:tcPr>
            <w:tcW w:w="963" w:type="dxa"/>
            <w:tcBorders>
              <w:top w:val="nil"/>
              <w:left w:val="nil"/>
              <w:bottom w:val="single" w:sz="4" w:space="0" w:color="auto"/>
              <w:right w:val="nil"/>
            </w:tcBorders>
            <w:shd w:val="clear" w:color="auto" w:fill="auto"/>
            <w:noWrap/>
            <w:vAlign w:val="bottom"/>
            <w:hideMark/>
          </w:tcPr>
          <w:p w14:paraId="3959C241"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0.627</w:t>
            </w:r>
          </w:p>
        </w:tc>
        <w:tc>
          <w:tcPr>
            <w:tcW w:w="963" w:type="dxa"/>
            <w:tcBorders>
              <w:top w:val="nil"/>
              <w:left w:val="nil"/>
              <w:bottom w:val="single" w:sz="4" w:space="0" w:color="auto"/>
              <w:right w:val="nil"/>
            </w:tcBorders>
            <w:shd w:val="clear" w:color="auto" w:fill="auto"/>
            <w:noWrap/>
            <w:vAlign w:val="bottom"/>
            <w:hideMark/>
          </w:tcPr>
          <w:p w14:paraId="437E0CE2"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0.667</w:t>
            </w:r>
          </w:p>
        </w:tc>
        <w:tc>
          <w:tcPr>
            <w:tcW w:w="961" w:type="dxa"/>
            <w:tcBorders>
              <w:top w:val="nil"/>
              <w:left w:val="nil"/>
              <w:bottom w:val="single" w:sz="4" w:space="0" w:color="auto"/>
              <w:right w:val="nil"/>
            </w:tcBorders>
            <w:shd w:val="clear" w:color="auto" w:fill="auto"/>
            <w:noWrap/>
            <w:vAlign w:val="bottom"/>
            <w:hideMark/>
          </w:tcPr>
          <w:p w14:paraId="55C108B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0.607</w:t>
            </w:r>
          </w:p>
        </w:tc>
        <w:tc>
          <w:tcPr>
            <w:tcW w:w="960" w:type="dxa"/>
            <w:tcBorders>
              <w:top w:val="nil"/>
              <w:left w:val="nil"/>
              <w:bottom w:val="single" w:sz="4" w:space="0" w:color="auto"/>
              <w:right w:val="nil"/>
            </w:tcBorders>
            <w:shd w:val="clear" w:color="auto" w:fill="auto"/>
            <w:noWrap/>
            <w:vAlign w:val="bottom"/>
            <w:hideMark/>
          </w:tcPr>
          <w:p w14:paraId="6977A99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0.574</w:t>
            </w:r>
          </w:p>
        </w:tc>
        <w:tc>
          <w:tcPr>
            <w:tcW w:w="967" w:type="dxa"/>
            <w:tcBorders>
              <w:top w:val="nil"/>
              <w:left w:val="nil"/>
              <w:bottom w:val="single" w:sz="4" w:space="0" w:color="auto"/>
              <w:right w:val="single" w:sz="4" w:space="0" w:color="auto"/>
            </w:tcBorders>
            <w:shd w:val="clear" w:color="auto" w:fill="auto"/>
            <w:noWrap/>
            <w:vAlign w:val="bottom"/>
            <w:hideMark/>
          </w:tcPr>
          <w:p w14:paraId="2EB31680"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0.640</w:t>
            </w:r>
          </w:p>
        </w:tc>
      </w:tr>
    </w:tbl>
    <w:p w14:paraId="35EE339D" w14:textId="4A213E19" w:rsidR="00ED02A4" w:rsidRDefault="00ED02A4" w:rsidP="00345EE3">
      <w:pPr>
        <w:spacing w:line="240" w:lineRule="auto"/>
        <w:jc w:val="both"/>
        <w:rPr>
          <w:rFonts w:eastAsia="Times New Roman" w:cs="Times New Roman"/>
          <w:color w:val="000000"/>
          <w:lang w:eastAsia="en-IE"/>
        </w:rPr>
      </w:pPr>
      <w:r w:rsidRPr="0033355B">
        <w:rPr>
          <w:rFonts w:eastAsia="Times New Roman" w:cs="Times New Roman"/>
          <w:color w:val="000000"/>
          <w:lang w:eastAsia="en-IE"/>
        </w:rPr>
        <w:t xml:space="preserve">The unbalanced regressions estimate the relation between the diversification indexes, Equity, Bond and REIT, and proxies for macro-financial and developmental factors.  Given the high correlation between many developmental factors in table 6, a single variable, </w:t>
      </w:r>
      <w:r>
        <w:rPr>
          <w:rFonts w:eastAsia="Times New Roman" w:cs="Times New Roman"/>
          <w:color w:val="000000"/>
          <w:lang w:eastAsia="en-IE"/>
        </w:rPr>
        <w:t>i</w:t>
      </w:r>
      <w:r w:rsidRPr="0033355B">
        <w:rPr>
          <w:rFonts w:eastAsia="Times New Roman" w:cs="Times New Roman"/>
          <w:color w:val="000000"/>
          <w:lang w:eastAsia="en-IE"/>
        </w:rPr>
        <w:t>s included in the regressions.  INTERNET represent</w:t>
      </w:r>
      <w:r>
        <w:rPr>
          <w:rFonts w:eastAsia="Times New Roman" w:cs="Times New Roman"/>
          <w:color w:val="000000"/>
          <w:lang w:eastAsia="en-IE"/>
        </w:rPr>
        <w:t>s</w:t>
      </w:r>
      <w:r w:rsidRPr="0033355B">
        <w:rPr>
          <w:rFonts w:eastAsia="Times New Roman" w:cs="Times New Roman"/>
          <w:color w:val="000000"/>
          <w:lang w:eastAsia="en-IE"/>
        </w:rPr>
        <w:t xml:space="preserve"> country level data.  The first Principal Component of a set of </w:t>
      </w:r>
      <w:r w:rsidR="0064075D" w:rsidRPr="0064075D">
        <w:rPr>
          <w:rFonts w:eastAsia="Times New Roman" w:cs="Times New Roman"/>
          <w:color w:val="000000"/>
          <w:lang w:eastAsia="en-IE"/>
        </w:rPr>
        <w:t xml:space="preserve">country level </w:t>
      </w:r>
      <w:r w:rsidRPr="0033355B">
        <w:rPr>
          <w:rFonts w:eastAsia="Times New Roman" w:cs="Times New Roman"/>
          <w:color w:val="000000"/>
          <w:lang w:eastAsia="en-IE"/>
        </w:rPr>
        <w:t xml:space="preserve">developmental factors, DEVPC1, is also included separately as a developmental factor instead of internet.  Results are reported for unbalanced panels with a timeframe 1986-2012.  Country fixed effects are included in all regressions.  P-values are in bold and italics. </w:t>
      </w:r>
    </w:p>
    <w:p w14:paraId="0E3EDCB7" w14:textId="77777777" w:rsidR="00ED02A4" w:rsidRDefault="00ED02A4" w:rsidP="00ED02A4">
      <w:pPr>
        <w:rPr>
          <w:rFonts w:eastAsia="Times New Roman" w:cs="Times New Roman"/>
          <w:color w:val="000000"/>
          <w:lang w:eastAsia="en-IE"/>
        </w:rPr>
      </w:pPr>
      <w:r>
        <w:rPr>
          <w:rFonts w:eastAsia="Times New Roman" w:cs="Times New Roman"/>
          <w:color w:val="000000"/>
          <w:lang w:eastAsia="en-IE"/>
        </w:rPr>
        <w:br w:type="page"/>
      </w:r>
    </w:p>
    <w:p w14:paraId="1CA60152" w14:textId="77777777" w:rsidR="00ED02A4" w:rsidRPr="00020590" w:rsidRDefault="00ED02A4" w:rsidP="00ED02A4">
      <w:pPr>
        <w:spacing w:after="0" w:line="240" w:lineRule="auto"/>
        <w:jc w:val="center"/>
        <w:rPr>
          <w:rFonts w:ascii="Calibri" w:eastAsia="Times New Roman" w:hAnsi="Calibri" w:cs="Times New Roman"/>
          <w:b/>
          <w:bCs/>
          <w:color w:val="000000"/>
          <w:sz w:val="24"/>
          <w:szCs w:val="24"/>
          <w:lang w:eastAsia="en-IE"/>
        </w:rPr>
      </w:pPr>
      <w:r w:rsidRPr="00020590">
        <w:rPr>
          <w:rFonts w:ascii="Calibri" w:eastAsia="Times New Roman" w:hAnsi="Calibri" w:cs="Times New Roman"/>
          <w:b/>
          <w:bCs/>
          <w:color w:val="000000"/>
          <w:sz w:val="24"/>
          <w:szCs w:val="24"/>
          <w:lang w:eastAsia="en-IE"/>
        </w:rPr>
        <w:lastRenderedPageBreak/>
        <w:t xml:space="preserve">Table </w:t>
      </w:r>
      <w:r>
        <w:rPr>
          <w:rFonts w:ascii="Calibri" w:eastAsia="Times New Roman" w:hAnsi="Calibri" w:cs="Times New Roman"/>
          <w:b/>
          <w:bCs/>
          <w:color w:val="000000"/>
          <w:sz w:val="24"/>
          <w:szCs w:val="24"/>
          <w:lang w:eastAsia="en-IE"/>
        </w:rPr>
        <w:t>10</w:t>
      </w:r>
    </w:p>
    <w:p w14:paraId="278D5A0B" w14:textId="77777777" w:rsidR="00ED02A4" w:rsidRDefault="00ED02A4" w:rsidP="00ED02A4">
      <w:pPr>
        <w:spacing w:line="240" w:lineRule="auto"/>
        <w:jc w:val="center"/>
        <w:rPr>
          <w:rFonts w:ascii="Calibri" w:eastAsia="Times New Roman" w:hAnsi="Calibri" w:cs="Times New Roman"/>
          <w:b/>
          <w:bCs/>
          <w:color w:val="000000"/>
          <w:sz w:val="24"/>
          <w:szCs w:val="24"/>
          <w:lang w:eastAsia="en-IE"/>
        </w:rPr>
      </w:pPr>
      <w:r w:rsidRPr="00020590">
        <w:rPr>
          <w:rFonts w:ascii="Calibri" w:eastAsia="Times New Roman" w:hAnsi="Calibri" w:cs="Times New Roman"/>
          <w:b/>
          <w:bCs/>
          <w:color w:val="000000"/>
          <w:sz w:val="24"/>
          <w:szCs w:val="24"/>
          <w:lang w:eastAsia="en-IE"/>
        </w:rPr>
        <w:t xml:space="preserve">Panel Regression Analysis </w:t>
      </w:r>
      <w:r>
        <w:rPr>
          <w:rFonts w:ascii="Calibri" w:eastAsia="Times New Roman" w:hAnsi="Calibri" w:cs="Times New Roman"/>
          <w:b/>
          <w:bCs/>
          <w:color w:val="000000"/>
          <w:sz w:val="24"/>
          <w:szCs w:val="24"/>
          <w:lang w:eastAsia="en-IE"/>
        </w:rPr>
        <w:t xml:space="preserve">for Geographical and </w:t>
      </w:r>
      <w:proofErr w:type="gramStart"/>
      <w:r>
        <w:rPr>
          <w:rFonts w:ascii="Calibri" w:eastAsia="Times New Roman" w:hAnsi="Calibri" w:cs="Times New Roman"/>
          <w:b/>
          <w:bCs/>
          <w:color w:val="000000"/>
          <w:sz w:val="24"/>
          <w:szCs w:val="24"/>
          <w:lang w:eastAsia="en-IE"/>
        </w:rPr>
        <w:t>Time Based</w:t>
      </w:r>
      <w:proofErr w:type="gramEnd"/>
      <w:r>
        <w:rPr>
          <w:rFonts w:ascii="Calibri" w:eastAsia="Times New Roman" w:hAnsi="Calibri" w:cs="Times New Roman"/>
          <w:b/>
          <w:bCs/>
          <w:color w:val="000000"/>
          <w:sz w:val="24"/>
          <w:szCs w:val="24"/>
          <w:lang w:eastAsia="en-IE"/>
        </w:rPr>
        <w:t xml:space="preserve"> Cohorts</w:t>
      </w:r>
    </w:p>
    <w:tbl>
      <w:tblPr>
        <w:tblW w:w="10176" w:type="dxa"/>
        <w:tblInd w:w="103" w:type="dxa"/>
        <w:tblLook w:val="04A0" w:firstRow="1" w:lastRow="0" w:firstColumn="1" w:lastColumn="0" w:noHBand="0" w:noVBand="1"/>
      </w:tblPr>
      <w:tblGrid>
        <w:gridCol w:w="1235"/>
        <w:gridCol w:w="1177"/>
        <w:gridCol w:w="1059"/>
        <w:gridCol w:w="936"/>
        <w:gridCol w:w="935"/>
        <w:gridCol w:w="935"/>
        <w:gridCol w:w="935"/>
        <w:gridCol w:w="935"/>
        <w:gridCol w:w="1087"/>
        <w:gridCol w:w="942"/>
      </w:tblGrid>
      <w:tr w:rsidR="00ED02A4" w:rsidRPr="007256AA" w14:paraId="00A9D61C" w14:textId="77777777" w:rsidTr="00380104">
        <w:trPr>
          <w:trHeight w:val="288"/>
        </w:trPr>
        <w:tc>
          <w:tcPr>
            <w:tcW w:w="1235" w:type="dxa"/>
            <w:tcBorders>
              <w:top w:val="single" w:sz="4" w:space="0" w:color="auto"/>
              <w:left w:val="single" w:sz="4" w:space="0" w:color="auto"/>
              <w:bottom w:val="nil"/>
              <w:right w:val="nil"/>
            </w:tcBorders>
            <w:shd w:val="clear" w:color="auto" w:fill="auto"/>
            <w:noWrap/>
            <w:vAlign w:val="bottom"/>
            <w:hideMark/>
          </w:tcPr>
          <w:p w14:paraId="74C414C3"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c>
          <w:tcPr>
            <w:tcW w:w="3172" w:type="dxa"/>
            <w:gridSpan w:val="3"/>
            <w:tcBorders>
              <w:top w:val="single" w:sz="4" w:space="0" w:color="auto"/>
              <w:left w:val="nil"/>
              <w:bottom w:val="nil"/>
              <w:right w:val="nil"/>
            </w:tcBorders>
            <w:shd w:val="clear" w:color="auto" w:fill="auto"/>
            <w:noWrap/>
            <w:vAlign w:val="bottom"/>
            <w:hideMark/>
          </w:tcPr>
          <w:p w14:paraId="215D6298" w14:textId="77777777" w:rsidR="00ED02A4" w:rsidRPr="007256AA" w:rsidRDefault="00ED02A4" w:rsidP="00367A87">
            <w:pPr>
              <w:spacing w:after="0" w:line="240" w:lineRule="auto"/>
              <w:jc w:val="center"/>
              <w:rPr>
                <w:rFonts w:ascii="Calibri" w:eastAsia="Times New Roman" w:hAnsi="Calibri" w:cs="Calibri"/>
                <w:color w:val="000000"/>
                <w:lang w:eastAsia="en-IE"/>
              </w:rPr>
            </w:pPr>
            <w:r w:rsidRPr="007256AA">
              <w:rPr>
                <w:rFonts w:ascii="Calibri" w:eastAsia="Times New Roman" w:hAnsi="Calibri" w:cs="Calibri"/>
                <w:color w:val="000000"/>
                <w:lang w:eastAsia="en-IE"/>
              </w:rPr>
              <w:t>Geographical Cohorts Equity</w:t>
            </w:r>
          </w:p>
        </w:tc>
        <w:tc>
          <w:tcPr>
            <w:tcW w:w="5769" w:type="dxa"/>
            <w:gridSpan w:val="6"/>
            <w:tcBorders>
              <w:top w:val="single" w:sz="4" w:space="0" w:color="auto"/>
              <w:left w:val="nil"/>
              <w:bottom w:val="nil"/>
              <w:right w:val="single" w:sz="4" w:space="0" w:color="000000"/>
            </w:tcBorders>
            <w:shd w:val="clear" w:color="auto" w:fill="auto"/>
            <w:noWrap/>
            <w:vAlign w:val="center"/>
            <w:hideMark/>
          </w:tcPr>
          <w:p w14:paraId="169C2E53" w14:textId="77777777" w:rsidR="00ED02A4" w:rsidRPr="007256AA" w:rsidRDefault="00ED02A4" w:rsidP="00367A87">
            <w:pPr>
              <w:spacing w:after="0" w:line="240" w:lineRule="auto"/>
              <w:jc w:val="center"/>
              <w:rPr>
                <w:rFonts w:ascii="Calibri" w:eastAsia="Times New Roman" w:hAnsi="Calibri" w:cs="Calibri"/>
                <w:color w:val="000000"/>
                <w:lang w:eastAsia="en-IE"/>
              </w:rPr>
            </w:pPr>
            <w:r w:rsidRPr="007256AA">
              <w:rPr>
                <w:rFonts w:ascii="Calibri" w:eastAsia="Times New Roman" w:hAnsi="Calibri" w:cs="Calibri"/>
                <w:color w:val="000000"/>
                <w:lang w:eastAsia="en-IE"/>
              </w:rPr>
              <w:t>Time Cohorts</w:t>
            </w:r>
          </w:p>
        </w:tc>
      </w:tr>
      <w:tr w:rsidR="00ED02A4" w:rsidRPr="007256AA" w14:paraId="543B4F50"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0E87AD3E"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c>
          <w:tcPr>
            <w:tcW w:w="1177" w:type="dxa"/>
            <w:tcBorders>
              <w:top w:val="nil"/>
              <w:left w:val="nil"/>
              <w:bottom w:val="nil"/>
              <w:right w:val="nil"/>
            </w:tcBorders>
            <w:shd w:val="clear" w:color="auto" w:fill="auto"/>
            <w:noWrap/>
            <w:vAlign w:val="center"/>
            <w:hideMark/>
          </w:tcPr>
          <w:p w14:paraId="060DD86E" w14:textId="77777777" w:rsidR="00ED02A4" w:rsidRPr="007256AA" w:rsidRDefault="00ED02A4" w:rsidP="00367A87">
            <w:pPr>
              <w:spacing w:after="0" w:line="240" w:lineRule="auto"/>
              <w:jc w:val="center"/>
              <w:rPr>
                <w:rFonts w:ascii="Calibri" w:eastAsia="Times New Roman" w:hAnsi="Calibri" w:cs="Calibri"/>
                <w:color w:val="000000"/>
                <w:lang w:eastAsia="en-IE"/>
              </w:rPr>
            </w:pPr>
            <w:r w:rsidRPr="007256AA">
              <w:rPr>
                <w:rFonts w:ascii="Calibri" w:eastAsia="Times New Roman" w:hAnsi="Calibri" w:cs="Calibri"/>
                <w:color w:val="000000"/>
                <w:lang w:eastAsia="en-IE"/>
              </w:rPr>
              <w:t xml:space="preserve">Developed </w:t>
            </w:r>
          </w:p>
        </w:tc>
        <w:tc>
          <w:tcPr>
            <w:tcW w:w="1059" w:type="dxa"/>
            <w:tcBorders>
              <w:top w:val="nil"/>
              <w:left w:val="nil"/>
              <w:bottom w:val="nil"/>
              <w:right w:val="nil"/>
            </w:tcBorders>
            <w:shd w:val="clear" w:color="auto" w:fill="auto"/>
            <w:noWrap/>
            <w:vAlign w:val="center"/>
            <w:hideMark/>
          </w:tcPr>
          <w:p w14:paraId="5C3495B7" w14:textId="77777777" w:rsidR="00ED02A4" w:rsidRPr="007256AA" w:rsidRDefault="00ED02A4" w:rsidP="00367A87">
            <w:pPr>
              <w:spacing w:after="0" w:line="240" w:lineRule="auto"/>
              <w:jc w:val="center"/>
              <w:rPr>
                <w:rFonts w:ascii="Calibri" w:eastAsia="Times New Roman" w:hAnsi="Calibri" w:cs="Calibri"/>
                <w:color w:val="000000"/>
                <w:lang w:eastAsia="en-IE"/>
              </w:rPr>
            </w:pPr>
            <w:r w:rsidRPr="007256AA">
              <w:rPr>
                <w:rFonts w:ascii="Calibri" w:eastAsia="Times New Roman" w:hAnsi="Calibri" w:cs="Calibri"/>
                <w:color w:val="000000"/>
                <w:lang w:eastAsia="en-IE"/>
              </w:rPr>
              <w:t>Emerging</w:t>
            </w:r>
          </w:p>
        </w:tc>
        <w:tc>
          <w:tcPr>
            <w:tcW w:w="936" w:type="dxa"/>
            <w:tcBorders>
              <w:top w:val="nil"/>
              <w:left w:val="nil"/>
              <w:bottom w:val="nil"/>
              <w:right w:val="nil"/>
            </w:tcBorders>
            <w:shd w:val="clear" w:color="auto" w:fill="auto"/>
            <w:noWrap/>
            <w:vAlign w:val="center"/>
            <w:hideMark/>
          </w:tcPr>
          <w:p w14:paraId="686073F1" w14:textId="77777777" w:rsidR="00ED02A4" w:rsidRPr="007256AA" w:rsidRDefault="00ED02A4" w:rsidP="00367A87">
            <w:pPr>
              <w:spacing w:after="0" w:line="240" w:lineRule="auto"/>
              <w:jc w:val="center"/>
              <w:rPr>
                <w:rFonts w:ascii="Calibri" w:eastAsia="Times New Roman" w:hAnsi="Calibri" w:cs="Calibri"/>
                <w:color w:val="000000"/>
                <w:lang w:eastAsia="en-IE"/>
              </w:rPr>
            </w:pPr>
            <w:r w:rsidRPr="007256AA">
              <w:rPr>
                <w:rFonts w:ascii="Calibri" w:eastAsia="Times New Roman" w:hAnsi="Calibri" w:cs="Calibri"/>
                <w:color w:val="000000"/>
                <w:lang w:eastAsia="en-IE"/>
              </w:rPr>
              <w:t>Frontier</w:t>
            </w:r>
          </w:p>
        </w:tc>
        <w:tc>
          <w:tcPr>
            <w:tcW w:w="2805" w:type="dxa"/>
            <w:gridSpan w:val="3"/>
            <w:tcBorders>
              <w:top w:val="nil"/>
              <w:left w:val="nil"/>
              <w:bottom w:val="nil"/>
              <w:right w:val="nil"/>
            </w:tcBorders>
            <w:shd w:val="clear" w:color="auto" w:fill="auto"/>
            <w:noWrap/>
            <w:vAlign w:val="bottom"/>
            <w:hideMark/>
          </w:tcPr>
          <w:p w14:paraId="574CE0B5" w14:textId="77777777" w:rsidR="00ED02A4" w:rsidRPr="007256AA" w:rsidRDefault="00ED02A4" w:rsidP="00367A87">
            <w:pPr>
              <w:spacing w:after="0" w:line="240" w:lineRule="auto"/>
              <w:jc w:val="center"/>
              <w:rPr>
                <w:rFonts w:ascii="Calibri" w:eastAsia="Times New Roman" w:hAnsi="Calibri" w:cs="Calibri"/>
                <w:color w:val="000000"/>
                <w:lang w:eastAsia="en-IE"/>
              </w:rPr>
            </w:pPr>
            <w:r w:rsidRPr="007256AA">
              <w:rPr>
                <w:rFonts w:ascii="Calibri" w:eastAsia="Times New Roman" w:hAnsi="Calibri" w:cs="Calibri"/>
                <w:color w:val="000000"/>
                <w:lang w:eastAsia="en-IE"/>
              </w:rPr>
              <w:t>Pre 2000</w:t>
            </w:r>
          </w:p>
        </w:tc>
        <w:tc>
          <w:tcPr>
            <w:tcW w:w="2964" w:type="dxa"/>
            <w:gridSpan w:val="3"/>
            <w:tcBorders>
              <w:top w:val="nil"/>
              <w:left w:val="nil"/>
              <w:bottom w:val="nil"/>
              <w:right w:val="single" w:sz="4" w:space="0" w:color="000000"/>
            </w:tcBorders>
            <w:shd w:val="clear" w:color="auto" w:fill="auto"/>
            <w:noWrap/>
            <w:vAlign w:val="bottom"/>
            <w:hideMark/>
          </w:tcPr>
          <w:p w14:paraId="3B5558C5" w14:textId="77777777" w:rsidR="00ED02A4" w:rsidRPr="007256AA" w:rsidRDefault="00ED02A4" w:rsidP="00367A87">
            <w:pPr>
              <w:spacing w:after="0" w:line="240" w:lineRule="auto"/>
              <w:jc w:val="center"/>
              <w:rPr>
                <w:rFonts w:ascii="Calibri" w:eastAsia="Times New Roman" w:hAnsi="Calibri" w:cs="Calibri"/>
                <w:color w:val="000000"/>
                <w:lang w:eastAsia="en-IE"/>
              </w:rPr>
            </w:pPr>
            <w:r w:rsidRPr="007256AA">
              <w:rPr>
                <w:rFonts w:ascii="Calibri" w:eastAsia="Times New Roman" w:hAnsi="Calibri" w:cs="Calibri"/>
                <w:color w:val="000000"/>
                <w:lang w:eastAsia="en-IE"/>
              </w:rPr>
              <w:t>Post 2000</w:t>
            </w:r>
          </w:p>
        </w:tc>
      </w:tr>
      <w:tr w:rsidR="00ED02A4" w:rsidRPr="007256AA" w14:paraId="278C080B"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025E906D"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c>
          <w:tcPr>
            <w:tcW w:w="1177" w:type="dxa"/>
            <w:tcBorders>
              <w:top w:val="nil"/>
              <w:left w:val="nil"/>
              <w:bottom w:val="nil"/>
              <w:right w:val="nil"/>
            </w:tcBorders>
            <w:shd w:val="clear" w:color="auto" w:fill="auto"/>
            <w:noWrap/>
            <w:vAlign w:val="bottom"/>
            <w:hideMark/>
          </w:tcPr>
          <w:p w14:paraId="00D74958"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1059" w:type="dxa"/>
            <w:tcBorders>
              <w:top w:val="nil"/>
              <w:left w:val="nil"/>
              <w:bottom w:val="nil"/>
              <w:right w:val="nil"/>
            </w:tcBorders>
            <w:shd w:val="clear" w:color="auto" w:fill="auto"/>
            <w:noWrap/>
            <w:vAlign w:val="center"/>
            <w:hideMark/>
          </w:tcPr>
          <w:p w14:paraId="5E255ABC" w14:textId="77777777" w:rsidR="00ED02A4" w:rsidRPr="007256AA" w:rsidRDefault="00ED02A4" w:rsidP="00367A87">
            <w:pPr>
              <w:spacing w:after="0" w:line="240" w:lineRule="auto"/>
              <w:jc w:val="center"/>
              <w:rPr>
                <w:rFonts w:ascii="Calibri" w:eastAsia="Times New Roman" w:hAnsi="Calibri" w:cs="Calibri"/>
                <w:color w:val="000000"/>
                <w:lang w:eastAsia="en-IE"/>
              </w:rPr>
            </w:pPr>
          </w:p>
        </w:tc>
        <w:tc>
          <w:tcPr>
            <w:tcW w:w="936" w:type="dxa"/>
            <w:tcBorders>
              <w:top w:val="nil"/>
              <w:left w:val="nil"/>
              <w:bottom w:val="nil"/>
              <w:right w:val="nil"/>
            </w:tcBorders>
            <w:shd w:val="clear" w:color="auto" w:fill="auto"/>
            <w:noWrap/>
            <w:vAlign w:val="center"/>
            <w:hideMark/>
          </w:tcPr>
          <w:p w14:paraId="5A16BDC0" w14:textId="77777777" w:rsidR="00ED02A4" w:rsidRPr="007256AA" w:rsidRDefault="00ED02A4" w:rsidP="00367A87">
            <w:pPr>
              <w:spacing w:after="0" w:line="240" w:lineRule="auto"/>
              <w:jc w:val="center"/>
              <w:rPr>
                <w:rFonts w:ascii="Calibri" w:eastAsia="Times New Roman" w:hAnsi="Calibri" w:cs="Calibri"/>
                <w:color w:val="000000"/>
                <w:lang w:eastAsia="en-IE"/>
              </w:rPr>
            </w:pPr>
          </w:p>
        </w:tc>
        <w:tc>
          <w:tcPr>
            <w:tcW w:w="935" w:type="dxa"/>
            <w:tcBorders>
              <w:top w:val="nil"/>
              <w:left w:val="nil"/>
              <w:bottom w:val="nil"/>
              <w:right w:val="nil"/>
            </w:tcBorders>
            <w:shd w:val="clear" w:color="auto" w:fill="auto"/>
            <w:noWrap/>
            <w:vAlign w:val="bottom"/>
            <w:hideMark/>
          </w:tcPr>
          <w:p w14:paraId="357A4538"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Equity</w:t>
            </w:r>
          </w:p>
        </w:tc>
        <w:tc>
          <w:tcPr>
            <w:tcW w:w="935" w:type="dxa"/>
            <w:tcBorders>
              <w:top w:val="nil"/>
              <w:left w:val="nil"/>
              <w:bottom w:val="nil"/>
              <w:right w:val="nil"/>
            </w:tcBorders>
            <w:shd w:val="clear" w:color="auto" w:fill="auto"/>
            <w:noWrap/>
            <w:vAlign w:val="bottom"/>
            <w:hideMark/>
          </w:tcPr>
          <w:p w14:paraId="2EBE4059"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Bond</w:t>
            </w:r>
          </w:p>
        </w:tc>
        <w:tc>
          <w:tcPr>
            <w:tcW w:w="935" w:type="dxa"/>
            <w:tcBorders>
              <w:top w:val="nil"/>
              <w:left w:val="nil"/>
              <w:bottom w:val="nil"/>
              <w:right w:val="nil"/>
            </w:tcBorders>
            <w:shd w:val="clear" w:color="auto" w:fill="auto"/>
            <w:noWrap/>
            <w:vAlign w:val="bottom"/>
            <w:hideMark/>
          </w:tcPr>
          <w:p w14:paraId="53B7695A"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REIT</w:t>
            </w:r>
          </w:p>
        </w:tc>
        <w:tc>
          <w:tcPr>
            <w:tcW w:w="935" w:type="dxa"/>
            <w:tcBorders>
              <w:top w:val="nil"/>
              <w:left w:val="nil"/>
              <w:bottom w:val="nil"/>
              <w:right w:val="nil"/>
            </w:tcBorders>
            <w:shd w:val="clear" w:color="auto" w:fill="auto"/>
            <w:noWrap/>
            <w:vAlign w:val="bottom"/>
            <w:hideMark/>
          </w:tcPr>
          <w:p w14:paraId="3E51856D"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Equity</w:t>
            </w:r>
          </w:p>
        </w:tc>
        <w:tc>
          <w:tcPr>
            <w:tcW w:w="1087" w:type="dxa"/>
            <w:tcBorders>
              <w:top w:val="nil"/>
              <w:left w:val="nil"/>
              <w:bottom w:val="nil"/>
              <w:right w:val="nil"/>
            </w:tcBorders>
            <w:shd w:val="clear" w:color="auto" w:fill="auto"/>
            <w:noWrap/>
            <w:vAlign w:val="bottom"/>
            <w:hideMark/>
          </w:tcPr>
          <w:p w14:paraId="5878775F"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Bond</w:t>
            </w:r>
          </w:p>
        </w:tc>
        <w:tc>
          <w:tcPr>
            <w:tcW w:w="942" w:type="dxa"/>
            <w:tcBorders>
              <w:top w:val="nil"/>
              <w:left w:val="nil"/>
              <w:bottom w:val="nil"/>
              <w:right w:val="single" w:sz="4" w:space="0" w:color="auto"/>
            </w:tcBorders>
            <w:shd w:val="clear" w:color="auto" w:fill="auto"/>
            <w:noWrap/>
            <w:vAlign w:val="bottom"/>
            <w:hideMark/>
          </w:tcPr>
          <w:p w14:paraId="20884A03"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REIT</w:t>
            </w:r>
          </w:p>
        </w:tc>
      </w:tr>
      <w:tr w:rsidR="00ED02A4" w:rsidRPr="007256AA" w14:paraId="5D454E61"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421D5541"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TED</w:t>
            </w:r>
          </w:p>
        </w:tc>
        <w:tc>
          <w:tcPr>
            <w:tcW w:w="1177" w:type="dxa"/>
            <w:tcBorders>
              <w:top w:val="nil"/>
              <w:left w:val="nil"/>
              <w:bottom w:val="nil"/>
              <w:right w:val="nil"/>
            </w:tcBorders>
            <w:shd w:val="clear" w:color="auto" w:fill="auto"/>
            <w:noWrap/>
            <w:vAlign w:val="bottom"/>
            <w:hideMark/>
          </w:tcPr>
          <w:p w14:paraId="7A5C6E7C"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-9.281</w:t>
            </w:r>
          </w:p>
        </w:tc>
        <w:tc>
          <w:tcPr>
            <w:tcW w:w="1059" w:type="dxa"/>
            <w:tcBorders>
              <w:top w:val="nil"/>
              <w:left w:val="nil"/>
              <w:bottom w:val="nil"/>
              <w:right w:val="nil"/>
            </w:tcBorders>
            <w:shd w:val="clear" w:color="auto" w:fill="auto"/>
            <w:noWrap/>
            <w:vAlign w:val="bottom"/>
            <w:hideMark/>
          </w:tcPr>
          <w:p w14:paraId="47077D0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-17.487</w:t>
            </w:r>
          </w:p>
        </w:tc>
        <w:tc>
          <w:tcPr>
            <w:tcW w:w="936" w:type="dxa"/>
            <w:tcBorders>
              <w:top w:val="nil"/>
              <w:left w:val="nil"/>
              <w:bottom w:val="nil"/>
              <w:right w:val="nil"/>
            </w:tcBorders>
            <w:shd w:val="clear" w:color="auto" w:fill="auto"/>
            <w:noWrap/>
            <w:vAlign w:val="bottom"/>
            <w:hideMark/>
          </w:tcPr>
          <w:p w14:paraId="0553C09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-5.679</w:t>
            </w:r>
          </w:p>
        </w:tc>
        <w:tc>
          <w:tcPr>
            <w:tcW w:w="935" w:type="dxa"/>
            <w:tcBorders>
              <w:top w:val="nil"/>
              <w:left w:val="nil"/>
              <w:bottom w:val="nil"/>
              <w:right w:val="nil"/>
            </w:tcBorders>
            <w:shd w:val="clear" w:color="auto" w:fill="auto"/>
            <w:noWrap/>
            <w:vAlign w:val="bottom"/>
            <w:hideMark/>
          </w:tcPr>
          <w:p w14:paraId="790F6AC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-33.819</w:t>
            </w:r>
          </w:p>
        </w:tc>
        <w:tc>
          <w:tcPr>
            <w:tcW w:w="935" w:type="dxa"/>
            <w:tcBorders>
              <w:top w:val="nil"/>
              <w:left w:val="nil"/>
              <w:bottom w:val="nil"/>
              <w:right w:val="nil"/>
            </w:tcBorders>
            <w:shd w:val="clear" w:color="auto" w:fill="auto"/>
            <w:noWrap/>
            <w:vAlign w:val="bottom"/>
            <w:hideMark/>
          </w:tcPr>
          <w:p w14:paraId="5F7FD737"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21.682</w:t>
            </w:r>
          </w:p>
        </w:tc>
        <w:tc>
          <w:tcPr>
            <w:tcW w:w="935" w:type="dxa"/>
            <w:tcBorders>
              <w:top w:val="nil"/>
              <w:left w:val="nil"/>
              <w:bottom w:val="nil"/>
              <w:right w:val="nil"/>
            </w:tcBorders>
            <w:shd w:val="clear" w:color="auto" w:fill="auto"/>
            <w:noWrap/>
            <w:vAlign w:val="bottom"/>
            <w:hideMark/>
          </w:tcPr>
          <w:p w14:paraId="4670361E"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30.326</w:t>
            </w:r>
          </w:p>
        </w:tc>
        <w:tc>
          <w:tcPr>
            <w:tcW w:w="935" w:type="dxa"/>
            <w:tcBorders>
              <w:top w:val="nil"/>
              <w:left w:val="nil"/>
              <w:bottom w:val="nil"/>
              <w:right w:val="nil"/>
            </w:tcBorders>
            <w:shd w:val="clear" w:color="auto" w:fill="auto"/>
            <w:noWrap/>
            <w:vAlign w:val="bottom"/>
            <w:hideMark/>
          </w:tcPr>
          <w:p w14:paraId="59D8EE4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-12.068</w:t>
            </w:r>
          </w:p>
        </w:tc>
        <w:tc>
          <w:tcPr>
            <w:tcW w:w="1087" w:type="dxa"/>
            <w:tcBorders>
              <w:top w:val="nil"/>
              <w:left w:val="nil"/>
              <w:bottom w:val="nil"/>
              <w:right w:val="nil"/>
            </w:tcBorders>
            <w:shd w:val="clear" w:color="auto" w:fill="auto"/>
            <w:noWrap/>
            <w:vAlign w:val="bottom"/>
            <w:hideMark/>
          </w:tcPr>
          <w:p w14:paraId="7239B0F1"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-28.801</w:t>
            </w:r>
          </w:p>
        </w:tc>
        <w:tc>
          <w:tcPr>
            <w:tcW w:w="942" w:type="dxa"/>
            <w:tcBorders>
              <w:top w:val="nil"/>
              <w:left w:val="nil"/>
              <w:bottom w:val="nil"/>
              <w:right w:val="single" w:sz="4" w:space="0" w:color="auto"/>
            </w:tcBorders>
            <w:shd w:val="clear" w:color="auto" w:fill="auto"/>
            <w:noWrap/>
            <w:vAlign w:val="bottom"/>
            <w:hideMark/>
          </w:tcPr>
          <w:p w14:paraId="2A4612A0"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-19.693</w:t>
            </w:r>
          </w:p>
        </w:tc>
      </w:tr>
      <w:tr w:rsidR="00ED02A4" w:rsidRPr="007256AA" w14:paraId="0499A4F4"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46DCB94D"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bottom"/>
            <w:hideMark/>
          </w:tcPr>
          <w:p w14:paraId="1CBDA58D"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0.005</w:t>
            </w:r>
          </w:p>
        </w:tc>
        <w:tc>
          <w:tcPr>
            <w:tcW w:w="1059" w:type="dxa"/>
            <w:tcBorders>
              <w:top w:val="nil"/>
              <w:left w:val="nil"/>
              <w:bottom w:val="nil"/>
              <w:right w:val="nil"/>
            </w:tcBorders>
            <w:shd w:val="clear" w:color="auto" w:fill="auto"/>
            <w:noWrap/>
            <w:vAlign w:val="bottom"/>
            <w:hideMark/>
          </w:tcPr>
          <w:p w14:paraId="3284DF40"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36" w:type="dxa"/>
            <w:tcBorders>
              <w:top w:val="nil"/>
              <w:left w:val="nil"/>
              <w:bottom w:val="nil"/>
              <w:right w:val="nil"/>
            </w:tcBorders>
            <w:shd w:val="clear" w:color="auto" w:fill="auto"/>
            <w:noWrap/>
            <w:vAlign w:val="bottom"/>
            <w:hideMark/>
          </w:tcPr>
          <w:p w14:paraId="2E75699A"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0.031</w:t>
            </w:r>
          </w:p>
        </w:tc>
        <w:tc>
          <w:tcPr>
            <w:tcW w:w="935" w:type="dxa"/>
            <w:tcBorders>
              <w:top w:val="nil"/>
              <w:left w:val="nil"/>
              <w:bottom w:val="nil"/>
              <w:right w:val="nil"/>
            </w:tcBorders>
            <w:shd w:val="clear" w:color="auto" w:fill="auto"/>
            <w:noWrap/>
            <w:vAlign w:val="bottom"/>
            <w:hideMark/>
          </w:tcPr>
          <w:p w14:paraId="6960FA21"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0.001</w:t>
            </w:r>
          </w:p>
        </w:tc>
        <w:tc>
          <w:tcPr>
            <w:tcW w:w="935" w:type="dxa"/>
            <w:tcBorders>
              <w:top w:val="nil"/>
              <w:left w:val="nil"/>
              <w:bottom w:val="nil"/>
              <w:right w:val="nil"/>
            </w:tcBorders>
            <w:shd w:val="clear" w:color="auto" w:fill="auto"/>
            <w:noWrap/>
            <w:vAlign w:val="bottom"/>
            <w:hideMark/>
          </w:tcPr>
          <w:p w14:paraId="4868C53D"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0.003</w:t>
            </w:r>
          </w:p>
        </w:tc>
        <w:tc>
          <w:tcPr>
            <w:tcW w:w="935" w:type="dxa"/>
            <w:tcBorders>
              <w:top w:val="nil"/>
              <w:left w:val="nil"/>
              <w:bottom w:val="nil"/>
              <w:right w:val="nil"/>
            </w:tcBorders>
            <w:shd w:val="clear" w:color="auto" w:fill="auto"/>
            <w:noWrap/>
            <w:vAlign w:val="bottom"/>
            <w:hideMark/>
          </w:tcPr>
          <w:p w14:paraId="76639BA9"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0.030</w:t>
            </w:r>
          </w:p>
        </w:tc>
        <w:tc>
          <w:tcPr>
            <w:tcW w:w="935" w:type="dxa"/>
            <w:tcBorders>
              <w:top w:val="nil"/>
              <w:left w:val="nil"/>
              <w:bottom w:val="nil"/>
              <w:right w:val="nil"/>
            </w:tcBorders>
            <w:shd w:val="clear" w:color="auto" w:fill="auto"/>
            <w:noWrap/>
            <w:vAlign w:val="bottom"/>
            <w:hideMark/>
          </w:tcPr>
          <w:p w14:paraId="66578ED0"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87" w:type="dxa"/>
            <w:tcBorders>
              <w:top w:val="nil"/>
              <w:left w:val="nil"/>
              <w:bottom w:val="nil"/>
              <w:right w:val="nil"/>
            </w:tcBorders>
            <w:shd w:val="clear" w:color="auto" w:fill="auto"/>
            <w:noWrap/>
            <w:vAlign w:val="bottom"/>
            <w:hideMark/>
          </w:tcPr>
          <w:p w14:paraId="480EBB78"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42" w:type="dxa"/>
            <w:tcBorders>
              <w:top w:val="nil"/>
              <w:left w:val="nil"/>
              <w:bottom w:val="nil"/>
              <w:right w:val="single" w:sz="4" w:space="0" w:color="auto"/>
            </w:tcBorders>
            <w:shd w:val="clear" w:color="auto" w:fill="auto"/>
            <w:noWrap/>
            <w:vAlign w:val="bottom"/>
            <w:hideMark/>
          </w:tcPr>
          <w:p w14:paraId="783AD8BC"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0.079</w:t>
            </w:r>
          </w:p>
        </w:tc>
      </w:tr>
      <w:tr w:rsidR="00ED02A4" w:rsidRPr="007256AA" w14:paraId="2C01F1C1"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1559D379"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VIX</w:t>
            </w:r>
          </w:p>
        </w:tc>
        <w:tc>
          <w:tcPr>
            <w:tcW w:w="1177" w:type="dxa"/>
            <w:tcBorders>
              <w:top w:val="nil"/>
              <w:left w:val="nil"/>
              <w:bottom w:val="nil"/>
              <w:right w:val="nil"/>
            </w:tcBorders>
            <w:shd w:val="clear" w:color="auto" w:fill="auto"/>
            <w:noWrap/>
            <w:vAlign w:val="bottom"/>
            <w:hideMark/>
          </w:tcPr>
          <w:p w14:paraId="32129097"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0.015</w:t>
            </w:r>
          </w:p>
        </w:tc>
        <w:tc>
          <w:tcPr>
            <w:tcW w:w="1059" w:type="dxa"/>
            <w:tcBorders>
              <w:top w:val="nil"/>
              <w:left w:val="nil"/>
              <w:bottom w:val="nil"/>
              <w:right w:val="nil"/>
            </w:tcBorders>
            <w:shd w:val="clear" w:color="auto" w:fill="auto"/>
            <w:noWrap/>
            <w:vAlign w:val="bottom"/>
            <w:hideMark/>
          </w:tcPr>
          <w:p w14:paraId="0D41BD36"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0.226</w:t>
            </w:r>
          </w:p>
        </w:tc>
        <w:tc>
          <w:tcPr>
            <w:tcW w:w="936" w:type="dxa"/>
            <w:tcBorders>
              <w:top w:val="nil"/>
              <w:left w:val="nil"/>
              <w:bottom w:val="nil"/>
              <w:right w:val="nil"/>
            </w:tcBorders>
            <w:shd w:val="clear" w:color="auto" w:fill="auto"/>
            <w:noWrap/>
            <w:vAlign w:val="bottom"/>
            <w:hideMark/>
          </w:tcPr>
          <w:p w14:paraId="2E04779E"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0.123</w:t>
            </w:r>
          </w:p>
        </w:tc>
        <w:tc>
          <w:tcPr>
            <w:tcW w:w="935" w:type="dxa"/>
            <w:tcBorders>
              <w:top w:val="nil"/>
              <w:left w:val="nil"/>
              <w:bottom w:val="nil"/>
              <w:right w:val="nil"/>
            </w:tcBorders>
            <w:shd w:val="clear" w:color="auto" w:fill="auto"/>
            <w:noWrap/>
            <w:vAlign w:val="bottom"/>
            <w:hideMark/>
          </w:tcPr>
          <w:p w14:paraId="7C6DA84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-0.737</w:t>
            </w:r>
          </w:p>
        </w:tc>
        <w:tc>
          <w:tcPr>
            <w:tcW w:w="935" w:type="dxa"/>
            <w:tcBorders>
              <w:top w:val="nil"/>
              <w:left w:val="nil"/>
              <w:bottom w:val="nil"/>
              <w:right w:val="nil"/>
            </w:tcBorders>
            <w:shd w:val="clear" w:color="auto" w:fill="auto"/>
            <w:noWrap/>
            <w:vAlign w:val="bottom"/>
            <w:hideMark/>
          </w:tcPr>
          <w:p w14:paraId="15DEDC9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-0.550</w:t>
            </w:r>
          </w:p>
        </w:tc>
        <w:tc>
          <w:tcPr>
            <w:tcW w:w="935" w:type="dxa"/>
            <w:tcBorders>
              <w:top w:val="nil"/>
              <w:left w:val="nil"/>
              <w:bottom w:val="nil"/>
              <w:right w:val="nil"/>
            </w:tcBorders>
            <w:shd w:val="clear" w:color="auto" w:fill="auto"/>
            <w:noWrap/>
            <w:vAlign w:val="bottom"/>
            <w:hideMark/>
          </w:tcPr>
          <w:p w14:paraId="21C0F99A"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-0.271</w:t>
            </w:r>
          </w:p>
        </w:tc>
        <w:tc>
          <w:tcPr>
            <w:tcW w:w="935" w:type="dxa"/>
            <w:tcBorders>
              <w:top w:val="nil"/>
              <w:left w:val="nil"/>
              <w:bottom w:val="nil"/>
              <w:right w:val="nil"/>
            </w:tcBorders>
            <w:shd w:val="clear" w:color="auto" w:fill="auto"/>
            <w:noWrap/>
            <w:vAlign w:val="bottom"/>
            <w:hideMark/>
          </w:tcPr>
          <w:p w14:paraId="033448A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0.221</w:t>
            </w:r>
          </w:p>
        </w:tc>
        <w:tc>
          <w:tcPr>
            <w:tcW w:w="1087" w:type="dxa"/>
            <w:tcBorders>
              <w:top w:val="nil"/>
              <w:left w:val="nil"/>
              <w:bottom w:val="nil"/>
              <w:right w:val="nil"/>
            </w:tcBorders>
            <w:shd w:val="clear" w:color="auto" w:fill="auto"/>
            <w:noWrap/>
            <w:vAlign w:val="bottom"/>
            <w:hideMark/>
          </w:tcPr>
          <w:p w14:paraId="07D357D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2.058</w:t>
            </w:r>
          </w:p>
        </w:tc>
        <w:tc>
          <w:tcPr>
            <w:tcW w:w="942" w:type="dxa"/>
            <w:tcBorders>
              <w:top w:val="nil"/>
              <w:left w:val="nil"/>
              <w:bottom w:val="nil"/>
              <w:right w:val="single" w:sz="4" w:space="0" w:color="auto"/>
            </w:tcBorders>
            <w:shd w:val="clear" w:color="auto" w:fill="auto"/>
            <w:noWrap/>
            <w:vAlign w:val="bottom"/>
            <w:hideMark/>
          </w:tcPr>
          <w:p w14:paraId="51DD25DA"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0.221</w:t>
            </w:r>
          </w:p>
        </w:tc>
      </w:tr>
      <w:tr w:rsidR="00ED02A4" w:rsidRPr="007256AA" w14:paraId="0B9C25B7"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61A4544D"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bottom"/>
            <w:hideMark/>
          </w:tcPr>
          <w:p w14:paraId="7842E9FB"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0.925</w:t>
            </w:r>
          </w:p>
        </w:tc>
        <w:tc>
          <w:tcPr>
            <w:tcW w:w="1059" w:type="dxa"/>
            <w:tcBorders>
              <w:top w:val="nil"/>
              <w:left w:val="nil"/>
              <w:bottom w:val="nil"/>
              <w:right w:val="nil"/>
            </w:tcBorders>
            <w:shd w:val="clear" w:color="auto" w:fill="auto"/>
            <w:noWrap/>
            <w:vAlign w:val="bottom"/>
            <w:hideMark/>
          </w:tcPr>
          <w:p w14:paraId="3A17447C"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0.154</w:t>
            </w:r>
          </w:p>
        </w:tc>
        <w:tc>
          <w:tcPr>
            <w:tcW w:w="936" w:type="dxa"/>
            <w:tcBorders>
              <w:top w:val="nil"/>
              <w:left w:val="nil"/>
              <w:bottom w:val="nil"/>
              <w:right w:val="nil"/>
            </w:tcBorders>
            <w:shd w:val="clear" w:color="auto" w:fill="auto"/>
            <w:noWrap/>
            <w:vAlign w:val="bottom"/>
            <w:hideMark/>
          </w:tcPr>
          <w:p w14:paraId="29AB1E18"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0.382</w:t>
            </w:r>
          </w:p>
        </w:tc>
        <w:tc>
          <w:tcPr>
            <w:tcW w:w="935" w:type="dxa"/>
            <w:tcBorders>
              <w:top w:val="nil"/>
              <w:left w:val="nil"/>
              <w:bottom w:val="nil"/>
              <w:right w:val="nil"/>
            </w:tcBorders>
            <w:shd w:val="clear" w:color="auto" w:fill="auto"/>
            <w:noWrap/>
            <w:vAlign w:val="bottom"/>
            <w:hideMark/>
          </w:tcPr>
          <w:p w14:paraId="24AE386A"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0.004</w:t>
            </w:r>
          </w:p>
        </w:tc>
        <w:tc>
          <w:tcPr>
            <w:tcW w:w="935" w:type="dxa"/>
            <w:tcBorders>
              <w:top w:val="nil"/>
              <w:left w:val="nil"/>
              <w:bottom w:val="nil"/>
              <w:right w:val="nil"/>
            </w:tcBorders>
            <w:shd w:val="clear" w:color="auto" w:fill="auto"/>
            <w:noWrap/>
            <w:vAlign w:val="bottom"/>
            <w:hideMark/>
          </w:tcPr>
          <w:p w14:paraId="4AB70F1A"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35" w:type="dxa"/>
            <w:tcBorders>
              <w:top w:val="nil"/>
              <w:left w:val="nil"/>
              <w:bottom w:val="nil"/>
              <w:right w:val="nil"/>
            </w:tcBorders>
            <w:shd w:val="clear" w:color="auto" w:fill="auto"/>
            <w:noWrap/>
            <w:vAlign w:val="bottom"/>
            <w:hideMark/>
          </w:tcPr>
          <w:p w14:paraId="6BCB350E"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0.283</w:t>
            </w:r>
          </w:p>
        </w:tc>
        <w:tc>
          <w:tcPr>
            <w:tcW w:w="935" w:type="dxa"/>
            <w:tcBorders>
              <w:top w:val="nil"/>
              <w:left w:val="nil"/>
              <w:bottom w:val="nil"/>
              <w:right w:val="nil"/>
            </w:tcBorders>
            <w:shd w:val="clear" w:color="auto" w:fill="auto"/>
            <w:noWrap/>
            <w:vAlign w:val="bottom"/>
            <w:hideMark/>
          </w:tcPr>
          <w:p w14:paraId="6DBF4767"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0.117</w:t>
            </w:r>
          </w:p>
        </w:tc>
        <w:tc>
          <w:tcPr>
            <w:tcW w:w="1087" w:type="dxa"/>
            <w:tcBorders>
              <w:top w:val="nil"/>
              <w:left w:val="nil"/>
              <w:bottom w:val="nil"/>
              <w:right w:val="nil"/>
            </w:tcBorders>
            <w:shd w:val="clear" w:color="auto" w:fill="auto"/>
            <w:noWrap/>
            <w:vAlign w:val="bottom"/>
            <w:hideMark/>
          </w:tcPr>
          <w:p w14:paraId="5E233B38"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42" w:type="dxa"/>
            <w:tcBorders>
              <w:top w:val="nil"/>
              <w:left w:val="nil"/>
              <w:bottom w:val="nil"/>
              <w:right w:val="single" w:sz="4" w:space="0" w:color="auto"/>
            </w:tcBorders>
            <w:shd w:val="clear" w:color="auto" w:fill="auto"/>
            <w:noWrap/>
            <w:vAlign w:val="bottom"/>
            <w:hideMark/>
          </w:tcPr>
          <w:p w14:paraId="08A3B67A"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0.646</w:t>
            </w:r>
          </w:p>
        </w:tc>
      </w:tr>
      <w:tr w:rsidR="00ED02A4" w:rsidRPr="007256AA" w14:paraId="677F3797"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005F8439"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SENT</w:t>
            </w:r>
          </w:p>
        </w:tc>
        <w:tc>
          <w:tcPr>
            <w:tcW w:w="1177" w:type="dxa"/>
            <w:tcBorders>
              <w:top w:val="nil"/>
              <w:left w:val="nil"/>
              <w:bottom w:val="nil"/>
              <w:right w:val="nil"/>
            </w:tcBorders>
            <w:shd w:val="clear" w:color="auto" w:fill="auto"/>
            <w:noWrap/>
            <w:vAlign w:val="bottom"/>
            <w:hideMark/>
          </w:tcPr>
          <w:p w14:paraId="6B602EA9"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0.323</w:t>
            </w:r>
          </w:p>
        </w:tc>
        <w:tc>
          <w:tcPr>
            <w:tcW w:w="1059" w:type="dxa"/>
            <w:tcBorders>
              <w:top w:val="nil"/>
              <w:left w:val="nil"/>
              <w:bottom w:val="nil"/>
              <w:right w:val="nil"/>
            </w:tcBorders>
            <w:shd w:val="clear" w:color="auto" w:fill="auto"/>
            <w:noWrap/>
            <w:vAlign w:val="bottom"/>
            <w:hideMark/>
          </w:tcPr>
          <w:p w14:paraId="63EAECD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-1.520</w:t>
            </w:r>
          </w:p>
        </w:tc>
        <w:tc>
          <w:tcPr>
            <w:tcW w:w="936" w:type="dxa"/>
            <w:tcBorders>
              <w:top w:val="nil"/>
              <w:left w:val="nil"/>
              <w:bottom w:val="nil"/>
              <w:right w:val="nil"/>
            </w:tcBorders>
            <w:shd w:val="clear" w:color="auto" w:fill="auto"/>
            <w:noWrap/>
            <w:vAlign w:val="bottom"/>
            <w:hideMark/>
          </w:tcPr>
          <w:p w14:paraId="468C443A"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-2.988</w:t>
            </w:r>
          </w:p>
        </w:tc>
        <w:tc>
          <w:tcPr>
            <w:tcW w:w="935" w:type="dxa"/>
            <w:tcBorders>
              <w:top w:val="nil"/>
              <w:left w:val="nil"/>
              <w:bottom w:val="nil"/>
              <w:right w:val="nil"/>
            </w:tcBorders>
            <w:shd w:val="clear" w:color="auto" w:fill="auto"/>
            <w:noWrap/>
            <w:vAlign w:val="bottom"/>
            <w:hideMark/>
          </w:tcPr>
          <w:p w14:paraId="0E223C4A"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-0.642</w:t>
            </w:r>
          </w:p>
        </w:tc>
        <w:tc>
          <w:tcPr>
            <w:tcW w:w="935" w:type="dxa"/>
            <w:tcBorders>
              <w:top w:val="nil"/>
              <w:left w:val="nil"/>
              <w:bottom w:val="nil"/>
              <w:right w:val="nil"/>
            </w:tcBorders>
            <w:shd w:val="clear" w:color="auto" w:fill="auto"/>
            <w:noWrap/>
            <w:vAlign w:val="bottom"/>
            <w:hideMark/>
          </w:tcPr>
          <w:p w14:paraId="526FA6D8"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3.587</w:t>
            </w:r>
          </w:p>
        </w:tc>
        <w:tc>
          <w:tcPr>
            <w:tcW w:w="935" w:type="dxa"/>
            <w:tcBorders>
              <w:top w:val="nil"/>
              <w:left w:val="nil"/>
              <w:bottom w:val="nil"/>
              <w:right w:val="nil"/>
            </w:tcBorders>
            <w:shd w:val="clear" w:color="auto" w:fill="auto"/>
            <w:noWrap/>
            <w:vAlign w:val="bottom"/>
            <w:hideMark/>
          </w:tcPr>
          <w:p w14:paraId="20607CA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5.459</w:t>
            </w:r>
          </w:p>
        </w:tc>
        <w:tc>
          <w:tcPr>
            <w:tcW w:w="935" w:type="dxa"/>
            <w:tcBorders>
              <w:top w:val="nil"/>
              <w:left w:val="nil"/>
              <w:bottom w:val="nil"/>
              <w:right w:val="nil"/>
            </w:tcBorders>
            <w:shd w:val="clear" w:color="auto" w:fill="auto"/>
            <w:noWrap/>
            <w:vAlign w:val="bottom"/>
            <w:hideMark/>
          </w:tcPr>
          <w:p w14:paraId="309A870E"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2.057</w:t>
            </w:r>
          </w:p>
        </w:tc>
        <w:tc>
          <w:tcPr>
            <w:tcW w:w="1087" w:type="dxa"/>
            <w:tcBorders>
              <w:top w:val="nil"/>
              <w:left w:val="nil"/>
              <w:bottom w:val="nil"/>
              <w:right w:val="nil"/>
            </w:tcBorders>
            <w:shd w:val="clear" w:color="auto" w:fill="auto"/>
            <w:noWrap/>
            <w:vAlign w:val="bottom"/>
            <w:hideMark/>
          </w:tcPr>
          <w:p w14:paraId="333BF802"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0.104</w:t>
            </w:r>
          </w:p>
        </w:tc>
        <w:tc>
          <w:tcPr>
            <w:tcW w:w="942" w:type="dxa"/>
            <w:tcBorders>
              <w:top w:val="nil"/>
              <w:left w:val="nil"/>
              <w:bottom w:val="nil"/>
              <w:right w:val="single" w:sz="4" w:space="0" w:color="auto"/>
            </w:tcBorders>
            <w:shd w:val="clear" w:color="auto" w:fill="auto"/>
            <w:noWrap/>
            <w:vAlign w:val="bottom"/>
            <w:hideMark/>
          </w:tcPr>
          <w:p w14:paraId="1EA628FD"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3.309</w:t>
            </w:r>
          </w:p>
        </w:tc>
      </w:tr>
      <w:tr w:rsidR="00ED02A4" w:rsidRPr="007256AA" w14:paraId="548200AD"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16849937"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bottom"/>
            <w:hideMark/>
          </w:tcPr>
          <w:p w14:paraId="77F68208"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0.753</w:t>
            </w:r>
          </w:p>
        </w:tc>
        <w:tc>
          <w:tcPr>
            <w:tcW w:w="1059" w:type="dxa"/>
            <w:tcBorders>
              <w:top w:val="nil"/>
              <w:left w:val="nil"/>
              <w:bottom w:val="nil"/>
              <w:right w:val="nil"/>
            </w:tcBorders>
            <w:shd w:val="clear" w:color="auto" w:fill="auto"/>
            <w:noWrap/>
            <w:vAlign w:val="bottom"/>
            <w:hideMark/>
          </w:tcPr>
          <w:p w14:paraId="46E76FCE"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0.351</w:t>
            </w:r>
          </w:p>
        </w:tc>
        <w:tc>
          <w:tcPr>
            <w:tcW w:w="936" w:type="dxa"/>
            <w:tcBorders>
              <w:top w:val="nil"/>
              <w:left w:val="nil"/>
              <w:bottom w:val="nil"/>
              <w:right w:val="nil"/>
            </w:tcBorders>
            <w:shd w:val="clear" w:color="auto" w:fill="auto"/>
            <w:noWrap/>
            <w:vAlign w:val="bottom"/>
            <w:hideMark/>
          </w:tcPr>
          <w:p w14:paraId="37B91844"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0.001</w:t>
            </w:r>
          </w:p>
        </w:tc>
        <w:tc>
          <w:tcPr>
            <w:tcW w:w="935" w:type="dxa"/>
            <w:tcBorders>
              <w:top w:val="nil"/>
              <w:left w:val="nil"/>
              <w:bottom w:val="nil"/>
              <w:right w:val="nil"/>
            </w:tcBorders>
            <w:shd w:val="clear" w:color="auto" w:fill="auto"/>
            <w:noWrap/>
            <w:vAlign w:val="bottom"/>
            <w:hideMark/>
          </w:tcPr>
          <w:p w14:paraId="52E4A7CB"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0.644</w:t>
            </w:r>
          </w:p>
        </w:tc>
        <w:tc>
          <w:tcPr>
            <w:tcW w:w="935" w:type="dxa"/>
            <w:tcBorders>
              <w:top w:val="nil"/>
              <w:left w:val="nil"/>
              <w:bottom w:val="nil"/>
              <w:right w:val="nil"/>
            </w:tcBorders>
            <w:shd w:val="clear" w:color="auto" w:fill="auto"/>
            <w:noWrap/>
            <w:vAlign w:val="bottom"/>
            <w:hideMark/>
          </w:tcPr>
          <w:p w14:paraId="2905EE57"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0.006</w:t>
            </w:r>
          </w:p>
        </w:tc>
        <w:tc>
          <w:tcPr>
            <w:tcW w:w="935" w:type="dxa"/>
            <w:tcBorders>
              <w:top w:val="nil"/>
              <w:left w:val="nil"/>
              <w:bottom w:val="nil"/>
              <w:right w:val="nil"/>
            </w:tcBorders>
            <w:shd w:val="clear" w:color="auto" w:fill="auto"/>
            <w:noWrap/>
            <w:vAlign w:val="bottom"/>
            <w:hideMark/>
          </w:tcPr>
          <w:p w14:paraId="6395400B"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35" w:type="dxa"/>
            <w:tcBorders>
              <w:top w:val="nil"/>
              <w:left w:val="nil"/>
              <w:bottom w:val="nil"/>
              <w:right w:val="nil"/>
            </w:tcBorders>
            <w:shd w:val="clear" w:color="auto" w:fill="auto"/>
            <w:noWrap/>
            <w:vAlign w:val="bottom"/>
            <w:hideMark/>
          </w:tcPr>
          <w:p w14:paraId="6FC6C7ED"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0.154</w:t>
            </w:r>
          </w:p>
        </w:tc>
        <w:tc>
          <w:tcPr>
            <w:tcW w:w="1087" w:type="dxa"/>
            <w:tcBorders>
              <w:top w:val="nil"/>
              <w:left w:val="nil"/>
              <w:bottom w:val="nil"/>
              <w:right w:val="nil"/>
            </w:tcBorders>
            <w:shd w:val="clear" w:color="auto" w:fill="auto"/>
            <w:noWrap/>
            <w:vAlign w:val="bottom"/>
            <w:hideMark/>
          </w:tcPr>
          <w:p w14:paraId="37F0B873"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0.970</w:t>
            </w:r>
          </w:p>
        </w:tc>
        <w:tc>
          <w:tcPr>
            <w:tcW w:w="942" w:type="dxa"/>
            <w:tcBorders>
              <w:top w:val="nil"/>
              <w:left w:val="nil"/>
              <w:bottom w:val="nil"/>
              <w:right w:val="single" w:sz="4" w:space="0" w:color="auto"/>
            </w:tcBorders>
            <w:shd w:val="clear" w:color="auto" w:fill="auto"/>
            <w:noWrap/>
            <w:vAlign w:val="bottom"/>
            <w:hideMark/>
          </w:tcPr>
          <w:p w14:paraId="28E0D617"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0.487</w:t>
            </w:r>
          </w:p>
        </w:tc>
      </w:tr>
      <w:tr w:rsidR="00ED02A4" w:rsidRPr="007256AA" w14:paraId="2D3DCB49"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1A60E243"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FEDFUNDS</w:t>
            </w:r>
          </w:p>
        </w:tc>
        <w:tc>
          <w:tcPr>
            <w:tcW w:w="1177" w:type="dxa"/>
            <w:tcBorders>
              <w:top w:val="nil"/>
              <w:left w:val="nil"/>
              <w:bottom w:val="nil"/>
              <w:right w:val="nil"/>
            </w:tcBorders>
            <w:shd w:val="clear" w:color="auto" w:fill="auto"/>
            <w:noWrap/>
            <w:vAlign w:val="bottom"/>
            <w:hideMark/>
          </w:tcPr>
          <w:p w14:paraId="11D4F00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1.210</w:t>
            </w:r>
          </w:p>
        </w:tc>
        <w:tc>
          <w:tcPr>
            <w:tcW w:w="1059" w:type="dxa"/>
            <w:tcBorders>
              <w:top w:val="nil"/>
              <w:left w:val="nil"/>
              <w:bottom w:val="nil"/>
              <w:right w:val="nil"/>
            </w:tcBorders>
            <w:shd w:val="clear" w:color="auto" w:fill="auto"/>
            <w:noWrap/>
            <w:vAlign w:val="bottom"/>
            <w:hideMark/>
          </w:tcPr>
          <w:p w14:paraId="3108B4D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0.565</w:t>
            </w:r>
          </w:p>
        </w:tc>
        <w:tc>
          <w:tcPr>
            <w:tcW w:w="936" w:type="dxa"/>
            <w:tcBorders>
              <w:top w:val="nil"/>
              <w:left w:val="nil"/>
              <w:bottom w:val="nil"/>
              <w:right w:val="nil"/>
            </w:tcBorders>
            <w:shd w:val="clear" w:color="auto" w:fill="auto"/>
            <w:noWrap/>
            <w:vAlign w:val="bottom"/>
            <w:hideMark/>
          </w:tcPr>
          <w:p w14:paraId="360DE7A8"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1.109</w:t>
            </w:r>
          </w:p>
        </w:tc>
        <w:tc>
          <w:tcPr>
            <w:tcW w:w="935" w:type="dxa"/>
            <w:tcBorders>
              <w:top w:val="nil"/>
              <w:left w:val="nil"/>
              <w:bottom w:val="nil"/>
              <w:right w:val="nil"/>
            </w:tcBorders>
            <w:shd w:val="clear" w:color="auto" w:fill="auto"/>
            <w:noWrap/>
            <w:vAlign w:val="bottom"/>
            <w:hideMark/>
          </w:tcPr>
          <w:p w14:paraId="4E7CEC2D"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4.144</w:t>
            </w:r>
          </w:p>
        </w:tc>
        <w:tc>
          <w:tcPr>
            <w:tcW w:w="935" w:type="dxa"/>
            <w:tcBorders>
              <w:top w:val="nil"/>
              <w:left w:val="nil"/>
              <w:bottom w:val="nil"/>
              <w:right w:val="nil"/>
            </w:tcBorders>
            <w:shd w:val="clear" w:color="auto" w:fill="auto"/>
            <w:noWrap/>
            <w:vAlign w:val="bottom"/>
            <w:hideMark/>
          </w:tcPr>
          <w:p w14:paraId="297D538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0.831</w:t>
            </w:r>
          </w:p>
        </w:tc>
        <w:tc>
          <w:tcPr>
            <w:tcW w:w="935" w:type="dxa"/>
            <w:tcBorders>
              <w:top w:val="nil"/>
              <w:left w:val="nil"/>
              <w:bottom w:val="nil"/>
              <w:right w:val="nil"/>
            </w:tcBorders>
            <w:shd w:val="clear" w:color="auto" w:fill="auto"/>
            <w:noWrap/>
            <w:vAlign w:val="bottom"/>
            <w:hideMark/>
          </w:tcPr>
          <w:p w14:paraId="47F9A846"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-0.507</w:t>
            </w:r>
          </w:p>
        </w:tc>
        <w:tc>
          <w:tcPr>
            <w:tcW w:w="935" w:type="dxa"/>
            <w:tcBorders>
              <w:top w:val="nil"/>
              <w:left w:val="nil"/>
              <w:bottom w:val="nil"/>
              <w:right w:val="nil"/>
            </w:tcBorders>
            <w:shd w:val="clear" w:color="auto" w:fill="auto"/>
            <w:noWrap/>
            <w:vAlign w:val="bottom"/>
            <w:hideMark/>
          </w:tcPr>
          <w:p w14:paraId="4FB95D8B"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-0.304</w:t>
            </w:r>
          </w:p>
        </w:tc>
        <w:tc>
          <w:tcPr>
            <w:tcW w:w="1087" w:type="dxa"/>
            <w:tcBorders>
              <w:top w:val="nil"/>
              <w:left w:val="nil"/>
              <w:bottom w:val="nil"/>
              <w:right w:val="nil"/>
            </w:tcBorders>
            <w:shd w:val="clear" w:color="auto" w:fill="auto"/>
            <w:noWrap/>
            <w:vAlign w:val="bottom"/>
            <w:hideMark/>
          </w:tcPr>
          <w:p w14:paraId="15468EB7"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3.531</w:t>
            </w:r>
          </w:p>
        </w:tc>
        <w:tc>
          <w:tcPr>
            <w:tcW w:w="942" w:type="dxa"/>
            <w:tcBorders>
              <w:top w:val="nil"/>
              <w:left w:val="nil"/>
              <w:bottom w:val="nil"/>
              <w:right w:val="single" w:sz="4" w:space="0" w:color="auto"/>
            </w:tcBorders>
            <w:shd w:val="clear" w:color="auto" w:fill="auto"/>
            <w:noWrap/>
            <w:vAlign w:val="bottom"/>
            <w:hideMark/>
          </w:tcPr>
          <w:p w14:paraId="4EDDC790"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-1.761</w:t>
            </w:r>
          </w:p>
        </w:tc>
      </w:tr>
      <w:tr w:rsidR="00ED02A4" w:rsidRPr="007256AA" w14:paraId="4E3829EC"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36AC7F8B"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bottom"/>
            <w:hideMark/>
          </w:tcPr>
          <w:p w14:paraId="12A5D10A"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0.020</w:t>
            </w:r>
          </w:p>
        </w:tc>
        <w:tc>
          <w:tcPr>
            <w:tcW w:w="1059" w:type="dxa"/>
            <w:tcBorders>
              <w:top w:val="nil"/>
              <w:left w:val="nil"/>
              <w:bottom w:val="nil"/>
              <w:right w:val="nil"/>
            </w:tcBorders>
            <w:shd w:val="clear" w:color="auto" w:fill="auto"/>
            <w:noWrap/>
            <w:vAlign w:val="bottom"/>
            <w:hideMark/>
          </w:tcPr>
          <w:p w14:paraId="7E51226E"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0.435</w:t>
            </w:r>
          </w:p>
        </w:tc>
        <w:tc>
          <w:tcPr>
            <w:tcW w:w="936" w:type="dxa"/>
            <w:tcBorders>
              <w:top w:val="nil"/>
              <w:left w:val="nil"/>
              <w:bottom w:val="nil"/>
              <w:right w:val="nil"/>
            </w:tcBorders>
            <w:shd w:val="clear" w:color="auto" w:fill="auto"/>
            <w:noWrap/>
            <w:vAlign w:val="bottom"/>
            <w:hideMark/>
          </w:tcPr>
          <w:p w14:paraId="09A2BFD7"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0.027</w:t>
            </w:r>
          </w:p>
        </w:tc>
        <w:tc>
          <w:tcPr>
            <w:tcW w:w="935" w:type="dxa"/>
            <w:tcBorders>
              <w:top w:val="nil"/>
              <w:left w:val="nil"/>
              <w:bottom w:val="nil"/>
              <w:right w:val="nil"/>
            </w:tcBorders>
            <w:shd w:val="clear" w:color="auto" w:fill="auto"/>
            <w:noWrap/>
            <w:vAlign w:val="bottom"/>
            <w:hideMark/>
          </w:tcPr>
          <w:p w14:paraId="43A6418B"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35" w:type="dxa"/>
            <w:tcBorders>
              <w:top w:val="nil"/>
              <w:left w:val="nil"/>
              <w:bottom w:val="nil"/>
              <w:right w:val="nil"/>
            </w:tcBorders>
            <w:shd w:val="clear" w:color="auto" w:fill="auto"/>
            <w:noWrap/>
            <w:vAlign w:val="bottom"/>
            <w:hideMark/>
          </w:tcPr>
          <w:p w14:paraId="5C2D524D"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0.061</w:t>
            </w:r>
          </w:p>
        </w:tc>
        <w:tc>
          <w:tcPr>
            <w:tcW w:w="935" w:type="dxa"/>
            <w:tcBorders>
              <w:top w:val="nil"/>
              <w:left w:val="nil"/>
              <w:bottom w:val="nil"/>
              <w:right w:val="nil"/>
            </w:tcBorders>
            <w:shd w:val="clear" w:color="auto" w:fill="auto"/>
            <w:noWrap/>
            <w:vAlign w:val="bottom"/>
            <w:hideMark/>
          </w:tcPr>
          <w:p w14:paraId="51BB47E3"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0.521</w:t>
            </w:r>
          </w:p>
        </w:tc>
        <w:tc>
          <w:tcPr>
            <w:tcW w:w="935" w:type="dxa"/>
            <w:tcBorders>
              <w:top w:val="nil"/>
              <w:left w:val="nil"/>
              <w:bottom w:val="nil"/>
              <w:right w:val="nil"/>
            </w:tcBorders>
            <w:shd w:val="clear" w:color="auto" w:fill="auto"/>
            <w:noWrap/>
            <w:vAlign w:val="bottom"/>
            <w:hideMark/>
          </w:tcPr>
          <w:p w14:paraId="18C1A93B"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0.467</w:t>
            </w:r>
          </w:p>
        </w:tc>
        <w:tc>
          <w:tcPr>
            <w:tcW w:w="1087" w:type="dxa"/>
            <w:tcBorders>
              <w:top w:val="nil"/>
              <w:left w:val="nil"/>
              <w:bottom w:val="nil"/>
              <w:right w:val="nil"/>
            </w:tcBorders>
            <w:shd w:val="clear" w:color="auto" w:fill="auto"/>
            <w:noWrap/>
            <w:vAlign w:val="bottom"/>
            <w:hideMark/>
          </w:tcPr>
          <w:p w14:paraId="58860723"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42" w:type="dxa"/>
            <w:tcBorders>
              <w:top w:val="nil"/>
              <w:left w:val="nil"/>
              <w:bottom w:val="nil"/>
              <w:right w:val="single" w:sz="4" w:space="0" w:color="auto"/>
            </w:tcBorders>
            <w:shd w:val="clear" w:color="auto" w:fill="auto"/>
            <w:noWrap/>
            <w:vAlign w:val="bottom"/>
            <w:hideMark/>
          </w:tcPr>
          <w:p w14:paraId="28CCA73A"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0.031</w:t>
            </w:r>
          </w:p>
        </w:tc>
      </w:tr>
      <w:tr w:rsidR="00ED02A4" w:rsidRPr="007256AA" w14:paraId="2C09F028"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5BAD1202"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ERM</w:t>
            </w:r>
          </w:p>
        </w:tc>
        <w:tc>
          <w:tcPr>
            <w:tcW w:w="1177" w:type="dxa"/>
            <w:tcBorders>
              <w:top w:val="nil"/>
              <w:left w:val="nil"/>
              <w:bottom w:val="nil"/>
              <w:right w:val="nil"/>
            </w:tcBorders>
            <w:shd w:val="clear" w:color="auto" w:fill="auto"/>
            <w:noWrap/>
            <w:vAlign w:val="bottom"/>
            <w:hideMark/>
          </w:tcPr>
          <w:p w14:paraId="1998B750"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-18.613</w:t>
            </w:r>
          </w:p>
        </w:tc>
        <w:tc>
          <w:tcPr>
            <w:tcW w:w="1059" w:type="dxa"/>
            <w:tcBorders>
              <w:top w:val="nil"/>
              <w:left w:val="nil"/>
              <w:bottom w:val="nil"/>
              <w:right w:val="nil"/>
            </w:tcBorders>
            <w:shd w:val="clear" w:color="auto" w:fill="auto"/>
            <w:noWrap/>
            <w:vAlign w:val="bottom"/>
            <w:hideMark/>
          </w:tcPr>
          <w:p w14:paraId="12BD30B6"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-5.402</w:t>
            </w:r>
          </w:p>
        </w:tc>
        <w:tc>
          <w:tcPr>
            <w:tcW w:w="936" w:type="dxa"/>
            <w:tcBorders>
              <w:top w:val="nil"/>
              <w:left w:val="nil"/>
              <w:bottom w:val="nil"/>
              <w:right w:val="nil"/>
            </w:tcBorders>
            <w:shd w:val="clear" w:color="auto" w:fill="auto"/>
            <w:noWrap/>
            <w:vAlign w:val="bottom"/>
            <w:hideMark/>
          </w:tcPr>
          <w:p w14:paraId="7F0275E1"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11.975</w:t>
            </w:r>
          </w:p>
        </w:tc>
        <w:tc>
          <w:tcPr>
            <w:tcW w:w="935" w:type="dxa"/>
            <w:tcBorders>
              <w:top w:val="nil"/>
              <w:left w:val="nil"/>
              <w:bottom w:val="nil"/>
              <w:right w:val="nil"/>
            </w:tcBorders>
            <w:shd w:val="clear" w:color="auto" w:fill="auto"/>
            <w:noWrap/>
            <w:vAlign w:val="bottom"/>
            <w:hideMark/>
          </w:tcPr>
          <w:p w14:paraId="1C7128A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-13.569</w:t>
            </w:r>
          </w:p>
        </w:tc>
        <w:tc>
          <w:tcPr>
            <w:tcW w:w="935" w:type="dxa"/>
            <w:tcBorders>
              <w:top w:val="nil"/>
              <w:left w:val="nil"/>
              <w:bottom w:val="nil"/>
              <w:right w:val="nil"/>
            </w:tcBorders>
            <w:shd w:val="clear" w:color="auto" w:fill="auto"/>
            <w:noWrap/>
            <w:vAlign w:val="bottom"/>
            <w:hideMark/>
          </w:tcPr>
          <w:p w14:paraId="3C328349"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-22.294</w:t>
            </w:r>
          </w:p>
        </w:tc>
        <w:tc>
          <w:tcPr>
            <w:tcW w:w="935" w:type="dxa"/>
            <w:tcBorders>
              <w:top w:val="nil"/>
              <w:left w:val="nil"/>
              <w:bottom w:val="nil"/>
              <w:right w:val="nil"/>
            </w:tcBorders>
            <w:shd w:val="clear" w:color="auto" w:fill="auto"/>
            <w:noWrap/>
            <w:vAlign w:val="bottom"/>
            <w:hideMark/>
          </w:tcPr>
          <w:p w14:paraId="78E36CD2"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-11.335</w:t>
            </w:r>
          </w:p>
        </w:tc>
        <w:tc>
          <w:tcPr>
            <w:tcW w:w="935" w:type="dxa"/>
            <w:tcBorders>
              <w:top w:val="nil"/>
              <w:left w:val="nil"/>
              <w:bottom w:val="nil"/>
              <w:right w:val="nil"/>
            </w:tcBorders>
            <w:shd w:val="clear" w:color="auto" w:fill="auto"/>
            <w:noWrap/>
            <w:vAlign w:val="bottom"/>
            <w:hideMark/>
          </w:tcPr>
          <w:p w14:paraId="47D2A44F"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1087" w:type="dxa"/>
            <w:tcBorders>
              <w:top w:val="nil"/>
              <w:left w:val="nil"/>
              <w:bottom w:val="nil"/>
              <w:right w:val="nil"/>
            </w:tcBorders>
            <w:shd w:val="clear" w:color="auto" w:fill="auto"/>
            <w:noWrap/>
            <w:vAlign w:val="bottom"/>
            <w:hideMark/>
          </w:tcPr>
          <w:p w14:paraId="76F63374"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42" w:type="dxa"/>
            <w:tcBorders>
              <w:top w:val="nil"/>
              <w:left w:val="nil"/>
              <w:bottom w:val="nil"/>
              <w:right w:val="single" w:sz="4" w:space="0" w:color="auto"/>
            </w:tcBorders>
            <w:shd w:val="clear" w:color="auto" w:fill="auto"/>
            <w:noWrap/>
            <w:vAlign w:val="bottom"/>
            <w:hideMark/>
          </w:tcPr>
          <w:p w14:paraId="5E20D14A"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ED02A4" w:rsidRPr="007256AA" w14:paraId="13216E4B"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144EF411"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bottom"/>
            <w:hideMark/>
          </w:tcPr>
          <w:p w14:paraId="33F5F93B"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59" w:type="dxa"/>
            <w:tcBorders>
              <w:top w:val="nil"/>
              <w:left w:val="nil"/>
              <w:bottom w:val="nil"/>
              <w:right w:val="nil"/>
            </w:tcBorders>
            <w:shd w:val="clear" w:color="auto" w:fill="auto"/>
            <w:noWrap/>
            <w:vAlign w:val="bottom"/>
            <w:hideMark/>
          </w:tcPr>
          <w:p w14:paraId="7E672A17"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0.219</w:t>
            </w:r>
          </w:p>
        </w:tc>
        <w:tc>
          <w:tcPr>
            <w:tcW w:w="936" w:type="dxa"/>
            <w:tcBorders>
              <w:top w:val="nil"/>
              <w:left w:val="nil"/>
              <w:bottom w:val="nil"/>
              <w:right w:val="nil"/>
            </w:tcBorders>
            <w:shd w:val="clear" w:color="auto" w:fill="auto"/>
            <w:noWrap/>
            <w:vAlign w:val="bottom"/>
            <w:hideMark/>
          </w:tcPr>
          <w:p w14:paraId="56C6B681"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35" w:type="dxa"/>
            <w:tcBorders>
              <w:top w:val="nil"/>
              <w:left w:val="nil"/>
              <w:bottom w:val="nil"/>
              <w:right w:val="nil"/>
            </w:tcBorders>
            <w:shd w:val="clear" w:color="auto" w:fill="auto"/>
            <w:noWrap/>
            <w:vAlign w:val="bottom"/>
            <w:hideMark/>
          </w:tcPr>
          <w:p w14:paraId="20546056"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35" w:type="dxa"/>
            <w:tcBorders>
              <w:top w:val="nil"/>
              <w:left w:val="nil"/>
              <w:bottom w:val="nil"/>
              <w:right w:val="nil"/>
            </w:tcBorders>
            <w:shd w:val="clear" w:color="auto" w:fill="auto"/>
            <w:noWrap/>
            <w:vAlign w:val="bottom"/>
            <w:hideMark/>
          </w:tcPr>
          <w:p w14:paraId="6000852D"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35" w:type="dxa"/>
            <w:tcBorders>
              <w:top w:val="nil"/>
              <w:left w:val="nil"/>
              <w:bottom w:val="nil"/>
              <w:right w:val="nil"/>
            </w:tcBorders>
            <w:shd w:val="clear" w:color="auto" w:fill="auto"/>
            <w:noWrap/>
            <w:vAlign w:val="bottom"/>
            <w:hideMark/>
          </w:tcPr>
          <w:p w14:paraId="0F02098F"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0.002</w:t>
            </w:r>
          </w:p>
        </w:tc>
        <w:tc>
          <w:tcPr>
            <w:tcW w:w="935" w:type="dxa"/>
            <w:tcBorders>
              <w:top w:val="nil"/>
              <w:left w:val="nil"/>
              <w:bottom w:val="nil"/>
              <w:right w:val="nil"/>
            </w:tcBorders>
            <w:shd w:val="clear" w:color="auto" w:fill="auto"/>
            <w:noWrap/>
            <w:vAlign w:val="bottom"/>
            <w:hideMark/>
          </w:tcPr>
          <w:p w14:paraId="5C35703D"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1087" w:type="dxa"/>
            <w:tcBorders>
              <w:top w:val="nil"/>
              <w:left w:val="nil"/>
              <w:bottom w:val="nil"/>
              <w:right w:val="nil"/>
            </w:tcBorders>
            <w:shd w:val="clear" w:color="auto" w:fill="auto"/>
            <w:noWrap/>
            <w:vAlign w:val="bottom"/>
            <w:hideMark/>
          </w:tcPr>
          <w:p w14:paraId="091FC455"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42" w:type="dxa"/>
            <w:tcBorders>
              <w:top w:val="nil"/>
              <w:left w:val="nil"/>
              <w:bottom w:val="nil"/>
              <w:right w:val="single" w:sz="4" w:space="0" w:color="auto"/>
            </w:tcBorders>
            <w:shd w:val="clear" w:color="auto" w:fill="auto"/>
            <w:noWrap/>
            <w:vAlign w:val="bottom"/>
            <w:hideMark/>
          </w:tcPr>
          <w:p w14:paraId="22BBA123"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 </w:t>
            </w:r>
          </w:p>
        </w:tc>
      </w:tr>
      <w:tr w:rsidR="00ED02A4" w:rsidRPr="007256AA" w14:paraId="234CA8A1"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0490FE07"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Euro</w:t>
            </w:r>
          </w:p>
        </w:tc>
        <w:tc>
          <w:tcPr>
            <w:tcW w:w="1177" w:type="dxa"/>
            <w:tcBorders>
              <w:top w:val="nil"/>
              <w:left w:val="nil"/>
              <w:bottom w:val="nil"/>
              <w:right w:val="nil"/>
            </w:tcBorders>
            <w:shd w:val="clear" w:color="auto" w:fill="auto"/>
            <w:noWrap/>
            <w:vAlign w:val="bottom"/>
            <w:hideMark/>
          </w:tcPr>
          <w:p w14:paraId="496E10A9"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-11.051</w:t>
            </w:r>
          </w:p>
        </w:tc>
        <w:tc>
          <w:tcPr>
            <w:tcW w:w="1059" w:type="dxa"/>
            <w:tcBorders>
              <w:top w:val="nil"/>
              <w:left w:val="nil"/>
              <w:bottom w:val="nil"/>
              <w:right w:val="nil"/>
            </w:tcBorders>
            <w:shd w:val="clear" w:color="auto" w:fill="auto"/>
            <w:noWrap/>
            <w:vAlign w:val="bottom"/>
            <w:hideMark/>
          </w:tcPr>
          <w:p w14:paraId="1E81ED20"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-17.864</w:t>
            </w:r>
          </w:p>
        </w:tc>
        <w:tc>
          <w:tcPr>
            <w:tcW w:w="936" w:type="dxa"/>
            <w:tcBorders>
              <w:top w:val="nil"/>
              <w:left w:val="nil"/>
              <w:bottom w:val="nil"/>
              <w:right w:val="nil"/>
            </w:tcBorders>
            <w:shd w:val="clear" w:color="auto" w:fill="auto"/>
            <w:noWrap/>
            <w:vAlign w:val="bottom"/>
            <w:hideMark/>
          </w:tcPr>
          <w:p w14:paraId="7972B44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2.340</w:t>
            </w:r>
          </w:p>
        </w:tc>
        <w:tc>
          <w:tcPr>
            <w:tcW w:w="935" w:type="dxa"/>
            <w:tcBorders>
              <w:top w:val="nil"/>
              <w:left w:val="nil"/>
              <w:bottom w:val="nil"/>
              <w:right w:val="nil"/>
            </w:tcBorders>
            <w:shd w:val="clear" w:color="auto" w:fill="auto"/>
            <w:noWrap/>
            <w:vAlign w:val="bottom"/>
            <w:hideMark/>
          </w:tcPr>
          <w:p w14:paraId="407ABE7E"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35" w:type="dxa"/>
            <w:tcBorders>
              <w:top w:val="nil"/>
              <w:left w:val="nil"/>
              <w:bottom w:val="nil"/>
              <w:right w:val="nil"/>
            </w:tcBorders>
            <w:shd w:val="clear" w:color="auto" w:fill="auto"/>
            <w:noWrap/>
            <w:vAlign w:val="bottom"/>
            <w:hideMark/>
          </w:tcPr>
          <w:p w14:paraId="3FEAB22D"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35" w:type="dxa"/>
            <w:tcBorders>
              <w:top w:val="nil"/>
              <w:left w:val="nil"/>
              <w:bottom w:val="nil"/>
              <w:right w:val="nil"/>
            </w:tcBorders>
            <w:shd w:val="clear" w:color="auto" w:fill="auto"/>
            <w:noWrap/>
            <w:vAlign w:val="bottom"/>
            <w:hideMark/>
          </w:tcPr>
          <w:p w14:paraId="29C2505A" w14:textId="77777777" w:rsidR="00ED02A4" w:rsidRPr="007256AA" w:rsidRDefault="00ED02A4" w:rsidP="00367A87">
            <w:pPr>
              <w:spacing w:after="0" w:line="240" w:lineRule="auto"/>
              <w:rPr>
                <w:rFonts w:ascii="Calibri" w:eastAsia="Times New Roman" w:hAnsi="Calibri" w:cs="Calibri"/>
                <w:color w:val="000000"/>
                <w:lang w:eastAsia="en-IE"/>
              </w:rPr>
            </w:pPr>
          </w:p>
        </w:tc>
        <w:tc>
          <w:tcPr>
            <w:tcW w:w="935" w:type="dxa"/>
            <w:tcBorders>
              <w:top w:val="nil"/>
              <w:left w:val="nil"/>
              <w:bottom w:val="nil"/>
              <w:right w:val="nil"/>
            </w:tcBorders>
            <w:shd w:val="clear" w:color="auto" w:fill="auto"/>
            <w:noWrap/>
            <w:vAlign w:val="bottom"/>
            <w:hideMark/>
          </w:tcPr>
          <w:p w14:paraId="1E9144AB"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-11.653</w:t>
            </w:r>
          </w:p>
        </w:tc>
        <w:tc>
          <w:tcPr>
            <w:tcW w:w="1087" w:type="dxa"/>
            <w:tcBorders>
              <w:top w:val="nil"/>
              <w:left w:val="nil"/>
              <w:bottom w:val="nil"/>
              <w:right w:val="nil"/>
            </w:tcBorders>
            <w:shd w:val="clear" w:color="auto" w:fill="auto"/>
            <w:noWrap/>
            <w:vAlign w:val="bottom"/>
            <w:hideMark/>
          </w:tcPr>
          <w:p w14:paraId="460421E6"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-32.622</w:t>
            </w:r>
          </w:p>
        </w:tc>
        <w:tc>
          <w:tcPr>
            <w:tcW w:w="942" w:type="dxa"/>
            <w:tcBorders>
              <w:top w:val="nil"/>
              <w:left w:val="nil"/>
              <w:bottom w:val="nil"/>
              <w:right w:val="single" w:sz="4" w:space="0" w:color="auto"/>
            </w:tcBorders>
            <w:shd w:val="clear" w:color="auto" w:fill="auto"/>
            <w:noWrap/>
            <w:vAlign w:val="bottom"/>
            <w:hideMark/>
          </w:tcPr>
          <w:p w14:paraId="27953CDD"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-19.735</w:t>
            </w:r>
          </w:p>
        </w:tc>
      </w:tr>
      <w:tr w:rsidR="00ED02A4" w:rsidRPr="007256AA" w14:paraId="7FC888BD"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4EEDE0C2"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bottom"/>
            <w:hideMark/>
          </w:tcPr>
          <w:p w14:paraId="16D45C21"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0.004</w:t>
            </w:r>
          </w:p>
        </w:tc>
        <w:tc>
          <w:tcPr>
            <w:tcW w:w="1059" w:type="dxa"/>
            <w:tcBorders>
              <w:top w:val="nil"/>
              <w:left w:val="nil"/>
              <w:bottom w:val="nil"/>
              <w:right w:val="nil"/>
            </w:tcBorders>
            <w:shd w:val="clear" w:color="auto" w:fill="auto"/>
            <w:noWrap/>
            <w:vAlign w:val="bottom"/>
            <w:hideMark/>
          </w:tcPr>
          <w:p w14:paraId="6BDF15CF"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0.001</w:t>
            </w:r>
          </w:p>
        </w:tc>
        <w:tc>
          <w:tcPr>
            <w:tcW w:w="936" w:type="dxa"/>
            <w:tcBorders>
              <w:top w:val="nil"/>
              <w:left w:val="nil"/>
              <w:bottom w:val="nil"/>
              <w:right w:val="nil"/>
            </w:tcBorders>
            <w:shd w:val="clear" w:color="auto" w:fill="auto"/>
            <w:noWrap/>
            <w:vAlign w:val="bottom"/>
            <w:hideMark/>
          </w:tcPr>
          <w:p w14:paraId="68548C66"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0.369</w:t>
            </w:r>
          </w:p>
        </w:tc>
        <w:tc>
          <w:tcPr>
            <w:tcW w:w="935" w:type="dxa"/>
            <w:tcBorders>
              <w:top w:val="nil"/>
              <w:left w:val="nil"/>
              <w:bottom w:val="nil"/>
              <w:right w:val="nil"/>
            </w:tcBorders>
            <w:shd w:val="clear" w:color="auto" w:fill="auto"/>
            <w:noWrap/>
            <w:vAlign w:val="bottom"/>
            <w:hideMark/>
          </w:tcPr>
          <w:p w14:paraId="0E9B1BF8"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35" w:type="dxa"/>
            <w:tcBorders>
              <w:top w:val="nil"/>
              <w:left w:val="nil"/>
              <w:bottom w:val="nil"/>
              <w:right w:val="nil"/>
            </w:tcBorders>
            <w:shd w:val="clear" w:color="auto" w:fill="auto"/>
            <w:noWrap/>
            <w:vAlign w:val="bottom"/>
            <w:hideMark/>
          </w:tcPr>
          <w:p w14:paraId="6F8CB6AF"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35" w:type="dxa"/>
            <w:tcBorders>
              <w:top w:val="nil"/>
              <w:left w:val="nil"/>
              <w:bottom w:val="nil"/>
              <w:right w:val="nil"/>
            </w:tcBorders>
            <w:shd w:val="clear" w:color="auto" w:fill="auto"/>
            <w:noWrap/>
            <w:vAlign w:val="bottom"/>
            <w:hideMark/>
          </w:tcPr>
          <w:p w14:paraId="04493D42" w14:textId="77777777" w:rsidR="00ED02A4" w:rsidRPr="007256AA" w:rsidRDefault="00ED02A4" w:rsidP="00367A87">
            <w:pPr>
              <w:spacing w:after="0" w:line="240" w:lineRule="auto"/>
              <w:rPr>
                <w:rFonts w:ascii="Calibri" w:eastAsia="Times New Roman" w:hAnsi="Calibri" w:cs="Calibri"/>
                <w:b/>
                <w:bCs/>
                <w:i/>
                <w:iCs/>
                <w:color w:val="000000"/>
                <w:lang w:eastAsia="en-IE"/>
              </w:rPr>
            </w:pPr>
          </w:p>
        </w:tc>
        <w:tc>
          <w:tcPr>
            <w:tcW w:w="935" w:type="dxa"/>
            <w:tcBorders>
              <w:top w:val="nil"/>
              <w:left w:val="nil"/>
              <w:bottom w:val="nil"/>
              <w:right w:val="nil"/>
            </w:tcBorders>
            <w:shd w:val="clear" w:color="auto" w:fill="auto"/>
            <w:noWrap/>
            <w:vAlign w:val="bottom"/>
            <w:hideMark/>
          </w:tcPr>
          <w:p w14:paraId="08BFACD3"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0.004</w:t>
            </w:r>
          </w:p>
        </w:tc>
        <w:tc>
          <w:tcPr>
            <w:tcW w:w="1087" w:type="dxa"/>
            <w:tcBorders>
              <w:top w:val="nil"/>
              <w:left w:val="nil"/>
              <w:bottom w:val="nil"/>
              <w:right w:val="nil"/>
            </w:tcBorders>
            <w:shd w:val="clear" w:color="auto" w:fill="auto"/>
            <w:noWrap/>
            <w:vAlign w:val="bottom"/>
            <w:hideMark/>
          </w:tcPr>
          <w:p w14:paraId="3C55D5B2"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42" w:type="dxa"/>
            <w:tcBorders>
              <w:top w:val="nil"/>
              <w:left w:val="nil"/>
              <w:bottom w:val="nil"/>
              <w:right w:val="single" w:sz="4" w:space="0" w:color="auto"/>
            </w:tcBorders>
            <w:shd w:val="clear" w:color="auto" w:fill="auto"/>
            <w:noWrap/>
            <w:vAlign w:val="bottom"/>
            <w:hideMark/>
          </w:tcPr>
          <w:p w14:paraId="43F3EC99"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0.049</w:t>
            </w:r>
          </w:p>
        </w:tc>
      </w:tr>
      <w:tr w:rsidR="00ED02A4" w:rsidRPr="007256AA" w14:paraId="1F672FF7"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4B32AEB9"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ECONOMIC</w:t>
            </w:r>
          </w:p>
        </w:tc>
        <w:tc>
          <w:tcPr>
            <w:tcW w:w="1177" w:type="dxa"/>
            <w:tcBorders>
              <w:top w:val="nil"/>
              <w:left w:val="nil"/>
              <w:bottom w:val="nil"/>
              <w:right w:val="nil"/>
            </w:tcBorders>
            <w:shd w:val="clear" w:color="auto" w:fill="auto"/>
            <w:noWrap/>
            <w:vAlign w:val="bottom"/>
            <w:hideMark/>
          </w:tcPr>
          <w:p w14:paraId="7265D6FB"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-0.709</w:t>
            </w:r>
          </w:p>
        </w:tc>
        <w:tc>
          <w:tcPr>
            <w:tcW w:w="1059" w:type="dxa"/>
            <w:tcBorders>
              <w:top w:val="nil"/>
              <w:left w:val="nil"/>
              <w:bottom w:val="nil"/>
              <w:right w:val="nil"/>
            </w:tcBorders>
            <w:shd w:val="clear" w:color="auto" w:fill="auto"/>
            <w:noWrap/>
            <w:vAlign w:val="bottom"/>
            <w:hideMark/>
          </w:tcPr>
          <w:p w14:paraId="47F54AFA"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-0.589</w:t>
            </w:r>
          </w:p>
        </w:tc>
        <w:tc>
          <w:tcPr>
            <w:tcW w:w="936" w:type="dxa"/>
            <w:tcBorders>
              <w:top w:val="nil"/>
              <w:left w:val="nil"/>
              <w:bottom w:val="nil"/>
              <w:right w:val="nil"/>
            </w:tcBorders>
            <w:shd w:val="clear" w:color="auto" w:fill="auto"/>
            <w:noWrap/>
            <w:vAlign w:val="bottom"/>
            <w:hideMark/>
          </w:tcPr>
          <w:p w14:paraId="284A32F6"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0.186</w:t>
            </w:r>
          </w:p>
        </w:tc>
        <w:tc>
          <w:tcPr>
            <w:tcW w:w="935" w:type="dxa"/>
            <w:tcBorders>
              <w:top w:val="nil"/>
              <w:left w:val="nil"/>
              <w:bottom w:val="nil"/>
              <w:right w:val="nil"/>
            </w:tcBorders>
            <w:shd w:val="clear" w:color="auto" w:fill="auto"/>
            <w:noWrap/>
            <w:vAlign w:val="bottom"/>
            <w:hideMark/>
          </w:tcPr>
          <w:p w14:paraId="4191CE8D"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0.344</w:t>
            </w:r>
          </w:p>
        </w:tc>
        <w:tc>
          <w:tcPr>
            <w:tcW w:w="935" w:type="dxa"/>
            <w:tcBorders>
              <w:top w:val="nil"/>
              <w:left w:val="nil"/>
              <w:bottom w:val="nil"/>
              <w:right w:val="nil"/>
            </w:tcBorders>
            <w:shd w:val="clear" w:color="auto" w:fill="auto"/>
            <w:noWrap/>
            <w:vAlign w:val="bottom"/>
            <w:hideMark/>
          </w:tcPr>
          <w:p w14:paraId="11ADC022"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0.395</w:t>
            </w:r>
          </w:p>
        </w:tc>
        <w:tc>
          <w:tcPr>
            <w:tcW w:w="935" w:type="dxa"/>
            <w:tcBorders>
              <w:top w:val="nil"/>
              <w:left w:val="nil"/>
              <w:bottom w:val="nil"/>
              <w:right w:val="nil"/>
            </w:tcBorders>
            <w:shd w:val="clear" w:color="auto" w:fill="auto"/>
            <w:noWrap/>
            <w:vAlign w:val="bottom"/>
            <w:hideMark/>
          </w:tcPr>
          <w:p w14:paraId="51B081B6"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-0.364</w:t>
            </w:r>
          </w:p>
        </w:tc>
        <w:tc>
          <w:tcPr>
            <w:tcW w:w="935" w:type="dxa"/>
            <w:tcBorders>
              <w:top w:val="nil"/>
              <w:left w:val="nil"/>
              <w:bottom w:val="nil"/>
              <w:right w:val="nil"/>
            </w:tcBorders>
            <w:shd w:val="clear" w:color="auto" w:fill="auto"/>
            <w:noWrap/>
            <w:vAlign w:val="bottom"/>
            <w:hideMark/>
          </w:tcPr>
          <w:p w14:paraId="7B6D072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0.091</w:t>
            </w:r>
          </w:p>
        </w:tc>
        <w:tc>
          <w:tcPr>
            <w:tcW w:w="1087" w:type="dxa"/>
            <w:tcBorders>
              <w:top w:val="nil"/>
              <w:left w:val="nil"/>
              <w:bottom w:val="nil"/>
              <w:right w:val="nil"/>
            </w:tcBorders>
            <w:shd w:val="clear" w:color="auto" w:fill="auto"/>
            <w:noWrap/>
            <w:vAlign w:val="bottom"/>
            <w:hideMark/>
          </w:tcPr>
          <w:p w14:paraId="20B80317"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0.686</w:t>
            </w:r>
          </w:p>
        </w:tc>
        <w:tc>
          <w:tcPr>
            <w:tcW w:w="942" w:type="dxa"/>
            <w:tcBorders>
              <w:top w:val="nil"/>
              <w:left w:val="nil"/>
              <w:bottom w:val="nil"/>
              <w:right w:val="single" w:sz="4" w:space="0" w:color="auto"/>
            </w:tcBorders>
            <w:shd w:val="clear" w:color="auto" w:fill="auto"/>
            <w:noWrap/>
            <w:vAlign w:val="bottom"/>
            <w:hideMark/>
          </w:tcPr>
          <w:p w14:paraId="4E5B4B5E"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1.108</w:t>
            </w:r>
          </w:p>
        </w:tc>
      </w:tr>
      <w:tr w:rsidR="00ED02A4" w:rsidRPr="007256AA" w14:paraId="701ED5E9"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54A7CFE6"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bottom"/>
            <w:hideMark/>
          </w:tcPr>
          <w:p w14:paraId="44DF9B19"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0.005</w:t>
            </w:r>
          </w:p>
        </w:tc>
        <w:tc>
          <w:tcPr>
            <w:tcW w:w="1059" w:type="dxa"/>
            <w:tcBorders>
              <w:top w:val="nil"/>
              <w:left w:val="nil"/>
              <w:bottom w:val="nil"/>
              <w:right w:val="nil"/>
            </w:tcBorders>
            <w:shd w:val="clear" w:color="auto" w:fill="auto"/>
            <w:noWrap/>
            <w:vAlign w:val="bottom"/>
            <w:hideMark/>
          </w:tcPr>
          <w:p w14:paraId="514DE12D"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0.030</w:t>
            </w:r>
          </w:p>
        </w:tc>
        <w:tc>
          <w:tcPr>
            <w:tcW w:w="936" w:type="dxa"/>
            <w:tcBorders>
              <w:top w:val="nil"/>
              <w:left w:val="nil"/>
              <w:bottom w:val="nil"/>
              <w:right w:val="nil"/>
            </w:tcBorders>
            <w:shd w:val="clear" w:color="auto" w:fill="auto"/>
            <w:noWrap/>
            <w:vAlign w:val="bottom"/>
            <w:hideMark/>
          </w:tcPr>
          <w:p w14:paraId="33C4660C"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0.451</w:t>
            </w:r>
          </w:p>
        </w:tc>
        <w:tc>
          <w:tcPr>
            <w:tcW w:w="935" w:type="dxa"/>
            <w:tcBorders>
              <w:top w:val="nil"/>
              <w:left w:val="nil"/>
              <w:bottom w:val="nil"/>
              <w:right w:val="nil"/>
            </w:tcBorders>
            <w:shd w:val="clear" w:color="auto" w:fill="auto"/>
            <w:noWrap/>
            <w:vAlign w:val="bottom"/>
            <w:hideMark/>
          </w:tcPr>
          <w:p w14:paraId="108BA704"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0.040</w:t>
            </w:r>
          </w:p>
        </w:tc>
        <w:tc>
          <w:tcPr>
            <w:tcW w:w="935" w:type="dxa"/>
            <w:tcBorders>
              <w:top w:val="nil"/>
              <w:left w:val="nil"/>
              <w:bottom w:val="nil"/>
              <w:right w:val="nil"/>
            </w:tcBorders>
            <w:shd w:val="clear" w:color="auto" w:fill="auto"/>
            <w:noWrap/>
            <w:vAlign w:val="bottom"/>
            <w:hideMark/>
          </w:tcPr>
          <w:p w14:paraId="5892F0F6"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0.046</w:t>
            </w:r>
          </w:p>
        </w:tc>
        <w:tc>
          <w:tcPr>
            <w:tcW w:w="935" w:type="dxa"/>
            <w:tcBorders>
              <w:top w:val="nil"/>
              <w:left w:val="nil"/>
              <w:bottom w:val="nil"/>
              <w:right w:val="nil"/>
            </w:tcBorders>
            <w:shd w:val="clear" w:color="auto" w:fill="auto"/>
            <w:noWrap/>
            <w:vAlign w:val="bottom"/>
            <w:hideMark/>
          </w:tcPr>
          <w:p w14:paraId="1832E32A"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0.106</w:t>
            </w:r>
          </w:p>
        </w:tc>
        <w:tc>
          <w:tcPr>
            <w:tcW w:w="935" w:type="dxa"/>
            <w:tcBorders>
              <w:top w:val="nil"/>
              <w:left w:val="nil"/>
              <w:bottom w:val="nil"/>
              <w:right w:val="nil"/>
            </w:tcBorders>
            <w:shd w:val="clear" w:color="auto" w:fill="auto"/>
            <w:noWrap/>
            <w:vAlign w:val="bottom"/>
            <w:hideMark/>
          </w:tcPr>
          <w:p w14:paraId="734174E8"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0.813</w:t>
            </w:r>
          </w:p>
        </w:tc>
        <w:tc>
          <w:tcPr>
            <w:tcW w:w="1087" w:type="dxa"/>
            <w:tcBorders>
              <w:top w:val="nil"/>
              <w:left w:val="nil"/>
              <w:bottom w:val="nil"/>
              <w:right w:val="nil"/>
            </w:tcBorders>
            <w:shd w:val="clear" w:color="auto" w:fill="auto"/>
            <w:noWrap/>
            <w:vAlign w:val="bottom"/>
            <w:hideMark/>
          </w:tcPr>
          <w:p w14:paraId="312EE064"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0.299</w:t>
            </w:r>
          </w:p>
        </w:tc>
        <w:tc>
          <w:tcPr>
            <w:tcW w:w="942" w:type="dxa"/>
            <w:tcBorders>
              <w:top w:val="nil"/>
              <w:left w:val="nil"/>
              <w:bottom w:val="nil"/>
              <w:right w:val="single" w:sz="4" w:space="0" w:color="auto"/>
            </w:tcBorders>
            <w:shd w:val="clear" w:color="auto" w:fill="auto"/>
            <w:noWrap/>
            <w:vAlign w:val="bottom"/>
            <w:hideMark/>
          </w:tcPr>
          <w:p w14:paraId="6E633CC2"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0.303</w:t>
            </w:r>
          </w:p>
        </w:tc>
      </w:tr>
      <w:tr w:rsidR="00ED02A4" w:rsidRPr="007256AA" w14:paraId="6C216EED"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6A013A03"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FINANCIAL</w:t>
            </w:r>
          </w:p>
        </w:tc>
        <w:tc>
          <w:tcPr>
            <w:tcW w:w="1177" w:type="dxa"/>
            <w:tcBorders>
              <w:top w:val="nil"/>
              <w:left w:val="nil"/>
              <w:bottom w:val="nil"/>
              <w:right w:val="nil"/>
            </w:tcBorders>
            <w:shd w:val="clear" w:color="auto" w:fill="auto"/>
            <w:noWrap/>
            <w:vAlign w:val="bottom"/>
            <w:hideMark/>
          </w:tcPr>
          <w:p w14:paraId="4C1B745C"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0.003</w:t>
            </w:r>
          </w:p>
        </w:tc>
        <w:tc>
          <w:tcPr>
            <w:tcW w:w="1059" w:type="dxa"/>
            <w:tcBorders>
              <w:top w:val="nil"/>
              <w:left w:val="nil"/>
              <w:bottom w:val="nil"/>
              <w:right w:val="nil"/>
            </w:tcBorders>
            <w:shd w:val="clear" w:color="auto" w:fill="auto"/>
            <w:noWrap/>
            <w:vAlign w:val="bottom"/>
            <w:hideMark/>
          </w:tcPr>
          <w:p w14:paraId="544BBD2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0.161</w:t>
            </w:r>
          </w:p>
        </w:tc>
        <w:tc>
          <w:tcPr>
            <w:tcW w:w="936" w:type="dxa"/>
            <w:tcBorders>
              <w:top w:val="nil"/>
              <w:left w:val="nil"/>
              <w:bottom w:val="nil"/>
              <w:right w:val="nil"/>
            </w:tcBorders>
            <w:shd w:val="clear" w:color="auto" w:fill="auto"/>
            <w:noWrap/>
            <w:vAlign w:val="bottom"/>
            <w:hideMark/>
          </w:tcPr>
          <w:p w14:paraId="78A41878"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0.234</w:t>
            </w:r>
          </w:p>
        </w:tc>
        <w:tc>
          <w:tcPr>
            <w:tcW w:w="935" w:type="dxa"/>
            <w:tcBorders>
              <w:top w:val="nil"/>
              <w:left w:val="nil"/>
              <w:bottom w:val="nil"/>
              <w:right w:val="nil"/>
            </w:tcBorders>
            <w:shd w:val="clear" w:color="auto" w:fill="auto"/>
            <w:noWrap/>
            <w:vAlign w:val="bottom"/>
            <w:hideMark/>
          </w:tcPr>
          <w:p w14:paraId="4A4BA03D"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-0.111</w:t>
            </w:r>
          </w:p>
        </w:tc>
        <w:tc>
          <w:tcPr>
            <w:tcW w:w="935" w:type="dxa"/>
            <w:tcBorders>
              <w:top w:val="nil"/>
              <w:left w:val="nil"/>
              <w:bottom w:val="nil"/>
              <w:right w:val="nil"/>
            </w:tcBorders>
            <w:shd w:val="clear" w:color="auto" w:fill="auto"/>
            <w:noWrap/>
            <w:vAlign w:val="bottom"/>
            <w:hideMark/>
          </w:tcPr>
          <w:p w14:paraId="524F2C89"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0.051</w:t>
            </w:r>
          </w:p>
        </w:tc>
        <w:tc>
          <w:tcPr>
            <w:tcW w:w="935" w:type="dxa"/>
            <w:tcBorders>
              <w:top w:val="nil"/>
              <w:left w:val="nil"/>
              <w:bottom w:val="nil"/>
              <w:right w:val="nil"/>
            </w:tcBorders>
            <w:shd w:val="clear" w:color="auto" w:fill="auto"/>
            <w:noWrap/>
            <w:vAlign w:val="bottom"/>
            <w:hideMark/>
          </w:tcPr>
          <w:p w14:paraId="426C5E9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-0.422</w:t>
            </w:r>
          </w:p>
        </w:tc>
        <w:tc>
          <w:tcPr>
            <w:tcW w:w="935" w:type="dxa"/>
            <w:tcBorders>
              <w:top w:val="nil"/>
              <w:left w:val="nil"/>
              <w:bottom w:val="nil"/>
              <w:right w:val="nil"/>
            </w:tcBorders>
            <w:shd w:val="clear" w:color="auto" w:fill="auto"/>
            <w:noWrap/>
            <w:vAlign w:val="bottom"/>
            <w:hideMark/>
          </w:tcPr>
          <w:p w14:paraId="527559A9"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-0.079</w:t>
            </w:r>
          </w:p>
        </w:tc>
        <w:tc>
          <w:tcPr>
            <w:tcW w:w="1087" w:type="dxa"/>
            <w:tcBorders>
              <w:top w:val="nil"/>
              <w:left w:val="nil"/>
              <w:bottom w:val="nil"/>
              <w:right w:val="nil"/>
            </w:tcBorders>
            <w:shd w:val="clear" w:color="auto" w:fill="auto"/>
            <w:noWrap/>
            <w:vAlign w:val="bottom"/>
            <w:hideMark/>
          </w:tcPr>
          <w:p w14:paraId="7AFD98E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-0.287</w:t>
            </w:r>
          </w:p>
        </w:tc>
        <w:tc>
          <w:tcPr>
            <w:tcW w:w="942" w:type="dxa"/>
            <w:tcBorders>
              <w:top w:val="nil"/>
              <w:left w:val="nil"/>
              <w:bottom w:val="nil"/>
              <w:right w:val="single" w:sz="4" w:space="0" w:color="auto"/>
            </w:tcBorders>
            <w:shd w:val="clear" w:color="auto" w:fill="auto"/>
            <w:noWrap/>
            <w:vAlign w:val="bottom"/>
            <w:hideMark/>
          </w:tcPr>
          <w:p w14:paraId="6DE10248"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-2.587</w:t>
            </w:r>
          </w:p>
        </w:tc>
      </w:tr>
      <w:tr w:rsidR="00ED02A4" w:rsidRPr="007256AA" w14:paraId="405ED564"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59A97428"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bottom"/>
            <w:hideMark/>
          </w:tcPr>
          <w:p w14:paraId="54D9F853"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0.992</w:t>
            </w:r>
          </w:p>
        </w:tc>
        <w:tc>
          <w:tcPr>
            <w:tcW w:w="1059" w:type="dxa"/>
            <w:tcBorders>
              <w:top w:val="nil"/>
              <w:left w:val="nil"/>
              <w:bottom w:val="nil"/>
              <w:right w:val="nil"/>
            </w:tcBorders>
            <w:shd w:val="clear" w:color="auto" w:fill="auto"/>
            <w:noWrap/>
            <w:vAlign w:val="bottom"/>
            <w:hideMark/>
          </w:tcPr>
          <w:p w14:paraId="4918612B"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0.601</w:t>
            </w:r>
          </w:p>
        </w:tc>
        <w:tc>
          <w:tcPr>
            <w:tcW w:w="936" w:type="dxa"/>
            <w:tcBorders>
              <w:top w:val="nil"/>
              <w:left w:val="nil"/>
              <w:bottom w:val="nil"/>
              <w:right w:val="nil"/>
            </w:tcBorders>
            <w:shd w:val="clear" w:color="auto" w:fill="auto"/>
            <w:noWrap/>
            <w:vAlign w:val="bottom"/>
            <w:hideMark/>
          </w:tcPr>
          <w:p w14:paraId="4754805E"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0.592</w:t>
            </w:r>
          </w:p>
        </w:tc>
        <w:tc>
          <w:tcPr>
            <w:tcW w:w="935" w:type="dxa"/>
            <w:tcBorders>
              <w:top w:val="nil"/>
              <w:left w:val="nil"/>
              <w:bottom w:val="nil"/>
              <w:right w:val="nil"/>
            </w:tcBorders>
            <w:shd w:val="clear" w:color="auto" w:fill="auto"/>
            <w:noWrap/>
            <w:vAlign w:val="bottom"/>
            <w:hideMark/>
          </w:tcPr>
          <w:p w14:paraId="0FCD7682"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0.302</w:t>
            </w:r>
          </w:p>
        </w:tc>
        <w:tc>
          <w:tcPr>
            <w:tcW w:w="935" w:type="dxa"/>
            <w:tcBorders>
              <w:top w:val="nil"/>
              <w:left w:val="nil"/>
              <w:bottom w:val="nil"/>
              <w:right w:val="nil"/>
            </w:tcBorders>
            <w:shd w:val="clear" w:color="auto" w:fill="auto"/>
            <w:noWrap/>
            <w:vAlign w:val="bottom"/>
            <w:hideMark/>
          </w:tcPr>
          <w:p w14:paraId="58482354"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0.799</w:t>
            </w:r>
          </w:p>
        </w:tc>
        <w:tc>
          <w:tcPr>
            <w:tcW w:w="935" w:type="dxa"/>
            <w:tcBorders>
              <w:top w:val="nil"/>
              <w:left w:val="nil"/>
              <w:bottom w:val="nil"/>
              <w:right w:val="nil"/>
            </w:tcBorders>
            <w:shd w:val="clear" w:color="auto" w:fill="auto"/>
            <w:noWrap/>
            <w:vAlign w:val="bottom"/>
            <w:hideMark/>
          </w:tcPr>
          <w:p w14:paraId="62804001"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0.531</w:t>
            </w:r>
          </w:p>
        </w:tc>
        <w:tc>
          <w:tcPr>
            <w:tcW w:w="935" w:type="dxa"/>
            <w:tcBorders>
              <w:top w:val="nil"/>
              <w:left w:val="nil"/>
              <w:bottom w:val="nil"/>
              <w:right w:val="nil"/>
            </w:tcBorders>
            <w:shd w:val="clear" w:color="auto" w:fill="auto"/>
            <w:noWrap/>
            <w:vAlign w:val="bottom"/>
            <w:hideMark/>
          </w:tcPr>
          <w:p w14:paraId="6D24552E"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0.831</w:t>
            </w:r>
          </w:p>
        </w:tc>
        <w:tc>
          <w:tcPr>
            <w:tcW w:w="1087" w:type="dxa"/>
            <w:tcBorders>
              <w:top w:val="nil"/>
              <w:left w:val="nil"/>
              <w:bottom w:val="nil"/>
              <w:right w:val="nil"/>
            </w:tcBorders>
            <w:shd w:val="clear" w:color="auto" w:fill="auto"/>
            <w:noWrap/>
            <w:vAlign w:val="bottom"/>
            <w:hideMark/>
          </w:tcPr>
          <w:p w14:paraId="25E4B85A"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0.642</w:t>
            </w:r>
          </w:p>
        </w:tc>
        <w:tc>
          <w:tcPr>
            <w:tcW w:w="942" w:type="dxa"/>
            <w:tcBorders>
              <w:top w:val="nil"/>
              <w:left w:val="nil"/>
              <w:bottom w:val="nil"/>
              <w:right w:val="single" w:sz="4" w:space="0" w:color="auto"/>
            </w:tcBorders>
            <w:shd w:val="clear" w:color="auto" w:fill="auto"/>
            <w:noWrap/>
            <w:vAlign w:val="bottom"/>
            <w:hideMark/>
          </w:tcPr>
          <w:p w14:paraId="52812B16"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0.001</w:t>
            </w:r>
          </w:p>
        </w:tc>
      </w:tr>
      <w:tr w:rsidR="00ED02A4" w:rsidRPr="007256AA" w14:paraId="4EDC3840"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112D3479"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POLITICAL</w:t>
            </w:r>
          </w:p>
        </w:tc>
        <w:tc>
          <w:tcPr>
            <w:tcW w:w="1177" w:type="dxa"/>
            <w:tcBorders>
              <w:top w:val="nil"/>
              <w:left w:val="nil"/>
              <w:bottom w:val="nil"/>
              <w:right w:val="nil"/>
            </w:tcBorders>
            <w:shd w:val="clear" w:color="auto" w:fill="auto"/>
            <w:noWrap/>
            <w:vAlign w:val="bottom"/>
            <w:hideMark/>
          </w:tcPr>
          <w:p w14:paraId="0E42C2F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-0.195</w:t>
            </w:r>
          </w:p>
        </w:tc>
        <w:tc>
          <w:tcPr>
            <w:tcW w:w="1059" w:type="dxa"/>
            <w:tcBorders>
              <w:top w:val="nil"/>
              <w:left w:val="nil"/>
              <w:bottom w:val="nil"/>
              <w:right w:val="nil"/>
            </w:tcBorders>
            <w:shd w:val="clear" w:color="auto" w:fill="auto"/>
            <w:noWrap/>
            <w:vAlign w:val="bottom"/>
            <w:hideMark/>
          </w:tcPr>
          <w:p w14:paraId="323DB89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-0.496</w:t>
            </w:r>
          </w:p>
        </w:tc>
        <w:tc>
          <w:tcPr>
            <w:tcW w:w="936" w:type="dxa"/>
            <w:tcBorders>
              <w:top w:val="nil"/>
              <w:left w:val="nil"/>
              <w:bottom w:val="nil"/>
              <w:right w:val="nil"/>
            </w:tcBorders>
            <w:shd w:val="clear" w:color="auto" w:fill="auto"/>
            <w:noWrap/>
            <w:vAlign w:val="bottom"/>
            <w:hideMark/>
          </w:tcPr>
          <w:p w14:paraId="04DEA02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-0.512</w:t>
            </w:r>
          </w:p>
        </w:tc>
        <w:tc>
          <w:tcPr>
            <w:tcW w:w="935" w:type="dxa"/>
            <w:tcBorders>
              <w:top w:val="nil"/>
              <w:left w:val="nil"/>
              <w:bottom w:val="nil"/>
              <w:right w:val="nil"/>
            </w:tcBorders>
            <w:shd w:val="clear" w:color="auto" w:fill="auto"/>
            <w:noWrap/>
            <w:vAlign w:val="bottom"/>
            <w:hideMark/>
          </w:tcPr>
          <w:p w14:paraId="6BB25C8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-0.830</w:t>
            </w:r>
          </w:p>
        </w:tc>
        <w:tc>
          <w:tcPr>
            <w:tcW w:w="935" w:type="dxa"/>
            <w:tcBorders>
              <w:top w:val="nil"/>
              <w:left w:val="nil"/>
              <w:bottom w:val="nil"/>
              <w:right w:val="nil"/>
            </w:tcBorders>
            <w:shd w:val="clear" w:color="auto" w:fill="auto"/>
            <w:noWrap/>
            <w:vAlign w:val="bottom"/>
            <w:hideMark/>
          </w:tcPr>
          <w:p w14:paraId="3494332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-0.210</w:t>
            </w:r>
          </w:p>
        </w:tc>
        <w:tc>
          <w:tcPr>
            <w:tcW w:w="935" w:type="dxa"/>
            <w:tcBorders>
              <w:top w:val="nil"/>
              <w:left w:val="nil"/>
              <w:bottom w:val="nil"/>
              <w:right w:val="nil"/>
            </w:tcBorders>
            <w:shd w:val="clear" w:color="auto" w:fill="auto"/>
            <w:noWrap/>
            <w:vAlign w:val="bottom"/>
            <w:hideMark/>
          </w:tcPr>
          <w:p w14:paraId="347C55E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-0.365</w:t>
            </w:r>
          </w:p>
        </w:tc>
        <w:tc>
          <w:tcPr>
            <w:tcW w:w="935" w:type="dxa"/>
            <w:tcBorders>
              <w:top w:val="nil"/>
              <w:left w:val="nil"/>
              <w:bottom w:val="nil"/>
              <w:right w:val="nil"/>
            </w:tcBorders>
            <w:shd w:val="clear" w:color="auto" w:fill="auto"/>
            <w:noWrap/>
            <w:vAlign w:val="bottom"/>
            <w:hideMark/>
          </w:tcPr>
          <w:p w14:paraId="20F7A7B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-0.310</w:t>
            </w:r>
          </w:p>
        </w:tc>
        <w:tc>
          <w:tcPr>
            <w:tcW w:w="1087" w:type="dxa"/>
            <w:tcBorders>
              <w:top w:val="nil"/>
              <w:left w:val="nil"/>
              <w:bottom w:val="nil"/>
              <w:right w:val="nil"/>
            </w:tcBorders>
            <w:shd w:val="clear" w:color="auto" w:fill="auto"/>
            <w:noWrap/>
            <w:vAlign w:val="bottom"/>
            <w:hideMark/>
          </w:tcPr>
          <w:p w14:paraId="57E96DB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-0.404</w:t>
            </w:r>
          </w:p>
        </w:tc>
        <w:tc>
          <w:tcPr>
            <w:tcW w:w="942" w:type="dxa"/>
            <w:tcBorders>
              <w:top w:val="nil"/>
              <w:left w:val="nil"/>
              <w:bottom w:val="nil"/>
              <w:right w:val="single" w:sz="4" w:space="0" w:color="auto"/>
            </w:tcBorders>
            <w:shd w:val="clear" w:color="auto" w:fill="auto"/>
            <w:noWrap/>
            <w:vAlign w:val="bottom"/>
            <w:hideMark/>
          </w:tcPr>
          <w:p w14:paraId="31240B8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-0.789</w:t>
            </w:r>
          </w:p>
        </w:tc>
      </w:tr>
      <w:tr w:rsidR="00ED02A4" w:rsidRPr="007256AA" w14:paraId="670E32CB"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7166DE24"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bottom"/>
            <w:hideMark/>
          </w:tcPr>
          <w:p w14:paraId="126504B1"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0.540</w:t>
            </w:r>
          </w:p>
        </w:tc>
        <w:tc>
          <w:tcPr>
            <w:tcW w:w="1059" w:type="dxa"/>
            <w:tcBorders>
              <w:top w:val="nil"/>
              <w:left w:val="nil"/>
              <w:bottom w:val="nil"/>
              <w:right w:val="nil"/>
            </w:tcBorders>
            <w:shd w:val="clear" w:color="auto" w:fill="auto"/>
            <w:noWrap/>
            <w:vAlign w:val="bottom"/>
            <w:hideMark/>
          </w:tcPr>
          <w:p w14:paraId="4871A649"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36" w:type="dxa"/>
            <w:tcBorders>
              <w:top w:val="nil"/>
              <w:left w:val="nil"/>
              <w:bottom w:val="nil"/>
              <w:right w:val="nil"/>
            </w:tcBorders>
            <w:shd w:val="clear" w:color="auto" w:fill="auto"/>
            <w:noWrap/>
            <w:vAlign w:val="bottom"/>
            <w:hideMark/>
          </w:tcPr>
          <w:p w14:paraId="4B0509E6"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0.062</w:t>
            </w:r>
          </w:p>
        </w:tc>
        <w:tc>
          <w:tcPr>
            <w:tcW w:w="935" w:type="dxa"/>
            <w:tcBorders>
              <w:top w:val="nil"/>
              <w:left w:val="nil"/>
              <w:bottom w:val="nil"/>
              <w:right w:val="nil"/>
            </w:tcBorders>
            <w:shd w:val="clear" w:color="auto" w:fill="auto"/>
            <w:noWrap/>
            <w:vAlign w:val="bottom"/>
            <w:hideMark/>
          </w:tcPr>
          <w:p w14:paraId="1B598C0E"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35" w:type="dxa"/>
            <w:tcBorders>
              <w:top w:val="nil"/>
              <w:left w:val="nil"/>
              <w:bottom w:val="nil"/>
              <w:right w:val="nil"/>
            </w:tcBorders>
            <w:shd w:val="clear" w:color="auto" w:fill="auto"/>
            <w:noWrap/>
            <w:vAlign w:val="bottom"/>
            <w:hideMark/>
          </w:tcPr>
          <w:p w14:paraId="555EC436"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0.236</w:t>
            </w:r>
          </w:p>
        </w:tc>
        <w:tc>
          <w:tcPr>
            <w:tcW w:w="935" w:type="dxa"/>
            <w:tcBorders>
              <w:top w:val="nil"/>
              <w:left w:val="nil"/>
              <w:bottom w:val="nil"/>
              <w:right w:val="nil"/>
            </w:tcBorders>
            <w:shd w:val="clear" w:color="auto" w:fill="auto"/>
            <w:noWrap/>
            <w:vAlign w:val="bottom"/>
            <w:hideMark/>
          </w:tcPr>
          <w:p w14:paraId="2F9A1E44"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0.175</w:t>
            </w:r>
          </w:p>
        </w:tc>
        <w:tc>
          <w:tcPr>
            <w:tcW w:w="935" w:type="dxa"/>
            <w:tcBorders>
              <w:top w:val="nil"/>
              <w:left w:val="nil"/>
              <w:bottom w:val="nil"/>
              <w:right w:val="nil"/>
            </w:tcBorders>
            <w:shd w:val="clear" w:color="auto" w:fill="auto"/>
            <w:noWrap/>
            <w:vAlign w:val="bottom"/>
            <w:hideMark/>
          </w:tcPr>
          <w:p w14:paraId="4687D797"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0.123</w:t>
            </w:r>
          </w:p>
        </w:tc>
        <w:tc>
          <w:tcPr>
            <w:tcW w:w="1087" w:type="dxa"/>
            <w:tcBorders>
              <w:top w:val="nil"/>
              <w:left w:val="nil"/>
              <w:bottom w:val="nil"/>
              <w:right w:val="nil"/>
            </w:tcBorders>
            <w:shd w:val="clear" w:color="auto" w:fill="auto"/>
            <w:noWrap/>
            <w:vAlign w:val="bottom"/>
            <w:hideMark/>
          </w:tcPr>
          <w:p w14:paraId="6466A13B"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0.285</w:t>
            </w:r>
          </w:p>
        </w:tc>
        <w:tc>
          <w:tcPr>
            <w:tcW w:w="942" w:type="dxa"/>
            <w:tcBorders>
              <w:top w:val="nil"/>
              <w:left w:val="nil"/>
              <w:bottom w:val="nil"/>
              <w:right w:val="single" w:sz="4" w:space="0" w:color="auto"/>
            </w:tcBorders>
            <w:shd w:val="clear" w:color="auto" w:fill="auto"/>
            <w:noWrap/>
            <w:vAlign w:val="bottom"/>
            <w:hideMark/>
          </w:tcPr>
          <w:p w14:paraId="50444B6B"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0.219</w:t>
            </w:r>
          </w:p>
        </w:tc>
      </w:tr>
      <w:tr w:rsidR="00ED02A4" w:rsidRPr="007256AA" w14:paraId="38CC40FE"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26BF774E"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LIQUIDITY</w:t>
            </w:r>
          </w:p>
        </w:tc>
        <w:tc>
          <w:tcPr>
            <w:tcW w:w="1177" w:type="dxa"/>
            <w:tcBorders>
              <w:top w:val="nil"/>
              <w:left w:val="nil"/>
              <w:bottom w:val="nil"/>
              <w:right w:val="nil"/>
            </w:tcBorders>
            <w:shd w:val="clear" w:color="auto" w:fill="auto"/>
            <w:noWrap/>
            <w:vAlign w:val="bottom"/>
            <w:hideMark/>
          </w:tcPr>
          <w:p w14:paraId="1A50B1D9"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20.511</w:t>
            </w:r>
          </w:p>
        </w:tc>
        <w:tc>
          <w:tcPr>
            <w:tcW w:w="1059" w:type="dxa"/>
            <w:tcBorders>
              <w:top w:val="nil"/>
              <w:left w:val="nil"/>
              <w:bottom w:val="nil"/>
              <w:right w:val="nil"/>
            </w:tcBorders>
            <w:shd w:val="clear" w:color="auto" w:fill="auto"/>
            <w:noWrap/>
            <w:vAlign w:val="bottom"/>
            <w:hideMark/>
          </w:tcPr>
          <w:p w14:paraId="24C3826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27.961</w:t>
            </w:r>
          </w:p>
        </w:tc>
        <w:tc>
          <w:tcPr>
            <w:tcW w:w="936" w:type="dxa"/>
            <w:tcBorders>
              <w:top w:val="nil"/>
              <w:left w:val="nil"/>
              <w:bottom w:val="nil"/>
              <w:right w:val="nil"/>
            </w:tcBorders>
            <w:shd w:val="clear" w:color="auto" w:fill="auto"/>
            <w:noWrap/>
            <w:vAlign w:val="bottom"/>
            <w:hideMark/>
          </w:tcPr>
          <w:p w14:paraId="7B6DDE69"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7.193</w:t>
            </w:r>
          </w:p>
        </w:tc>
        <w:tc>
          <w:tcPr>
            <w:tcW w:w="935" w:type="dxa"/>
            <w:tcBorders>
              <w:top w:val="nil"/>
              <w:left w:val="nil"/>
              <w:bottom w:val="nil"/>
              <w:right w:val="nil"/>
            </w:tcBorders>
            <w:shd w:val="clear" w:color="auto" w:fill="auto"/>
            <w:noWrap/>
            <w:vAlign w:val="bottom"/>
            <w:hideMark/>
          </w:tcPr>
          <w:p w14:paraId="40FA692A"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5.518</w:t>
            </w:r>
          </w:p>
        </w:tc>
        <w:tc>
          <w:tcPr>
            <w:tcW w:w="935" w:type="dxa"/>
            <w:tcBorders>
              <w:top w:val="nil"/>
              <w:left w:val="nil"/>
              <w:bottom w:val="nil"/>
              <w:right w:val="nil"/>
            </w:tcBorders>
            <w:shd w:val="clear" w:color="auto" w:fill="auto"/>
            <w:noWrap/>
            <w:vAlign w:val="bottom"/>
            <w:hideMark/>
          </w:tcPr>
          <w:p w14:paraId="61A1563C"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-4.278</w:t>
            </w:r>
          </w:p>
        </w:tc>
        <w:tc>
          <w:tcPr>
            <w:tcW w:w="935" w:type="dxa"/>
            <w:tcBorders>
              <w:top w:val="nil"/>
              <w:left w:val="nil"/>
              <w:bottom w:val="nil"/>
              <w:right w:val="nil"/>
            </w:tcBorders>
            <w:shd w:val="clear" w:color="auto" w:fill="auto"/>
            <w:noWrap/>
            <w:vAlign w:val="bottom"/>
            <w:hideMark/>
          </w:tcPr>
          <w:p w14:paraId="05761DC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-8.024</w:t>
            </w:r>
          </w:p>
        </w:tc>
        <w:tc>
          <w:tcPr>
            <w:tcW w:w="935" w:type="dxa"/>
            <w:tcBorders>
              <w:top w:val="nil"/>
              <w:left w:val="nil"/>
              <w:bottom w:val="nil"/>
              <w:right w:val="nil"/>
            </w:tcBorders>
            <w:shd w:val="clear" w:color="auto" w:fill="auto"/>
            <w:noWrap/>
            <w:vAlign w:val="bottom"/>
            <w:hideMark/>
          </w:tcPr>
          <w:p w14:paraId="1F6231CB"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15.589</w:t>
            </w:r>
          </w:p>
        </w:tc>
        <w:tc>
          <w:tcPr>
            <w:tcW w:w="1087" w:type="dxa"/>
            <w:tcBorders>
              <w:top w:val="nil"/>
              <w:left w:val="nil"/>
              <w:bottom w:val="nil"/>
              <w:right w:val="nil"/>
            </w:tcBorders>
            <w:shd w:val="clear" w:color="auto" w:fill="auto"/>
            <w:noWrap/>
            <w:vAlign w:val="bottom"/>
            <w:hideMark/>
          </w:tcPr>
          <w:p w14:paraId="151CF6F1"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-119.557</w:t>
            </w:r>
          </w:p>
        </w:tc>
        <w:tc>
          <w:tcPr>
            <w:tcW w:w="942" w:type="dxa"/>
            <w:tcBorders>
              <w:top w:val="nil"/>
              <w:left w:val="nil"/>
              <w:bottom w:val="nil"/>
              <w:right w:val="single" w:sz="4" w:space="0" w:color="auto"/>
            </w:tcBorders>
            <w:shd w:val="clear" w:color="auto" w:fill="auto"/>
            <w:noWrap/>
            <w:vAlign w:val="bottom"/>
            <w:hideMark/>
          </w:tcPr>
          <w:p w14:paraId="133A25E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-26.104</w:t>
            </w:r>
          </w:p>
        </w:tc>
      </w:tr>
      <w:tr w:rsidR="00ED02A4" w:rsidRPr="007256AA" w14:paraId="08DCC808"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0EE62DB6"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bottom"/>
            <w:hideMark/>
          </w:tcPr>
          <w:p w14:paraId="2F746600"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0.074</w:t>
            </w:r>
          </w:p>
        </w:tc>
        <w:tc>
          <w:tcPr>
            <w:tcW w:w="1059" w:type="dxa"/>
            <w:tcBorders>
              <w:top w:val="nil"/>
              <w:left w:val="nil"/>
              <w:bottom w:val="nil"/>
              <w:right w:val="nil"/>
            </w:tcBorders>
            <w:shd w:val="clear" w:color="auto" w:fill="auto"/>
            <w:noWrap/>
            <w:vAlign w:val="bottom"/>
            <w:hideMark/>
          </w:tcPr>
          <w:p w14:paraId="1F79E166"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0.008</w:t>
            </w:r>
          </w:p>
        </w:tc>
        <w:tc>
          <w:tcPr>
            <w:tcW w:w="936" w:type="dxa"/>
            <w:tcBorders>
              <w:top w:val="nil"/>
              <w:left w:val="nil"/>
              <w:bottom w:val="nil"/>
              <w:right w:val="nil"/>
            </w:tcBorders>
            <w:shd w:val="clear" w:color="auto" w:fill="auto"/>
            <w:noWrap/>
            <w:vAlign w:val="bottom"/>
            <w:hideMark/>
          </w:tcPr>
          <w:p w14:paraId="21C8BFE7"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0.199</w:t>
            </w:r>
          </w:p>
        </w:tc>
        <w:tc>
          <w:tcPr>
            <w:tcW w:w="935" w:type="dxa"/>
            <w:tcBorders>
              <w:top w:val="nil"/>
              <w:left w:val="nil"/>
              <w:bottom w:val="nil"/>
              <w:right w:val="nil"/>
            </w:tcBorders>
            <w:shd w:val="clear" w:color="auto" w:fill="auto"/>
            <w:noWrap/>
            <w:vAlign w:val="bottom"/>
            <w:hideMark/>
          </w:tcPr>
          <w:p w14:paraId="2D76BD16"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0.357</w:t>
            </w:r>
          </w:p>
        </w:tc>
        <w:tc>
          <w:tcPr>
            <w:tcW w:w="935" w:type="dxa"/>
            <w:tcBorders>
              <w:top w:val="nil"/>
              <w:left w:val="nil"/>
              <w:bottom w:val="nil"/>
              <w:right w:val="nil"/>
            </w:tcBorders>
            <w:shd w:val="clear" w:color="auto" w:fill="auto"/>
            <w:noWrap/>
            <w:vAlign w:val="bottom"/>
            <w:hideMark/>
          </w:tcPr>
          <w:p w14:paraId="3F40C95D"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0.169</w:t>
            </w:r>
          </w:p>
        </w:tc>
        <w:tc>
          <w:tcPr>
            <w:tcW w:w="935" w:type="dxa"/>
            <w:tcBorders>
              <w:top w:val="nil"/>
              <w:left w:val="nil"/>
              <w:bottom w:val="nil"/>
              <w:right w:val="nil"/>
            </w:tcBorders>
            <w:shd w:val="clear" w:color="auto" w:fill="auto"/>
            <w:noWrap/>
            <w:vAlign w:val="bottom"/>
            <w:hideMark/>
          </w:tcPr>
          <w:p w14:paraId="3379BC7E"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0.558</w:t>
            </w:r>
          </w:p>
        </w:tc>
        <w:tc>
          <w:tcPr>
            <w:tcW w:w="935" w:type="dxa"/>
            <w:tcBorders>
              <w:top w:val="nil"/>
              <w:left w:val="nil"/>
              <w:bottom w:val="nil"/>
              <w:right w:val="nil"/>
            </w:tcBorders>
            <w:shd w:val="clear" w:color="auto" w:fill="auto"/>
            <w:noWrap/>
            <w:vAlign w:val="bottom"/>
            <w:hideMark/>
          </w:tcPr>
          <w:p w14:paraId="60410118"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0.144</w:t>
            </w:r>
          </w:p>
        </w:tc>
        <w:tc>
          <w:tcPr>
            <w:tcW w:w="1087" w:type="dxa"/>
            <w:tcBorders>
              <w:top w:val="nil"/>
              <w:left w:val="nil"/>
              <w:bottom w:val="nil"/>
              <w:right w:val="nil"/>
            </w:tcBorders>
            <w:shd w:val="clear" w:color="auto" w:fill="auto"/>
            <w:noWrap/>
            <w:vAlign w:val="bottom"/>
            <w:hideMark/>
          </w:tcPr>
          <w:p w14:paraId="38D3CEF6"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0.366</w:t>
            </w:r>
          </w:p>
        </w:tc>
        <w:tc>
          <w:tcPr>
            <w:tcW w:w="942" w:type="dxa"/>
            <w:tcBorders>
              <w:top w:val="nil"/>
              <w:left w:val="nil"/>
              <w:bottom w:val="nil"/>
              <w:right w:val="single" w:sz="4" w:space="0" w:color="auto"/>
            </w:tcBorders>
            <w:shd w:val="clear" w:color="auto" w:fill="auto"/>
            <w:noWrap/>
            <w:vAlign w:val="bottom"/>
            <w:hideMark/>
          </w:tcPr>
          <w:p w14:paraId="30B773A8"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0.317</w:t>
            </w:r>
          </w:p>
        </w:tc>
      </w:tr>
      <w:tr w:rsidR="00ED02A4" w:rsidRPr="007256AA" w14:paraId="7FA33498"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18F27FC6"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INTERNET</w:t>
            </w:r>
          </w:p>
        </w:tc>
        <w:tc>
          <w:tcPr>
            <w:tcW w:w="1177" w:type="dxa"/>
            <w:tcBorders>
              <w:top w:val="nil"/>
              <w:left w:val="nil"/>
              <w:bottom w:val="nil"/>
              <w:right w:val="nil"/>
            </w:tcBorders>
            <w:shd w:val="clear" w:color="auto" w:fill="auto"/>
            <w:noWrap/>
            <w:vAlign w:val="bottom"/>
            <w:hideMark/>
          </w:tcPr>
          <w:p w14:paraId="2A1C907E"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-0.524</w:t>
            </w:r>
          </w:p>
        </w:tc>
        <w:tc>
          <w:tcPr>
            <w:tcW w:w="1059" w:type="dxa"/>
            <w:tcBorders>
              <w:top w:val="nil"/>
              <w:left w:val="nil"/>
              <w:bottom w:val="nil"/>
              <w:right w:val="nil"/>
            </w:tcBorders>
            <w:shd w:val="clear" w:color="auto" w:fill="auto"/>
            <w:noWrap/>
            <w:vAlign w:val="bottom"/>
            <w:hideMark/>
          </w:tcPr>
          <w:p w14:paraId="24E0092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-0.379</w:t>
            </w:r>
          </w:p>
        </w:tc>
        <w:tc>
          <w:tcPr>
            <w:tcW w:w="936" w:type="dxa"/>
            <w:tcBorders>
              <w:top w:val="nil"/>
              <w:left w:val="nil"/>
              <w:bottom w:val="nil"/>
              <w:right w:val="nil"/>
            </w:tcBorders>
            <w:shd w:val="clear" w:color="auto" w:fill="auto"/>
            <w:noWrap/>
            <w:vAlign w:val="bottom"/>
            <w:hideMark/>
          </w:tcPr>
          <w:p w14:paraId="41CB7BFA"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-0.514</w:t>
            </w:r>
          </w:p>
        </w:tc>
        <w:tc>
          <w:tcPr>
            <w:tcW w:w="935" w:type="dxa"/>
            <w:tcBorders>
              <w:top w:val="nil"/>
              <w:left w:val="nil"/>
              <w:bottom w:val="nil"/>
              <w:right w:val="nil"/>
            </w:tcBorders>
            <w:shd w:val="clear" w:color="auto" w:fill="auto"/>
            <w:noWrap/>
            <w:vAlign w:val="bottom"/>
            <w:hideMark/>
          </w:tcPr>
          <w:p w14:paraId="365FEDC1"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-0.237</w:t>
            </w:r>
          </w:p>
        </w:tc>
        <w:tc>
          <w:tcPr>
            <w:tcW w:w="935" w:type="dxa"/>
            <w:tcBorders>
              <w:top w:val="nil"/>
              <w:left w:val="nil"/>
              <w:bottom w:val="nil"/>
              <w:right w:val="nil"/>
            </w:tcBorders>
            <w:shd w:val="clear" w:color="auto" w:fill="auto"/>
            <w:noWrap/>
            <w:vAlign w:val="bottom"/>
            <w:hideMark/>
          </w:tcPr>
          <w:p w14:paraId="1930C6FA"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-0.188</w:t>
            </w:r>
          </w:p>
        </w:tc>
        <w:tc>
          <w:tcPr>
            <w:tcW w:w="935" w:type="dxa"/>
            <w:tcBorders>
              <w:top w:val="nil"/>
              <w:left w:val="nil"/>
              <w:bottom w:val="nil"/>
              <w:right w:val="nil"/>
            </w:tcBorders>
            <w:shd w:val="clear" w:color="auto" w:fill="auto"/>
            <w:noWrap/>
            <w:vAlign w:val="bottom"/>
            <w:hideMark/>
          </w:tcPr>
          <w:p w14:paraId="7F4E31B1"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-0.255</w:t>
            </w:r>
          </w:p>
        </w:tc>
        <w:tc>
          <w:tcPr>
            <w:tcW w:w="935" w:type="dxa"/>
            <w:tcBorders>
              <w:top w:val="nil"/>
              <w:left w:val="nil"/>
              <w:bottom w:val="nil"/>
              <w:right w:val="nil"/>
            </w:tcBorders>
            <w:shd w:val="clear" w:color="auto" w:fill="auto"/>
            <w:noWrap/>
            <w:vAlign w:val="bottom"/>
            <w:hideMark/>
          </w:tcPr>
          <w:p w14:paraId="75D56170"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-0.465</w:t>
            </w:r>
          </w:p>
        </w:tc>
        <w:tc>
          <w:tcPr>
            <w:tcW w:w="1087" w:type="dxa"/>
            <w:tcBorders>
              <w:top w:val="nil"/>
              <w:left w:val="nil"/>
              <w:bottom w:val="nil"/>
              <w:right w:val="nil"/>
            </w:tcBorders>
            <w:shd w:val="clear" w:color="auto" w:fill="auto"/>
            <w:noWrap/>
            <w:vAlign w:val="bottom"/>
            <w:hideMark/>
          </w:tcPr>
          <w:p w14:paraId="1607F58F"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0.109</w:t>
            </w:r>
          </w:p>
        </w:tc>
        <w:tc>
          <w:tcPr>
            <w:tcW w:w="942" w:type="dxa"/>
            <w:tcBorders>
              <w:top w:val="nil"/>
              <w:left w:val="nil"/>
              <w:bottom w:val="nil"/>
              <w:right w:val="single" w:sz="4" w:space="0" w:color="auto"/>
            </w:tcBorders>
            <w:shd w:val="clear" w:color="auto" w:fill="auto"/>
            <w:noWrap/>
            <w:vAlign w:val="bottom"/>
            <w:hideMark/>
          </w:tcPr>
          <w:p w14:paraId="4A6429C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-0.709</w:t>
            </w:r>
          </w:p>
        </w:tc>
      </w:tr>
      <w:tr w:rsidR="00ED02A4" w:rsidRPr="007256AA" w14:paraId="38E8F7FA"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332596BE" w14:textId="77777777" w:rsidR="00ED02A4" w:rsidRPr="007256AA" w:rsidRDefault="00ED02A4" w:rsidP="00367A87">
            <w:pPr>
              <w:spacing w:after="0" w:line="240" w:lineRule="auto"/>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bottom"/>
            <w:hideMark/>
          </w:tcPr>
          <w:p w14:paraId="4414C3AD"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59" w:type="dxa"/>
            <w:tcBorders>
              <w:top w:val="nil"/>
              <w:left w:val="nil"/>
              <w:bottom w:val="nil"/>
              <w:right w:val="nil"/>
            </w:tcBorders>
            <w:shd w:val="clear" w:color="auto" w:fill="auto"/>
            <w:noWrap/>
            <w:vAlign w:val="bottom"/>
            <w:hideMark/>
          </w:tcPr>
          <w:p w14:paraId="6BA396B7"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0.006</w:t>
            </w:r>
          </w:p>
        </w:tc>
        <w:tc>
          <w:tcPr>
            <w:tcW w:w="936" w:type="dxa"/>
            <w:tcBorders>
              <w:top w:val="nil"/>
              <w:left w:val="nil"/>
              <w:bottom w:val="nil"/>
              <w:right w:val="nil"/>
            </w:tcBorders>
            <w:shd w:val="clear" w:color="auto" w:fill="auto"/>
            <w:noWrap/>
            <w:vAlign w:val="bottom"/>
            <w:hideMark/>
          </w:tcPr>
          <w:p w14:paraId="7DD9E6A2"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935" w:type="dxa"/>
            <w:tcBorders>
              <w:top w:val="nil"/>
              <w:left w:val="nil"/>
              <w:bottom w:val="nil"/>
              <w:right w:val="nil"/>
            </w:tcBorders>
            <w:shd w:val="clear" w:color="auto" w:fill="auto"/>
            <w:noWrap/>
            <w:vAlign w:val="bottom"/>
            <w:hideMark/>
          </w:tcPr>
          <w:p w14:paraId="2B71D44E"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0.033</w:t>
            </w:r>
          </w:p>
        </w:tc>
        <w:tc>
          <w:tcPr>
            <w:tcW w:w="935" w:type="dxa"/>
            <w:tcBorders>
              <w:top w:val="nil"/>
              <w:left w:val="nil"/>
              <w:bottom w:val="nil"/>
              <w:right w:val="nil"/>
            </w:tcBorders>
            <w:shd w:val="clear" w:color="auto" w:fill="auto"/>
            <w:noWrap/>
            <w:vAlign w:val="bottom"/>
            <w:hideMark/>
          </w:tcPr>
          <w:p w14:paraId="48EA8D20"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0.027</w:t>
            </w:r>
          </w:p>
        </w:tc>
        <w:tc>
          <w:tcPr>
            <w:tcW w:w="935" w:type="dxa"/>
            <w:tcBorders>
              <w:top w:val="nil"/>
              <w:left w:val="nil"/>
              <w:bottom w:val="nil"/>
              <w:right w:val="nil"/>
            </w:tcBorders>
            <w:shd w:val="clear" w:color="auto" w:fill="auto"/>
            <w:noWrap/>
            <w:vAlign w:val="bottom"/>
            <w:hideMark/>
          </w:tcPr>
          <w:p w14:paraId="6934E7D4"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0.057</w:t>
            </w:r>
          </w:p>
        </w:tc>
        <w:tc>
          <w:tcPr>
            <w:tcW w:w="935" w:type="dxa"/>
            <w:tcBorders>
              <w:top w:val="nil"/>
              <w:left w:val="nil"/>
              <w:bottom w:val="nil"/>
              <w:right w:val="nil"/>
            </w:tcBorders>
            <w:shd w:val="clear" w:color="auto" w:fill="auto"/>
            <w:noWrap/>
            <w:vAlign w:val="bottom"/>
            <w:hideMark/>
          </w:tcPr>
          <w:p w14:paraId="2DAE9CBD"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0.000</w:t>
            </w:r>
          </w:p>
        </w:tc>
        <w:tc>
          <w:tcPr>
            <w:tcW w:w="1087" w:type="dxa"/>
            <w:tcBorders>
              <w:top w:val="nil"/>
              <w:left w:val="nil"/>
              <w:bottom w:val="nil"/>
              <w:right w:val="nil"/>
            </w:tcBorders>
            <w:shd w:val="clear" w:color="auto" w:fill="auto"/>
            <w:noWrap/>
            <w:vAlign w:val="bottom"/>
            <w:hideMark/>
          </w:tcPr>
          <w:p w14:paraId="1EBFC7A5"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0.590</w:t>
            </w:r>
          </w:p>
        </w:tc>
        <w:tc>
          <w:tcPr>
            <w:tcW w:w="942" w:type="dxa"/>
            <w:tcBorders>
              <w:top w:val="nil"/>
              <w:left w:val="nil"/>
              <w:bottom w:val="nil"/>
              <w:right w:val="single" w:sz="4" w:space="0" w:color="auto"/>
            </w:tcBorders>
            <w:shd w:val="clear" w:color="auto" w:fill="auto"/>
            <w:noWrap/>
            <w:vAlign w:val="bottom"/>
            <w:hideMark/>
          </w:tcPr>
          <w:p w14:paraId="3E5AB545" w14:textId="77777777" w:rsidR="00ED02A4" w:rsidRPr="007256AA" w:rsidRDefault="00ED02A4" w:rsidP="00367A87">
            <w:pPr>
              <w:spacing w:after="0" w:line="240" w:lineRule="auto"/>
              <w:jc w:val="right"/>
              <w:rPr>
                <w:rFonts w:ascii="Calibri" w:eastAsia="Times New Roman" w:hAnsi="Calibri" w:cs="Calibri"/>
                <w:b/>
                <w:bCs/>
                <w:i/>
                <w:iCs/>
                <w:color w:val="000000"/>
                <w:lang w:eastAsia="en-IE"/>
              </w:rPr>
            </w:pPr>
            <w:r w:rsidRPr="007256AA">
              <w:rPr>
                <w:rFonts w:ascii="Calibri" w:eastAsia="Times New Roman" w:hAnsi="Calibri" w:cs="Calibri"/>
                <w:b/>
                <w:bCs/>
                <w:i/>
                <w:iCs/>
                <w:color w:val="000000"/>
                <w:lang w:eastAsia="en-IE"/>
              </w:rPr>
              <w:t>0.049</w:t>
            </w:r>
          </w:p>
        </w:tc>
      </w:tr>
      <w:tr w:rsidR="00ED02A4" w:rsidRPr="007256AA" w14:paraId="344B78E1"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726703EC"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Nobs</w:t>
            </w:r>
          </w:p>
        </w:tc>
        <w:tc>
          <w:tcPr>
            <w:tcW w:w="1177" w:type="dxa"/>
            <w:tcBorders>
              <w:top w:val="nil"/>
              <w:left w:val="nil"/>
              <w:bottom w:val="nil"/>
              <w:right w:val="nil"/>
            </w:tcBorders>
            <w:shd w:val="clear" w:color="auto" w:fill="auto"/>
            <w:noWrap/>
            <w:vAlign w:val="bottom"/>
            <w:hideMark/>
          </w:tcPr>
          <w:p w14:paraId="750E6AE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590</w:t>
            </w:r>
          </w:p>
        </w:tc>
        <w:tc>
          <w:tcPr>
            <w:tcW w:w="1059" w:type="dxa"/>
            <w:tcBorders>
              <w:top w:val="nil"/>
              <w:left w:val="nil"/>
              <w:bottom w:val="nil"/>
              <w:right w:val="nil"/>
            </w:tcBorders>
            <w:shd w:val="clear" w:color="auto" w:fill="auto"/>
            <w:noWrap/>
            <w:vAlign w:val="bottom"/>
            <w:hideMark/>
          </w:tcPr>
          <w:p w14:paraId="4527BE44"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282</w:t>
            </w:r>
          </w:p>
        </w:tc>
        <w:tc>
          <w:tcPr>
            <w:tcW w:w="936" w:type="dxa"/>
            <w:tcBorders>
              <w:top w:val="nil"/>
              <w:left w:val="nil"/>
              <w:bottom w:val="nil"/>
              <w:right w:val="nil"/>
            </w:tcBorders>
            <w:shd w:val="clear" w:color="auto" w:fill="auto"/>
            <w:noWrap/>
            <w:vAlign w:val="bottom"/>
            <w:hideMark/>
          </w:tcPr>
          <w:p w14:paraId="20BAFFE9"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202</w:t>
            </w:r>
          </w:p>
        </w:tc>
        <w:tc>
          <w:tcPr>
            <w:tcW w:w="935" w:type="dxa"/>
            <w:tcBorders>
              <w:top w:val="nil"/>
              <w:left w:val="nil"/>
              <w:bottom w:val="nil"/>
              <w:right w:val="nil"/>
            </w:tcBorders>
            <w:shd w:val="clear" w:color="auto" w:fill="auto"/>
            <w:noWrap/>
            <w:vAlign w:val="bottom"/>
            <w:hideMark/>
          </w:tcPr>
          <w:p w14:paraId="40F852E1"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390</w:t>
            </w:r>
          </w:p>
        </w:tc>
        <w:tc>
          <w:tcPr>
            <w:tcW w:w="935" w:type="dxa"/>
            <w:tcBorders>
              <w:top w:val="nil"/>
              <w:left w:val="nil"/>
              <w:bottom w:val="nil"/>
              <w:right w:val="nil"/>
            </w:tcBorders>
            <w:shd w:val="clear" w:color="auto" w:fill="auto"/>
            <w:noWrap/>
            <w:vAlign w:val="bottom"/>
            <w:hideMark/>
          </w:tcPr>
          <w:p w14:paraId="11905549"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193</w:t>
            </w:r>
          </w:p>
        </w:tc>
        <w:tc>
          <w:tcPr>
            <w:tcW w:w="935" w:type="dxa"/>
            <w:tcBorders>
              <w:top w:val="nil"/>
              <w:left w:val="nil"/>
              <w:bottom w:val="nil"/>
              <w:right w:val="nil"/>
            </w:tcBorders>
            <w:shd w:val="clear" w:color="auto" w:fill="auto"/>
            <w:noWrap/>
            <w:vAlign w:val="bottom"/>
            <w:hideMark/>
          </w:tcPr>
          <w:p w14:paraId="6924994C"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75</w:t>
            </w:r>
          </w:p>
        </w:tc>
        <w:tc>
          <w:tcPr>
            <w:tcW w:w="935" w:type="dxa"/>
            <w:tcBorders>
              <w:top w:val="nil"/>
              <w:left w:val="nil"/>
              <w:bottom w:val="nil"/>
              <w:right w:val="nil"/>
            </w:tcBorders>
            <w:shd w:val="clear" w:color="auto" w:fill="auto"/>
            <w:noWrap/>
            <w:vAlign w:val="bottom"/>
            <w:hideMark/>
          </w:tcPr>
          <w:p w14:paraId="3C19F94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684</w:t>
            </w:r>
          </w:p>
        </w:tc>
        <w:tc>
          <w:tcPr>
            <w:tcW w:w="1087" w:type="dxa"/>
            <w:tcBorders>
              <w:top w:val="nil"/>
              <w:left w:val="nil"/>
              <w:bottom w:val="nil"/>
              <w:right w:val="nil"/>
            </w:tcBorders>
            <w:shd w:val="clear" w:color="auto" w:fill="auto"/>
            <w:noWrap/>
            <w:vAlign w:val="bottom"/>
            <w:hideMark/>
          </w:tcPr>
          <w:p w14:paraId="4B7C5475"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238</w:t>
            </w:r>
          </w:p>
        </w:tc>
        <w:tc>
          <w:tcPr>
            <w:tcW w:w="942" w:type="dxa"/>
            <w:tcBorders>
              <w:top w:val="nil"/>
              <w:left w:val="nil"/>
              <w:bottom w:val="nil"/>
              <w:right w:val="single" w:sz="4" w:space="0" w:color="auto"/>
            </w:tcBorders>
            <w:shd w:val="clear" w:color="auto" w:fill="auto"/>
            <w:noWrap/>
            <w:vAlign w:val="bottom"/>
            <w:hideMark/>
          </w:tcPr>
          <w:p w14:paraId="7BC0F387"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135</w:t>
            </w:r>
          </w:p>
        </w:tc>
      </w:tr>
      <w:tr w:rsidR="00ED02A4" w:rsidRPr="007256AA" w14:paraId="4442AAFC" w14:textId="77777777" w:rsidTr="00380104">
        <w:trPr>
          <w:trHeight w:val="288"/>
        </w:trPr>
        <w:tc>
          <w:tcPr>
            <w:tcW w:w="1235" w:type="dxa"/>
            <w:tcBorders>
              <w:top w:val="nil"/>
              <w:left w:val="single" w:sz="4" w:space="0" w:color="auto"/>
              <w:bottom w:val="single" w:sz="4" w:space="0" w:color="auto"/>
              <w:right w:val="nil"/>
            </w:tcBorders>
            <w:shd w:val="clear" w:color="auto" w:fill="auto"/>
            <w:noWrap/>
            <w:vAlign w:val="bottom"/>
            <w:hideMark/>
          </w:tcPr>
          <w:p w14:paraId="4E692CB9" w14:textId="77777777" w:rsidR="00ED02A4" w:rsidRPr="007256AA" w:rsidRDefault="00ED02A4" w:rsidP="00367A87">
            <w:pPr>
              <w:spacing w:after="0" w:line="240" w:lineRule="auto"/>
              <w:rPr>
                <w:rFonts w:ascii="Calibri" w:eastAsia="Times New Roman" w:hAnsi="Calibri" w:cs="Calibri"/>
                <w:color w:val="000000"/>
                <w:lang w:eastAsia="en-IE"/>
              </w:rPr>
            </w:pPr>
            <w:r w:rsidRPr="007256AA">
              <w:rPr>
                <w:rFonts w:ascii="Calibri" w:eastAsia="Times New Roman" w:hAnsi="Calibri" w:cs="Calibri"/>
                <w:color w:val="000000"/>
                <w:lang w:eastAsia="en-IE"/>
              </w:rPr>
              <w:t>Adj. R2</w:t>
            </w:r>
          </w:p>
        </w:tc>
        <w:tc>
          <w:tcPr>
            <w:tcW w:w="1177" w:type="dxa"/>
            <w:tcBorders>
              <w:top w:val="nil"/>
              <w:left w:val="nil"/>
              <w:bottom w:val="single" w:sz="4" w:space="0" w:color="auto"/>
              <w:right w:val="nil"/>
            </w:tcBorders>
            <w:shd w:val="clear" w:color="auto" w:fill="auto"/>
            <w:noWrap/>
            <w:vAlign w:val="bottom"/>
            <w:hideMark/>
          </w:tcPr>
          <w:p w14:paraId="33E59F02"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0.700</w:t>
            </w:r>
          </w:p>
        </w:tc>
        <w:tc>
          <w:tcPr>
            <w:tcW w:w="1059" w:type="dxa"/>
            <w:tcBorders>
              <w:top w:val="nil"/>
              <w:left w:val="nil"/>
              <w:bottom w:val="single" w:sz="4" w:space="0" w:color="auto"/>
              <w:right w:val="nil"/>
            </w:tcBorders>
            <w:shd w:val="clear" w:color="auto" w:fill="auto"/>
            <w:noWrap/>
            <w:vAlign w:val="bottom"/>
            <w:hideMark/>
          </w:tcPr>
          <w:p w14:paraId="0B11D57D"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0.569</w:t>
            </w:r>
          </w:p>
        </w:tc>
        <w:tc>
          <w:tcPr>
            <w:tcW w:w="936" w:type="dxa"/>
            <w:tcBorders>
              <w:top w:val="nil"/>
              <w:left w:val="nil"/>
              <w:bottom w:val="single" w:sz="4" w:space="0" w:color="auto"/>
              <w:right w:val="nil"/>
            </w:tcBorders>
            <w:shd w:val="clear" w:color="auto" w:fill="auto"/>
            <w:noWrap/>
            <w:vAlign w:val="bottom"/>
            <w:hideMark/>
          </w:tcPr>
          <w:p w14:paraId="4637D402"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0.233</w:t>
            </w:r>
          </w:p>
        </w:tc>
        <w:tc>
          <w:tcPr>
            <w:tcW w:w="935" w:type="dxa"/>
            <w:tcBorders>
              <w:top w:val="nil"/>
              <w:left w:val="nil"/>
              <w:bottom w:val="single" w:sz="4" w:space="0" w:color="auto"/>
              <w:right w:val="nil"/>
            </w:tcBorders>
            <w:shd w:val="clear" w:color="auto" w:fill="auto"/>
            <w:noWrap/>
            <w:vAlign w:val="bottom"/>
            <w:hideMark/>
          </w:tcPr>
          <w:p w14:paraId="66CD2206"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0.391</w:t>
            </w:r>
          </w:p>
        </w:tc>
        <w:tc>
          <w:tcPr>
            <w:tcW w:w="935" w:type="dxa"/>
            <w:tcBorders>
              <w:top w:val="nil"/>
              <w:left w:val="nil"/>
              <w:bottom w:val="single" w:sz="4" w:space="0" w:color="auto"/>
              <w:right w:val="nil"/>
            </w:tcBorders>
            <w:shd w:val="clear" w:color="auto" w:fill="auto"/>
            <w:noWrap/>
            <w:vAlign w:val="bottom"/>
            <w:hideMark/>
          </w:tcPr>
          <w:p w14:paraId="669F1D17"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0.752</w:t>
            </w:r>
          </w:p>
        </w:tc>
        <w:tc>
          <w:tcPr>
            <w:tcW w:w="935" w:type="dxa"/>
            <w:tcBorders>
              <w:top w:val="nil"/>
              <w:left w:val="nil"/>
              <w:bottom w:val="single" w:sz="4" w:space="0" w:color="auto"/>
              <w:right w:val="nil"/>
            </w:tcBorders>
            <w:shd w:val="clear" w:color="auto" w:fill="auto"/>
            <w:noWrap/>
            <w:vAlign w:val="bottom"/>
            <w:hideMark/>
          </w:tcPr>
          <w:p w14:paraId="012BDE31"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0.151</w:t>
            </w:r>
          </w:p>
        </w:tc>
        <w:tc>
          <w:tcPr>
            <w:tcW w:w="935" w:type="dxa"/>
            <w:tcBorders>
              <w:top w:val="nil"/>
              <w:left w:val="nil"/>
              <w:bottom w:val="single" w:sz="4" w:space="0" w:color="auto"/>
              <w:right w:val="nil"/>
            </w:tcBorders>
            <w:shd w:val="clear" w:color="auto" w:fill="auto"/>
            <w:noWrap/>
            <w:vAlign w:val="bottom"/>
            <w:hideMark/>
          </w:tcPr>
          <w:p w14:paraId="0AF7A152"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0.448</w:t>
            </w:r>
          </w:p>
        </w:tc>
        <w:tc>
          <w:tcPr>
            <w:tcW w:w="1087" w:type="dxa"/>
            <w:tcBorders>
              <w:top w:val="nil"/>
              <w:left w:val="nil"/>
              <w:bottom w:val="single" w:sz="4" w:space="0" w:color="auto"/>
              <w:right w:val="nil"/>
            </w:tcBorders>
            <w:shd w:val="clear" w:color="auto" w:fill="auto"/>
            <w:noWrap/>
            <w:vAlign w:val="bottom"/>
            <w:hideMark/>
          </w:tcPr>
          <w:p w14:paraId="58F47E03"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0.576</w:t>
            </w:r>
          </w:p>
        </w:tc>
        <w:tc>
          <w:tcPr>
            <w:tcW w:w="942" w:type="dxa"/>
            <w:tcBorders>
              <w:top w:val="nil"/>
              <w:left w:val="nil"/>
              <w:bottom w:val="single" w:sz="4" w:space="0" w:color="auto"/>
              <w:right w:val="single" w:sz="4" w:space="0" w:color="auto"/>
            </w:tcBorders>
            <w:shd w:val="clear" w:color="auto" w:fill="auto"/>
            <w:noWrap/>
            <w:vAlign w:val="bottom"/>
            <w:hideMark/>
          </w:tcPr>
          <w:p w14:paraId="36931969" w14:textId="77777777" w:rsidR="00ED02A4" w:rsidRPr="007256AA" w:rsidRDefault="00ED02A4" w:rsidP="00367A87">
            <w:pPr>
              <w:spacing w:after="0" w:line="240" w:lineRule="auto"/>
              <w:jc w:val="right"/>
              <w:rPr>
                <w:rFonts w:ascii="Calibri" w:eastAsia="Times New Roman" w:hAnsi="Calibri" w:cs="Calibri"/>
                <w:color w:val="000000"/>
                <w:lang w:eastAsia="en-IE"/>
              </w:rPr>
            </w:pPr>
            <w:r w:rsidRPr="007256AA">
              <w:rPr>
                <w:rFonts w:ascii="Calibri" w:eastAsia="Times New Roman" w:hAnsi="Calibri" w:cs="Calibri"/>
                <w:color w:val="000000"/>
                <w:lang w:eastAsia="en-IE"/>
              </w:rPr>
              <w:t>0.640</w:t>
            </w:r>
          </w:p>
        </w:tc>
      </w:tr>
    </w:tbl>
    <w:p w14:paraId="246CD8BC" w14:textId="78582F07" w:rsidR="00ED02A4" w:rsidRPr="00020590" w:rsidRDefault="00ED02A4" w:rsidP="00380104">
      <w:pPr>
        <w:spacing w:line="240" w:lineRule="auto"/>
        <w:jc w:val="both"/>
        <w:rPr>
          <w:rFonts w:ascii="Calibri" w:eastAsia="Times New Roman" w:hAnsi="Calibri" w:cs="Times New Roman"/>
          <w:color w:val="000000"/>
          <w:lang w:eastAsia="en-IE"/>
        </w:rPr>
      </w:pPr>
      <w:r w:rsidRPr="007F148E">
        <w:rPr>
          <w:rFonts w:ascii="Calibri" w:eastAsia="Times New Roman" w:hAnsi="Calibri" w:cs="Times New Roman"/>
          <w:color w:val="000000"/>
          <w:lang w:eastAsia="en-IE"/>
        </w:rPr>
        <w:t xml:space="preserve">The unbalanced regressions estimate the relation between the diversification indexes and proxies for macro-financial and developmental factors.  Results are reported for unbalanced panels with a timeframe 1986-2012.  </w:t>
      </w:r>
      <w:r>
        <w:rPr>
          <w:rFonts w:ascii="Calibri" w:eastAsia="Times New Roman" w:hAnsi="Calibri" w:cs="Times New Roman"/>
          <w:color w:val="000000"/>
          <w:lang w:eastAsia="en-IE"/>
        </w:rPr>
        <w:t xml:space="preserve">A geographical breakout is presented for Developed, Emerging and Frontier markets.  Due to a lack of country level diversification indexes this geographical analysis is completed for equities only.  The time cohorts break up the regression analysis to pre and post 2000.  </w:t>
      </w:r>
      <w:r w:rsidRPr="007F148E">
        <w:rPr>
          <w:rFonts w:ascii="Calibri" w:eastAsia="Times New Roman" w:hAnsi="Calibri" w:cs="Times New Roman"/>
          <w:color w:val="000000"/>
          <w:lang w:eastAsia="en-IE"/>
        </w:rPr>
        <w:t xml:space="preserve">Country fixed effects are included in all regressions.  </w:t>
      </w:r>
      <w:r w:rsidRPr="00020590">
        <w:rPr>
          <w:rFonts w:ascii="Calibri" w:eastAsia="Times New Roman" w:hAnsi="Calibri" w:cs="Times New Roman"/>
          <w:color w:val="000000"/>
          <w:lang w:eastAsia="en-IE"/>
        </w:rPr>
        <w:t xml:space="preserve">The identification of developed and emerging economies uses the United Nations Human Development Index that incorporates </w:t>
      </w:r>
      <w:proofErr w:type="gramStart"/>
      <w:r w:rsidRPr="00020590">
        <w:rPr>
          <w:rFonts w:ascii="Calibri" w:eastAsia="Times New Roman" w:hAnsi="Calibri" w:cs="Times New Roman"/>
          <w:color w:val="000000"/>
          <w:lang w:eastAsia="en-IE"/>
        </w:rPr>
        <w:t>a number of</w:t>
      </w:r>
      <w:proofErr w:type="gramEnd"/>
      <w:r w:rsidRPr="00020590">
        <w:rPr>
          <w:rFonts w:ascii="Calibri" w:eastAsia="Times New Roman" w:hAnsi="Calibri" w:cs="Times New Roman"/>
          <w:color w:val="000000"/>
          <w:lang w:eastAsia="en-IE"/>
        </w:rPr>
        <w:t xml:space="preserve"> distinguishing features such as income and education.  The United Nations country title of ‘very high human development’ is designated as developed economies and those outside this list as emerging economies.  </w:t>
      </w:r>
      <w:r>
        <w:rPr>
          <w:rFonts w:ascii="Calibri" w:eastAsia="Times New Roman" w:hAnsi="Calibri" w:cs="Times New Roman"/>
          <w:color w:val="000000"/>
          <w:lang w:eastAsia="en-IE"/>
        </w:rPr>
        <w:t xml:space="preserve">These lists were further stratified by the </w:t>
      </w:r>
      <w:r w:rsidRPr="00014028">
        <w:rPr>
          <w:rFonts w:ascii="Calibri" w:eastAsia="Times New Roman" w:hAnsi="Calibri" w:cs="Times New Roman"/>
          <w:color w:val="000000"/>
          <w:lang w:eastAsia="en-IE"/>
        </w:rPr>
        <w:t>Standard &amp; Poor's list</w:t>
      </w:r>
      <w:r>
        <w:rPr>
          <w:rFonts w:ascii="Calibri" w:eastAsia="Times New Roman" w:hAnsi="Calibri" w:cs="Times New Roman"/>
          <w:color w:val="000000"/>
          <w:lang w:eastAsia="en-IE"/>
        </w:rPr>
        <w:t xml:space="preserve"> of Frontier markets to detail markets that were developing but too small to be considered emerging markets. </w:t>
      </w:r>
      <w:r w:rsidRPr="00CB2465">
        <w:rPr>
          <w:rFonts w:ascii="Calibri" w:eastAsia="Times New Roman" w:hAnsi="Calibri" w:cs="Times New Roman"/>
          <w:color w:val="000000"/>
          <w:lang w:eastAsia="en-IE"/>
        </w:rPr>
        <w:t xml:space="preserve">P-values are in bold and italics. </w:t>
      </w:r>
    </w:p>
    <w:p w14:paraId="7EC37285" w14:textId="248770AD" w:rsidR="009468B1" w:rsidRDefault="009468B1">
      <w:pPr>
        <w:rPr>
          <w:rFonts w:ascii="Calibri" w:eastAsia="Times New Roman" w:hAnsi="Calibri" w:cs="Times New Roman"/>
          <w:b/>
          <w:bCs/>
          <w:color w:val="000000"/>
          <w:sz w:val="24"/>
          <w:szCs w:val="24"/>
          <w:lang w:eastAsia="en-IE"/>
        </w:rPr>
      </w:pPr>
      <w:r>
        <w:rPr>
          <w:rFonts w:ascii="Calibri" w:eastAsia="Times New Roman" w:hAnsi="Calibri" w:cs="Times New Roman"/>
          <w:b/>
          <w:bCs/>
          <w:color w:val="000000"/>
          <w:sz w:val="24"/>
          <w:szCs w:val="24"/>
          <w:lang w:eastAsia="en-IE"/>
        </w:rPr>
        <w:br w:type="page"/>
      </w:r>
    </w:p>
    <w:p w14:paraId="7AFA5A36" w14:textId="77777777" w:rsidR="00ED02A4" w:rsidRPr="00020590" w:rsidRDefault="00ED02A4" w:rsidP="00380104">
      <w:pPr>
        <w:spacing w:line="240" w:lineRule="auto"/>
        <w:rPr>
          <w:rFonts w:ascii="Calibri" w:eastAsia="Times New Roman" w:hAnsi="Calibri" w:cs="Times New Roman"/>
          <w:b/>
          <w:bCs/>
          <w:color w:val="000000"/>
          <w:sz w:val="24"/>
          <w:szCs w:val="24"/>
          <w:lang w:eastAsia="en-IE"/>
        </w:rPr>
      </w:pPr>
    </w:p>
    <w:p w14:paraId="2B0D4A6F" w14:textId="77777777" w:rsidR="00ED02A4" w:rsidRPr="00D14720" w:rsidRDefault="00ED02A4" w:rsidP="00ED02A4">
      <w:pPr>
        <w:jc w:val="center"/>
        <w:rPr>
          <w:rFonts w:ascii="Calibri" w:eastAsia="Times New Roman" w:hAnsi="Calibri" w:cs="Times New Roman"/>
          <w:b/>
          <w:bCs/>
          <w:color w:val="000000"/>
          <w:sz w:val="24"/>
          <w:szCs w:val="24"/>
          <w:lang w:eastAsia="en-IE"/>
        </w:rPr>
      </w:pPr>
      <w:r w:rsidRPr="00D14720">
        <w:rPr>
          <w:rFonts w:ascii="Calibri" w:eastAsia="Times New Roman" w:hAnsi="Calibri" w:cs="Times New Roman"/>
          <w:b/>
          <w:bCs/>
          <w:color w:val="000000"/>
          <w:sz w:val="24"/>
          <w:szCs w:val="24"/>
          <w:lang w:eastAsia="en-IE"/>
        </w:rPr>
        <w:t>Appendix Figure 1</w:t>
      </w:r>
    </w:p>
    <w:p w14:paraId="37ED5061" w14:textId="77777777" w:rsidR="00ED02A4" w:rsidRPr="00D14720" w:rsidRDefault="00ED02A4" w:rsidP="00ED02A4">
      <w:pPr>
        <w:jc w:val="center"/>
        <w:rPr>
          <w:rFonts w:ascii="Calibri" w:eastAsia="Times New Roman" w:hAnsi="Calibri" w:cs="Times New Roman"/>
          <w:b/>
          <w:bCs/>
          <w:color w:val="000000"/>
          <w:sz w:val="24"/>
          <w:szCs w:val="24"/>
          <w:lang w:eastAsia="en-IE"/>
        </w:rPr>
      </w:pPr>
      <w:r w:rsidRPr="00D14720">
        <w:rPr>
          <w:rFonts w:ascii="Calibri" w:eastAsia="Times New Roman" w:hAnsi="Calibri" w:cs="Times New Roman"/>
          <w:b/>
          <w:bCs/>
          <w:color w:val="000000"/>
          <w:sz w:val="24"/>
          <w:szCs w:val="24"/>
          <w:lang w:eastAsia="en-IE"/>
        </w:rPr>
        <w:t>Average Cumulative Percentage of Variance Explained by Sorted Eigenvalues from Pre-1986 Cohort Covariance Matrices</w:t>
      </w:r>
    </w:p>
    <w:p w14:paraId="26315ABA" w14:textId="77777777" w:rsidR="00ED02A4" w:rsidRPr="00D14720" w:rsidRDefault="00ED02A4" w:rsidP="00ED02A4">
      <w:pPr>
        <w:jc w:val="center"/>
        <w:rPr>
          <w:rFonts w:ascii="Calibri" w:eastAsia="Times New Roman" w:hAnsi="Calibri" w:cs="Times New Roman"/>
          <w:b/>
          <w:bCs/>
          <w:color w:val="000000"/>
          <w:sz w:val="24"/>
          <w:szCs w:val="24"/>
          <w:u w:val="single"/>
          <w:lang w:eastAsia="en-IE"/>
        </w:rPr>
      </w:pPr>
      <w:r w:rsidRPr="00D14720">
        <w:rPr>
          <w:noProof/>
          <w:lang w:val="en-US"/>
        </w:rPr>
        <w:drawing>
          <wp:inline distT="0" distB="0" distL="0" distR="0" wp14:anchorId="1F1355B2" wp14:editId="43CB4C3B">
            <wp:extent cx="5397335" cy="1965366"/>
            <wp:effectExtent l="0" t="0" r="13335" b="1587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E7261F8" w14:textId="77777777" w:rsidR="00ED02A4" w:rsidRPr="00D14720" w:rsidRDefault="00ED02A4" w:rsidP="00ED02A4">
      <w:pPr>
        <w:spacing w:line="240" w:lineRule="auto"/>
        <w:jc w:val="both"/>
        <w:rPr>
          <w:rFonts w:ascii="Calibri" w:eastAsia="Times New Roman" w:hAnsi="Calibri" w:cs="Times New Roman"/>
          <w:color w:val="000000"/>
          <w:lang w:eastAsia="en-IE"/>
        </w:rPr>
      </w:pPr>
      <w:r w:rsidRPr="00D14720">
        <w:t xml:space="preserve">Notes: </w:t>
      </w:r>
      <w:r w:rsidRPr="00D14720">
        <w:rPr>
          <w:rFonts w:ascii="Calibri" w:eastAsia="Times New Roman" w:hAnsi="Calibri" w:cs="Times New Roman"/>
          <w:color w:val="000000"/>
          <w:lang w:eastAsia="en-IE"/>
        </w:rPr>
        <w:t>This figure shows the average cumulative percentage of variance explained by the sorted (low to high) eigenvalues from pre-1986 cohort covariance matrices.</w:t>
      </w:r>
      <w:r w:rsidRPr="00D14720">
        <w:t xml:space="preserve">   These eigenvalues represent averages for the period 1986-2012. The principal components are obtained from the pre-1986 markets (</w:t>
      </w:r>
      <w:r w:rsidRPr="00D14720">
        <w:rPr>
          <w:rFonts w:ascii="Calibri" w:eastAsia="Times New Roman" w:hAnsi="Calibri" w:cs="Times New Roman"/>
          <w:color w:val="000000"/>
          <w:lang w:eastAsia="en-IE"/>
        </w:rPr>
        <w:t>Equity: Australia, Austria, Belgium, Canada, Denmark, France, Germany, Hong Kong, Ireland, Italy, Japan, Netherlands, Singapore, South Africa, Switzerland, UK, US, Brazil, Malaysia, Norway, South Korea, Spain, Sweden; Bond: Austria, Belgium, Canada, Denmark, France, Germany, Ireland, Japan, Netherlands, Sweden, Switzerland, UK, US, and REIT: Australia, Netherlands, UK, and US).</w:t>
      </w:r>
    </w:p>
    <w:p w14:paraId="15253D1D" w14:textId="77777777" w:rsidR="00ED02A4" w:rsidRPr="00D14720" w:rsidRDefault="00ED02A4" w:rsidP="00ED02A4">
      <w:r w:rsidRPr="00D14720">
        <w:br w:type="page"/>
      </w:r>
    </w:p>
    <w:p w14:paraId="50A64917" w14:textId="77777777" w:rsidR="00ED02A4" w:rsidRPr="00D14720" w:rsidRDefault="00ED02A4" w:rsidP="00ED02A4">
      <w:pPr>
        <w:jc w:val="center"/>
        <w:rPr>
          <w:b/>
          <w:bCs/>
          <w:sz w:val="24"/>
          <w:szCs w:val="24"/>
        </w:rPr>
      </w:pPr>
      <w:r w:rsidRPr="00D14720">
        <w:rPr>
          <w:b/>
          <w:bCs/>
          <w:sz w:val="24"/>
          <w:szCs w:val="24"/>
        </w:rPr>
        <w:lastRenderedPageBreak/>
        <w:t>Appendix Figure 2</w:t>
      </w:r>
    </w:p>
    <w:p w14:paraId="164EE31B" w14:textId="77777777" w:rsidR="00ED02A4" w:rsidRPr="00D14720" w:rsidRDefault="00ED02A4" w:rsidP="00ED02A4">
      <w:pPr>
        <w:jc w:val="center"/>
        <w:rPr>
          <w:b/>
          <w:bCs/>
          <w:sz w:val="24"/>
          <w:szCs w:val="24"/>
        </w:rPr>
      </w:pPr>
      <w:r w:rsidRPr="00D14720">
        <w:rPr>
          <w:b/>
          <w:bCs/>
          <w:sz w:val="24"/>
          <w:szCs w:val="24"/>
        </w:rPr>
        <w:t>Percentage of Variance Explained over Time by Sorted Eigenvalues from Pre-1986 Cohort Covariance Matrices</w:t>
      </w:r>
    </w:p>
    <w:p w14:paraId="6B6B3DED" w14:textId="77777777" w:rsidR="00ED02A4" w:rsidRPr="00D14720" w:rsidRDefault="00ED02A4" w:rsidP="00ED02A4">
      <w:pPr>
        <w:spacing w:line="240" w:lineRule="auto"/>
        <w:jc w:val="both"/>
      </w:pPr>
      <w:r w:rsidRPr="00D14720">
        <w:rPr>
          <w:noProof/>
          <w:lang w:val="en-US"/>
        </w:rPr>
        <w:drawing>
          <wp:inline distT="0" distB="0" distL="0" distR="0" wp14:anchorId="6938409C" wp14:editId="2E137DF6">
            <wp:extent cx="5400000" cy="2700000"/>
            <wp:effectExtent l="0" t="0" r="10795" b="2476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C339301" w14:textId="77777777" w:rsidR="00ED02A4" w:rsidRPr="00D14720" w:rsidRDefault="00ED02A4" w:rsidP="00ED02A4">
      <w:pPr>
        <w:spacing w:line="240" w:lineRule="auto"/>
        <w:jc w:val="both"/>
      </w:pPr>
      <w:r w:rsidRPr="00D14720">
        <w:t>Notes: This figure shows the time series of cumulative percentage of variance explained by the sorted (low to high) eigenvalues from pre-1986 cohort covariance matrices.   The principal components are obtained from the pre-1986 markets (Equity: Australia, Austria, Belgium, Canada, Denmark, France, Germany, Hong Kong, Ireland, Italy, Japan, Netherlands, Singapore, South Africa, Switzerland, UK, US, Brazil, Malaysia, Norway, South Korea, Spain, Sweden; Bond: Austria, Belgium, Canada, Denmark, France, Germany, Ireland, Japan, Netherlands, Sweden, Switzerland, UK, US, and REIT: Australia, Netherlands, UK, and US).</w:t>
      </w:r>
    </w:p>
    <w:p w14:paraId="319B420A" w14:textId="77777777" w:rsidR="00ED02A4" w:rsidRPr="00D14720" w:rsidRDefault="00ED02A4" w:rsidP="00ED02A4">
      <w:r w:rsidRPr="00D14720">
        <w:br w:type="page"/>
      </w:r>
    </w:p>
    <w:p w14:paraId="2C4147B6" w14:textId="77777777" w:rsidR="00ED02A4" w:rsidRPr="00D14720" w:rsidRDefault="00ED02A4" w:rsidP="00ED02A4">
      <w:pPr>
        <w:spacing w:after="0"/>
        <w:jc w:val="center"/>
        <w:rPr>
          <w:b/>
          <w:bCs/>
          <w:sz w:val="24"/>
          <w:szCs w:val="24"/>
        </w:rPr>
      </w:pPr>
      <w:r w:rsidRPr="00D14720">
        <w:rPr>
          <w:b/>
          <w:bCs/>
          <w:sz w:val="24"/>
          <w:szCs w:val="24"/>
        </w:rPr>
        <w:lastRenderedPageBreak/>
        <w:t>Appendix Figure 3</w:t>
      </w:r>
    </w:p>
    <w:p w14:paraId="5F68CEEE" w14:textId="77777777" w:rsidR="00ED02A4" w:rsidRPr="00D14720" w:rsidRDefault="00ED02A4" w:rsidP="00ED02A4">
      <w:pPr>
        <w:spacing w:after="0"/>
        <w:jc w:val="center"/>
        <w:rPr>
          <w:b/>
          <w:bCs/>
          <w:sz w:val="24"/>
          <w:szCs w:val="24"/>
        </w:rPr>
      </w:pPr>
      <w:r w:rsidRPr="00D14720">
        <w:rPr>
          <w:b/>
          <w:bCs/>
          <w:sz w:val="24"/>
          <w:szCs w:val="24"/>
        </w:rPr>
        <w:t>Trends in World Diversification Indexes and Recessions</w:t>
      </w:r>
    </w:p>
    <w:p w14:paraId="52D77B0B" w14:textId="77777777" w:rsidR="00ED02A4" w:rsidRPr="00D14720" w:rsidRDefault="00ED02A4" w:rsidP="00ED02A4">
      <w:pPr>
        <w:jc w:val="center"/>
      </w:pPr>
      <w:r w:rsidRPr="00D14720">
        <w:rPr>
          <w:noProof/>
          <w:lang w:val="en-US"/>
        </w:rPr>
        <w:drawing>
          <wp:inline distT="0" distB="0" distL="0" distR="0" wp14:anchorId="3CD3FF50" wp14:editId="2BF67BB4">
            <wp:extent cx="5400000" cy="1800000"/>
            <wp:effectExtent l="0" t="0" r="10795" b="1016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F983521" w14:textId="77777777" w:rsidR="00ED02A4" w:rsidRPr="00D14720" w:rsidRDefault="00ED02A4" w:rsidP="00ED02A4">
      <w:pPr>
        <w:jc w:val="center"/>
      </w:pPr>
      <w:r w:rsidRPr="00D14720">
        <w:rPr>
          <w:noProof/>
          <w:lang w:val="en-US"/>
        </w:rPr>
        <w:drawing>
          <wp:inline distT="0" distB="0" distL="0" distR="0" wp14:anchorId="29F4617D" wp14:editId="1F4CBBA0">
            <wp:extent cx="5400000" cy="1800000"/>
            <wp:effectExtent l="0" t="0" r="10795" b="1016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D3B0E8C" w14:textId="77777777" w:rsidR="00ED02A4" w:rsidRPr="00D14720" w:rsidRDefault="00ED02A4" w:rsidP="00ED02A4">
      <w:pPr>
        <w:jc w:val="center"/>
      </w:pPr>
      <w:r w:rsidRPr="00D14720">
        <w:rPr>
          <w:noProof/>
          <w:lang w:val="en-US"/>
        </w:rPr>
        <w:drawing>
          <wp:inline distT="0" distB="0" distL="0" distR="0" wp14:anchorId="5DC699FA" wp14:editId="270DF625">
            <wp:extent cx="5400000" cy="1800000"/>
            <wp:effectExtent l="0" t="0" r="10795" b="1016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DAA0FB6" w14:textId="77777777" w:rsidR="00ED02A4" w:rsidRPr="00D14720" w:rsidRDefault="00ED02A4" w:rsidP="00380104">
      <w:pPr>
        <w:spacing w:line="240" w:lineRule="auto"/>
        <w:jc w:val="both"/>
      </w:pPr>
      <w:r w:rsidRPr="00D14720">
        <w:t xml:space="preserve">Notes: This figure shows the average diversification indexes for each asset class and NBER recessions between 1986 and 2012.  There is a time-series plot of the diversification indexes and NBER recessionary period (red bars).  The diversification index is measured by the average R-squares from the multi-factor asset returns model fitted using daily data every year between 1986 and 2012 for all markets in the database.   The model fits asset returns within each year on global factors. The global factors are 16 principal components obtained from the pre1986 markets (Equity: Australia, Austria, Belgium, Canada, Denmark, France, Germany, Hong Kong, Ireland, Italy, Japan, Netherlands, Singapore, South Africa, Switzerland, UK, US, Brazil, Malaysia, Norway, South Korea, Spain, Sweden; Bond: Austria, Belgium, Canada, Denmark, France, Germany, Ireland, Japan, Netherlands, Sweden, Switzerland, UK, US, and REIT: Australia, Netherlands, UK, and US). A diversification value is obtained for each market assuming there are 50 valid daily returns per year.  </w:t>
      </w:r>
    </w:p>
    <w:p w14:paraId="6029A6E3" w14:textId="77777777" w:rsidR="00ED02A4" w:rsidRPr="00D14720" w:rsidRDefault="00ED02A4" w:rsidP="00ED02A4">
      <w:pPr>
        <w:rPr>
          <w:b/>
          <w:bCs/>
          <w:sz w:val="24"/>
          <w:szCs w:val="24"/>
        </w:rPr>
      </w:pPr>
      <w:r w:rsidRPr="00D14720">
        <w:rPr>
          <w:b/>
          <w:bCs/>
          <w:sz w:val="24"/>
          <w:szCs w:val="24"/>
        </w:rPr>
        <w:br w:type="page"/>
      </w:r>
    </w:p>
    <w:p w14:paraId="38F43047" w14:textId="77777777" w:rsidR="00ED02A4" w:rsidRPr="00D14720" w:rsidRDefault="00ED02A4" w:rsidP="00ED02A4">
      <w:pPr>
        <w:jc w:val="center"/>
        <w:rPr>
          <w:b/>
          <w:bCs/>
          <w:sz w:val="24"/>
          <w:szCs w:val="24"/>
        </w:rPr>
      </w:pPr>
      <w:r w:rsidRPr="00D14720">
        <w:rPr>
          <w:b/>
          <w:bCs/>
          <w:sz w:val="24"/>
          <w:szCs w:val="24"/>
        </w:rPr>
        <w:lastRenderedPageBreak/>
        <w:t>Appendix Figure 4</w:t>
      </w:r>
    </w:p>
    <w:p w14:paraId="0AECD728" w14:textId="77777777" w:rsidR="00ED02A4" w:rsidRPr="00D14720" w:rsidRDefault="00ED02A4" w:rsidP="00ED02A4">
      <w:pPr>
        <w:jc w:val="center"/>
        <w:rPr>
          <w:b/>
          <w:bCs/>
          <w:sz w:val="24"/>
          <w:szCs w:val="24"/>
        </w:rPr>
      </w:pPr>
      <w:r w:rsidRPr="00D14720">
        <w:rPr>
          <w:b/>
          <w:bCs/>
          <w:sz w:val="24"/>
          <w:szCs w:val="24"/>
        </w:rPr>
        <w:t xml:space="preserve">Trends in Diversification Indexes   </w:t>
      </w:r>
    </w:p>
    <w:p w14:paraId="3B06D852" w14:textId="77777777" w:rsidR="00ED02A4" w:rsidRPr="00D14720" w:rsidRDefault="00ED02A4" w:rsidP="00ED02A4">
      <w:pPr>
        <w:jc w:val="center"/>
        <w:rPr>
          <w:b/>
          <w:bCs/>
          <w:sz w:val="24"/>
          <w:szCs w:val="24"/>
        </w:rPr>
      </w:pPr>
      <w:r w:rsidRPr="00D14720">
        <w:rPr>
          <w:b/>
          <w:bCs/>
          <w:sz w:val="24"/>
          <w:szCs w:val="24"/>
        </w:rPr>
        <w:t>Panel A:</w:t>
      </w:r>
      <w:r w:rsidRPr="00D14720">
        <w:t xml:space="preserve"> </w:t>
      </w:r>
      <w:r w:rsidRPr="00D14720">
        <w:rPr>
          <w:b/>
          <w:bCs/>
          <w:sz w:val="24"/>
          <w:szCs w:val="24"/>
        </w:rPr>
        <w:t>Differences in Diversification Indexes for Bear and Bull returns and Mean Returns</w:t>
      </w:r>
    </w:p>
    <w:p w14:paraId="10A5A3E0" w14:textId="77777777" w:rsidR="00ED02A4" w:rsidRPr="00D14720" w:rsidRDefault="00ED02A4" w:rsidP="00ED02A4">
      <w:pPr>
        <w:jc w:val="center"/>
        <w:rPr>
          <w:b/>
          <w:bCs/>
          <w:sz w:val="24"/>
          <w:szCs w:val="24"/>
        </w:rPr>
      </w:pPr>
      <w:r w:rsidRPr="00D14720">
        <w:rPr>
          <w:noProof/>
          <w:lang w:val="en-US"/>
        </w:rPr>
        <w:drawing>
          <wp:inline distT="0" distB="0" distL="0" distR="0" wp14:anchorId="5DA8B99D" wp14:editId="2CE5A383">
            <wp:extent cx="5400000" cy="1800000"/>
            <wp:effectExtent l="0" t="0" r="10795" b="1016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D8C72EF" w14:textId="77777777" w:rsidR="00ED02A4" w:rsidRPr="00D14720" w:rsidRDefault="00ED02A4" w:rsidP="00ED02A4">
      <w:pPr>
        <w:jc w:val="center"/>
        <w:rPr>
          <w:b/>
          <w:bCs/>
          <w:sz w:val="24"/>
          <w:szCs w:val="24"/>
        </w:rPr>
      </w:pPr>
      <w:r w:rsidRPr="00D14720">
        <w:rPr>
          <w:noProof/>
          <w:lang w:val="en-US"/>
        </w:rPr>
        <w:drawing>
          <wp:inline distT="0" distB="0" distL="0" distR="0" wp14:anchorId="00BEAC84" wp14:editId="2DECE1DA">
            <wp:extent cx="5400000" cy="1800000"/>
            <wp:effectExtent l="0" t="0" r="10795" b="1016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0221B42" w14:textId="77777777" w:rsidR="00ED02A4" w:rsidRPr="00D14720" w:rsidRDefault="00ED02A4" w:rsidP="00ED02A4">
      <w:pPr>
        <w:jc w:val="center"/>
        <w:rPr>
          <w:b/>
          <w:bCs/>
          <w:sz w:val="24"/>
          <w:szCs w:val="24"/>
        </w:rPr>
      </w:pPr>
      <w:r w:rsidRPr="00D14720">
        <w:rPr>
          <w:noProof/>
          <w:lang w:val="en-US"/>
        </w:rPr>
        <w:drawing>
          <wp:inline distT="0" distB="0" distL="0" distR="0" wp14:anchorId="73A12DE1" wp14:editId="0969F33C">
            <wp:extent cx="5400000" cy="1800000"/>
            <wp:effectExtent l="0" t="0" r="10795" b="1016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77C840D" w14:textId="77777777" w:rsidR="00ED02A4" w:rsidRPr="00D14720" w:rsidRDefault="00ED02A4" w:rsidP="00ED02A4">
      <w:pPr>
        <w:contextualSpacing/>
        <w:jc w:val="center"/>
      </w:pPr>
    </w:p>
    <w:p w14:paraId="0EE2AEBB" w14:textId="77777777" w:rsidR="00ED02A4" w:rsidRPr="00D14720" w:rsidRDefault="00ED02A4" w:rsidP="00ED02A4">
      <w:pPr>
        <w:contextualSpacing/>
        <w:jc w:val="center"/>
      </w:pPr>
    </w:p>
    <w:p w14:paraId="295604C4" w14:textId="77777777" w:rsidR="00ED02A4" w:rsidRPr="00D14720" w:rsidRDefault="00ED02A4" w:rsidP="00ED02A4">
      <w:pPr>
        <w:ind w:left="720"/>
        <w:contextualSpacing/>
        <w:jc w:val="center"/>
      </w:pPr>
    </w:p>
    <w:p w14:paraId="64019BF5" w14:textId="77777777" w:rsidR="00ED02A4" w:rsidRPr="00D14720" w:rsidRDefault="00ED02A4" w:rsidP="00ED02A4">
      <w:pPr>
        <w:ind w:left="720"/>
        <w:contextualSpacing/>
        <w:jc w:val="center"/>
      </w:pPr>
    </w:p>
    <w:p w14:paraId="2CC8EE28" w14:textId="77777777" w:rsidR="00ED02A4" w:rsidRPr="00D14720" w:rsidRDefault="00ED02A4" w:rsidP="00ED02A4">
      <w:pPr>
        <w:rPr>
          <w:b/>
          <w:bCs/>
        </w:rPr>
      </w:pPr>
      <w:r w:rsidRPr="00D14720">
        <w:rPr>
          <w:b/>
          <w:bCs/>
        </w:rPr>
        <w:br w:type="page"/>
      </w:r>
    </w:p>
    <w:p w14:paraId="33653A71" w14:textId="77777777" w:rsidR="00ED02A4" w:rsidRPr="00D14720" w:rsidRDefault="00ED02A4" w:rsidP="00ED02A4">
      <w:pPr>
        <w:jc w:val="center"/>
      </w:pPr>
      <w:r w:rsidRPr="00D14720">
        <w:rPr>
          <w:b/>
          <w:bCs/>
        </w:rPr>
        <w:lastRenderedPageBreak/>
        <w:t>Panel B: Differences in Diversification Indexes for High and Low VIX and Mean VIX</w:t>
      </w:r>
      <w:r w:rsidRPr="00D14720">
        <w:t xml:space="preserve">  </w:t>
      </w:r>
    </w:p>
    <w:p w14:paraId="4D7FC695" w14:textId="77777777" w:rsidR="00ED02A4" w:rsidRPr="00D14720" w:rsidRDefault="00ED02A4" w:rsidP="00ED02A4">
      <w:pPr>
        <w:jc w:val="center"/>
      </w:pPr>
      <w:r w:rsidRPr="00D14720">
        <w:rPr>
          <w:noProof/>
          <w:lang w:val="en-US"/>
        </w:rPr>
        <w:drawing>
          <wp:inline distT="0" distB="0" distL="0" distR="0" wp14:anchorId="40A50277" wp14:editId="155C5584">
            <wp:extent cx="5400000" cy="1800000"/>
            <wp:effectExtent l="0" t="0" r="10795" b="1016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9F2318C" w14:textId="77777777" w:rsidR="00ED02A4" w:rsidRPr="00D14720" w:rsidRDefault="00ED02A4" w:rsidP="00ED02A4">
      <w:pPr>
        <w:jc w:val="center"/>
      </w:pPr>
      <w:r w:rsidRPr="00D14720">
        <w:rPr>
          <w:noProof/>
          <w:lang w:val="en-US"/>
        </w:rPr>
        <w:drawing>
          <wp:inline distT="0" distB="0" distL="0" distR="0" wp14:anchorId="12496AF8" wp14:editId="2599608C">
            <wp:extent cx="5400000" cy="1800000"/>
            <wp:effectExtent l="0" t="0" r="10795" b="1016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B63A586" w14:textId="77777777" w:rsidR="00ED02A4" w:rsidRPr="00D14720" w:rsidRDefault="00ED02A4" w:rsidP="00ED02A4">
      <w:pPr>
        <w:jc w:val="center"/>
      </w:pPr>
      <w:r w:rsidRPr="00D14720">
        <w:rPr>
          <w:noProof/>
          <w:lang w:val="en-US"/>
        </w:rPr>
        <w:drawing>
          <wp:inline distT="0" distB="0" distL="0" distR="0" wp14:anchorId="08199409" wp14:editId="5850C116">
            <wp:extent cx="5400000" cy="1800000"/>
            <wp:effectExtent l="0" t="0" r="10795" b="1016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8D1BB1A" w14:textId="77777777" w:rsidR="00ED02A4" w:rsidRPr="00D14720" w:rsidRDefault="00ED02A4" w:rsidP="00ED02A4">
      <w:pPr>
        <w:jc w:val="center"/>
      </w:pPr>
      <w:r w:rsidRPr="00D14720">
        <w:t xml:space="preserve"> </w:t>
      </w:r>
    </w:p>
    <w:p w14:paraId="0103C1D8" w14:textId="77777777" w:rsidR="00ED02A4" w:rsidRPr="00D14720" w:rsidRDefault="00ED02A4" w:rsidP="00ED02A4">
      <w:pPr>
        <w:jc w:val="center"/>
      </w:pPr>
      <w:r w:rsidRPr="00D14720">
        <w:t xml:space="preserve">           </w:t>
      </w:r>
    </w:p>
    <w:p w14:paraId="08303671" w14:textId="77777777" w:rsidR="00ED02A4" w:rsidRPr="00D14720" w:rsidRDefault="00ED02A4" w:rsidP="00ED02A4">
      <w:pPr>
        <w:ind w:left="720"/>
        <w:contextualSpacing/>
        <w:jc w:val="center"/>
      </w:pPr>
    </w:p>
    <w:p w14:paraId="3CA53EA8" w14:textId="77777777" w:rsidR="00ED02A4" w:rsidRPr="00D14720" w:rsidRDefault="00ED02A4" w:rsidP="00ED02A4">
      <w:pPr>
        <w:ind w:left="720"/>
        <w:contextualSpacing/>
        <w:jc w:val="center"/>
      </w:pPr>
    </w:p>
    <w:p w14:paraId="2A617B73" w14:textId="77777777" w:rsidR="00ED02A4" w:rsidRPr="00D14720" w:rsidRDefault="00ED02A4" w:rsidP="00ED02A4">
      <w:pPr>
        <w:ind w:left="720"/>
        <w:contextualSpacing/>
        <w:jc w:val="center"/>
      </w:pPr>
    </w:p>
    <w:p w14:paraId="78C9C6C9" w14:textId="77777777" w:rsidR="00ED02A4" w:rsidRPr="00D14720" w:rsidRDefault="00ED02A4" w:rsidP="00ED02A4">
      <w:pPr>
        <w:ind w:left="720"/>
        <w:contextualSpacing/>
        <w:jc w:val="center"/>
      </w:pPr>
    </w:p>
    <w:p w14:paraId="6FDC0F51" w14:textId="77777777" w:rsidR="00ED02A4" w:rsidRPr="00D14720" w:rsidRDefault="00ED02A4" w:rsidP="00ED02A4">
      <w:pPr>
        <w:ind w:left="720"/>
        <w:contextualSpacing/>
        <w:jc w:val="center"/>
      </w:pPr>
    </w:p>
    <w:p w14:paraId="684491D5" w14:textId="77777777" w:rsidR="00ED02A4" w:rsidRPr="00D14720" w:rsidRDefault="00ED02A4" w:rsidP="00ED02A4">
      <w:pPr>
        <w:ind w:left="720"/>
        <w:contextualSpacing/>
        <w:jc w:val="center"/>
      </w:pPr>
    </w:p>
    <w:p w14:paraId="299B7883" w14:textId="77777777" w:rsidR="00ED02A4" w:rsidRPr="00D14720" w:rsidRDefault="00ED02A4" w:rsidP="00ED02A4">
      <w:pPr>
        <w:ind w:left="720"/>
        <w:contextualSpacing/>
        <w:jc w:val="center"/>
      </w:pPr>
    </w:p>
    <w:p w14:paraId="4C6B1527" w14:textId="77777777" w:rsidR="00ED02A4" w:rsidRPr="00D14720" w:rsidRDefault="00ED02A4" w:rsidP="00ED02A4">
      <w:pPr>
        <w:rPr>
          <w:b/>
          <w:bCs/>
        </w:rPr>
      </w:pPr>
      <w:r w:rsidRPr="00D14720">
        <w:rPr>
          <w:b/>
          <w:bCs/>
        </w:rPr>
        <w:br w:type="page"/>
      </w:r>
    </w:p>
    <w:p w14:paraId="431751A9" w14:textId="77777777" w:rsidR="00ED02A4" w:rsidRPr="00D14720" w:rsidRDefault="00ED02A4" w:rsidP="00ED02A4">
      <w:pPr>
        <w:ind w:left="720"/>
        <w:contextualSpacing/>
        <w:jc w:val="center"/>
      </w:pPr>
      <w:r w:rsidRPr="00D14720">
        <w:rPr>
          <w:b/>
          <w:bCs/>
        </w:rPr>
        <w:lastRenderedPageBreak/>
        <w:t>Panel C: Differences in Diversification Indexes for High and Low TED and Mean TED</w:t>
      </w:r>
    </w:p>
    <w:p w14:paraId="70A487B9" w14:textId="77777777" w:rsidR="00ED02A4" w:rsidRPr="00D14720" w:rsidRDefault="00ED02A4" w:rsidP="00ED02A4">
      <w:pPr>
        <w:ind w:left="720"/>
        <w:contextualSpacing/>
        <w:jc w:val="center"/>
      </w:pPr>
    </w:p>
    <w:p w14:paraId="72F7C169" w14:textId="77777777" w:rsidR="00ED02A4" w:rsidRPr="00D14720" w:rsidRDefault="00ED02A4" w:rsidP="00ED02A4">
      <w:pPr>
        <w:tabs>
          <w:tab w:val="left" w:pos="7371"/>
        </w:tabs>
        <w:ind w:left="720"/>
        <w:contextualSpacing/>
        <w:jc w:val="center"/>
      </w:pPr>
      <w:r w:rsidRPr="00D14720">
        <w:rPr>
          <w:noProof/>
          <w:lang w:val="en-US"/>
        </w:rPr>
        <w:drawing>
          <wp:inline distT="0" distB="0" distL="0" distR="0" wp14:anchorId="2D0C3C17" wp14:editId="496A02B1">
            <wp:extent cx="5400000" cy="1800000"/>
            <wp:effectExtent l="0" t="0" r="10795" b="1016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5C3C711" w14:textId="77777777" w:rsidR="00ED02A4" w:rsidRPr="00D14720" w:rsidRDefault="00ED02A4" w:rsidP="00ED02A4">
      <w:pPr>
        <w:ind w:left="720"/>
        <w:contextualSpacing/>
        <w:jc w:val="center"/>
      </w:pPr>
      <w:r w:rsidRPr="00D14720">
        <w:rPr>
          <w:noProof/>
          <w:lang w:val="en-US"/>
        </w:rPr>
        <w:drawing>
          <wp:inline distT="0" distB="0" distL="0" distR="0" wp14:anchorId="02F60CF5" wp14:editId="345BBF83">
            <wp:extent cx="5400000" cy="1800000"/>
            <wp:effectExtent l="0" t="0" r="10795" b="1016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2B89CA2" w14:textId="77777777" w:rsidR="00ED02A4" w:rsidRPr="00D14720" w:rsidRDefault="00ED02A4" w:rsidP="00ED02A4">
      <w:pPr>
        <w:ind w:left="720"/>
        <w:contextualSpacing/>
        <w:jc w:val="center"/>
      </w:pPr>
      <w:r w:rsidRPr="00D14720">
        <w:rPr>
          <w:noProof/>
          <w:lang w:val="en-US"/>
        </w:rPr>
        <w:drawing>
          <wp:inline distT="0" distB="0" distL="0" distR="0" wp14:anchorId="3ECEDA63" wp14:editId="209CD19F">
            <wp:extent cx="5400000" cy="1800000"/>
            <wp:effectExtent l="0" t="0" r="10795" b="1016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AE9D799" w14:textId="77777777" w:rsidR="009468B1" w:rsidRDefault="009468B1" w:rsidP="00ED02A4">
      <w:pPr>
        <w:spacing w:line="240" w:lineRule="auto"/>
        <w:jc w:val="both"/>
      </w:pPr>
    </w:p>
    <w:p w14:paraId="5F5DDB4D" w14:textId="42B4BE00" w:rsidR="00ED02A4" w:rsidRPr="00D14720" w:rsidRDefault="00ED02A4" w:rsidP="00ED02A4">
      <w:pPr>
        <w:spacing w:line="240" w:lineRule="auto"/>
        <w:jc w:val="both"/>
      </w:pPr>
      <w:r w:rsidRPr="00D14720">
        <w:t xml:space="preserve">Notes: This figure uses the average diversification indexes for each asset class between 1986 and 2012. In panel A there are the average returns and the difference in diversification between bear and bull returns using values above (bull) and below (bear) the median return.  In panel B there are the average VIX and the difference in diversification between above (high VIX) and below (low VIX) the median VIX values.  In panel C there are the average TED spreads and the difference in diversification between above (high TED) and below (low TED) the median TED values.    The diversification index is measured by the average R-squares from the multi-factor asset returns model fitted using daily data every year between 1986 and 2012 for all markets in the database.   The model fits asset returns within each year on global factors. The global factors are 16 principal components obtained from the pre1986 markets (Equity: Australia, Austria, Belgium, Canada, Denmark, France, Germany, Hong Kong, Ireland, Italy, Japan, Netherlands, Singapore, South Africa, Switzerland, UK, US, Brazil, Malaysia, Norway, South Korea, Spain, Sweden; Bond: Austria, Belgium, Canada, Denmark, France, Germany, Ireland, Japan, Netherlands, Sweden, Switzerland, UK, US, and REIT: Australia, Netherlands, UK, and US). A diversification value is obtained for each market assuming there are 50 valid daily returns per year.  </w:t>
      </w:r>
      <w:r w:rsidRPr="00D14720">
        <w:br w:type="page"/>
      </w:r>
    </w:p>
    <w:p w14:paraId="2EB2FAC1" w14:textId="77777777" w:rsidR="00ED02A4" w:rsidRPr="00D14720" w:rsidRDefault="00ED02A4" w:rsidP="00ED02A4">
      <w:pPr>
        <w:jc w:val="center"/>
        <w:rPr>
          <w:b/>
          <w:bCs/>
          <w:sz w:val="24"/>
          <w:szCs w:val="24"/>
        </w:rPr>
      </w:pPr>
      <w:r w:rsidRPr="00D14720">
        <w:rPr>
          <w:b/>
          <w:bCs/>
          <w:sz w:val="24"/>
          <w:szCs w:val="24"/>
        </w:rPr>
        <w:lastRenderedPageBreak/>
        <w:t>Appendix Table 1</w:t>
      </w:r>
    </w:p>
    <w:p w14:paraId="234A9987" w14:textId="77777777" w:rsidR="00ED02A4" w:rsidRPr="00D14720" w:rsidRDefault="00ED02A4" w:rsidP="00ED02A4">
      <w:pPr>
        <w:jc w:val="center"/>
        <w:rPr>
          <w:b/>
          <w:bCs/>
          <w:sz w:val="24"/>
          <w:szCs w:val="24"/>
        </w:rPr>
      </w:pPr>
      <w:r w:rsidRPr="00D14720">
        <w:rPr>
          <w:b/>
          <w:bCs/>
          <w:sz w:val="24"/>
          <w:szCs w:val="24"/>
        </w:rPr>
        <w:t>Correlations of World Diversification Indexes</w:t>
      </w:r>
    </w:p>
    <w:tbl>
      <w:tblPr>
        <w:tblW w:w="9242" w:type="dxa"/>
        <w:tblLook w:val="04A0" w:firstRow="1" w:lastRow="0" w:firstColumn="1" w:lastColumn="0" w:noHBand="0" w:noVBand="1"/>
      </w:tblPr>
      <w:tblGrid>
        <w:gridCol w:w="778"/>
        <w:gridCol w:w="778"/>
        <w:gridCol w:w="699"/>
        <w:gridCol w:w="700"/>
        <w:gridCol w:w="834"/>
        <w:gridCol w:w="842"/>
        <w:gridCol w:w="786"/>
        <w:gridCol w:w="701"/>
        <w:gridCol w:w="861"/>
        <w:gridCol w:w="861"/>
        <w:gridCol w:w="701"/>
        <w:gridCol w:w="701"/>
      </w:tblGrid>
      <w:tr w:rsidR="00ED02A4" w:rsidRPr="00D14720" w14:paraId="4C67AF28" w14:textId="77777777" w:rsidTr="00367A87">
        <w:trPr>
          <w:trHeight w:val="300"/>
        </w:trPr>
        <w:tc>
          <w:tcPr>
            <w:tcW w:w="9242" w:type="dxa"/>
            <w:gridSpan w:val="12"/>
            <w:tcBorders>
              <w:top w:val="single" w:sz="4" w:space="0" w:color="auto"/>
              <w:left w:val="single" w:sz="4" w:space="0" w:color="auto"/>
              <w:bottom w:val="nil"/>
              <w:right w:val="single" w:sz="4" w:space="0" w:color="auto"/>
            </w:tcBorders>
            <w:shd w:val="clear" w:color="auto" w:fill="auto"/>
            <w:noWrap/>
            <w:vAlign w:val="bottom"/>
            <w:hideMark/>
          </w:tcPr>
          <w:p w14:paraId="7FF09A98" w14:textId="77777777" w:rsidR="00ED02A4" w:rsidRPr="00D14720" w:rsidRDefault="00ED02A4" w:rsidP="00367A87">
            <w:pPr>
              <w:spacing w:after="0" w:line="240" w:lineRule="auto"/>
              <w:jc w:val="center"/>
              <w:rPr>
                <w:rFonts w:eastAsia="Times New Roman" w:cs="Times New Roman"/>
                <w:b/>
                <w:bCs/>
                <w:color w:val="000000"/>
                <w:sz w:val="20"/>
                <w:szCs w:val="20"/>
                <w:lang w:eastAsia="en-IE"/>
              </w:rPr>
            </w:pPr>
            <w:r w:rsidRPr="00D14720">
              <w:rPr>
                <w:rFonts w:eastAsia="Times New Roman" w:cs="Times New Roman"/>
                <w:b/>
                <w:bCs/>
                <w:color w:val="000000"/>
                <w:sz w:val="20"/>
                <w:szCs w:val="20"/>
                <w:lang w:eastAsia="en-IE"/>
              </w:rPr>
              <w:t>Correlations between World Diversification Indexes for Raw Returns</w:t>
            </w:r>
          </w:p>
        </w:tc>
      </w:tr>
      <w:tr w:rsidR="00ED02A4" w:rsidRPr="00D14720" w14:paraId="77472CCC"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40B767A0"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2177" w:type="dxa"/>
            <w:gridSpan w:val="3"/>
            <w:tcBorders>
              <w:top w:val="nil"/>
              <w:left w:val="nil"/>
              <w:bottom w:val="nil"/>
              <w:right w:val="single" w:sz="4" w:space="0" w:color="auto"/>
            </w:tcBorders>
            <w:shd w:val="clear" w:color="auto" w:fill="auto"/>
            <w:noWrap/>
            <w:vAlign w:val="bottom"/>
            <w:hideMark/>
          </w:tcPr>
          <w:p w14:paraId="570F33A6" w14:textId="77777777" w:rsidR="00ED02A4" w:rsidRPr="00D14720" w:rsidRDefault="00ED02A4" w:rsidP="00367A87">
            <w:pPr>
              <w:spacing w:after="0" w:line="240" w:lineRule="auto"/>
              <w:jc w:val="center"/>
              <w:rPr>
                <w:rFonts w:eastAsia="Times New Roman" w:cs="Times New Roman"/>
                <w:color w:val="000000"/>
                <w:sz w:val="20"/>
                <w:szCs w:val="20"/>
                <w:lang w:eastAsia="en-IE"/>
              </w:rPr>
            </w:pPr>
            <w:r w:rsidRPr="00D14720">
              <w:rPr>
                <w:rFonts w:eastAsia="Times New Roman" w:cs="Times New Roman"/>
                <w:color w:val="000000"/>
                <w:sz w:val="20"/>
                <w:szCs w:val="20"/>
                <w:lang w:eastAsia="en-IE"/>
              </w:rPr>
              <w:t>Full Period</w:t>
            </w:r>
          </w:p>
        </w:tc>
        <w:tc>
          <w:tcPr>
            <w:tcW w:w="834" w:type="dxa"/>
            <w:tcBorders>
              <w:top w:val="nil"/>
              <w:left w:val="single" w:sz="4" w:space="0" w:color="auto"/>
              <w:bottom w:val="nil"/>
              <w:right w:val="nil"/>
            </w:tcBorders>
            <w:shd w:val="clear" w:color="auto" w:fill="auto"/>
            <w:noWrap/>
            <w:vAlign w:val="bottom"/>
            <w:hideMark/>
          </w:tcPr>
          <w:p w14:paraId="7D3D4EED"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2329" w:type="dxa"/>
            <w:gridSpan w:val="3"/>
            <w:tcBorders>
              <w:top w:val="nil"/>
              <w:left w:val="nil"/>
              <w:bottom w:val="nil"/>
              <w:right w:val="single" w:sz="4" w:space="0" w:color="auto"/>
            </w:tcBorders>
            <w:shd w:val="clear" w:color="auto" w:fill="auto"/>
            <w:noWrap/>
            <w:vAlign w:val="bottom"/>
            <w:hideMark/>
          </w:tcPr>
          <w:p w14:paraId="3409E251" w14:textId="77777777" w:rsidR="00ED02A4" w:rsidRPr="00D14720" w:rsidRDefault="00ED02A4" w:rsidP="00367A87">
            <w:pPr>
              <w:spacing w:after="0" w:line="240" w:lineRule="auto"/>
              <w:jc w:val="center"/>
              <w:rPr>
                <w:rFonts w:eastAsia="Times New Roman" w:cs="Times New Roman"/>
                <w:color w:val="000000"/>
                <w:sz w:val="20"/>
                <w:szCs w:val="20"/>
                <w:lang w:eastAsia="en-IE"/>
              </w:rPr>
            </w:pPr>
            <w:r w:rsidRPr="00D14720">
              <w:rPr>
                <w:rFonts w:eastAsia="Times New Roman" w:cs="Times New Roman"/>
                <w:color w:val="000000"/>
                <w:sz w:val="20"/>
                <w:szCs w:val="20"/>
                <w:lang w:eastAsia="en-IE"/>
              </w:rPr>
              <w:t>Pre2000</w:t>
            </w:r>
          </w:p>
        </w:tc>
        <w:tc>
          <w:tcPr>
            <w:tcW w:w="861" w:type="dxa"/>
            <w:tcBorders>
              <w:top w:val="nil"/>
              <w:left w:val="single" w:sz="4" w:space="0" w:color="auto"/>
              <w:bottom w:val="nil"/>
              <w:right w:val="nil"/>
            </w:tcBorders>
            <w:shd w:val="clear" w:color="auto" w:fill="auto"/>
            <w:noWrap/>
            <w:vAlign w:val="bottom"/>
            <w:hideMark/>
          </w:tcPr>
          <w:p w14:paraId="7A3C1FCE"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2263" w:type="dxa"/>
            <w:gridSpan w:val="3"/>
            <w:tcBorders>
              <w:top w:val="nil"/>
              <w:left w:val="nil"/>
              <w:bottom w:val="nil"/>
              <w:right w:val="single" w:sz="4" w:space="0" w:color="auto"/>
            </w:tcBorders>
            <w:shd w:val="clear" w:color="auto" w:fill="auto"/>
            <w:noWrap/>
            <w:vAlign w:val="bottom"/>
            <w:hideMark/>
          </w:tcPr>
          <w:p w14:paraId="6F9D0EA1" w14:textId="77777777" w:rsidR="00ED02A4" w:rsidRPr="00D14720" w:rsidRDefault="00ED02A4" w:rsidP="00367A87">
            <w:pPr>
              <w:spacing w:after="0" w:line="240" w:lineRule="auto"/>
              <w:jc w:val="center"/>
              <w:rPr>
                <w:rFonts w:eastAsia="Times New Roman" w:cs="Times New Roman"/>
                <w:color w:val="000000"/>
                <w:sz w:val="20"/>
                <w:szCs w:val="20"/>
                <w:lang w:eastAsia="en-IE"/>
              </w:rPr>
            </w:pPr>
            <w:r w:rsidRPr="00D14720">
              <w:rPr>
                <w:rFonts w:eastAsia="Times New Roman" w:cs="Times New Roman"/>
                <w:color w:val="000000"/>
                <w:sz w:val="20"/>
                <w:szCs w:val="20"/>
                <w:lang w:eastAsia="en-IE"/>
              </w:rPr>
              <w:t>Post2000</w:t>
            </w:r>
          </w:p>
        </w:tc>
      </w:tr>
      <w:tr w:rsidR="00ED02A4" w:rsidRPr="00D14720" w14:paraId="75BCE520" w14:textId="77777777" w:rsidTr="00367A87">
        <w:trPr>
          <w:trHeight w:val="300"/>
        </w:trPr>
        <w:tc>
          <w:tcPr>
            <w:tcW w:w="2955" w:type="dxa"/>
            <w:gridSpan w:val="4"/>
            <w:tcBorders>
              <w:top w:val="nil"/>
              <w:left w:val="single" w:sz="4" w:space="0" w:color="auto"/>
              <w:bottom w:val="nil"/>
              <w:right w:val="single" w:sz="4" w:space="0" w:color="auto"/>
            </w:tcBorders>
            <w:shd w:val="clear" w:color="auto" w:fill="auto"/>
            <w:noWrap/>
            <w:vAlign w:val="bottom"/>
            <w:hideMark/>
          </w:tcPr>
          <w:p w14:paraId="008E871F"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Contemporaneous</w:t>
            </w:r>
          </w:p>
        </w:tc>
        <w:tc>
          <w:tcPr>
            <w:tcW w:w="3163" w:type="dxa"/>
            <w:gridSpan w:val="4"/>
            <w:tcBorders>
              <w:top w:val="nil"/>
              <w:left w:val="single" w:sz="4" w:space="0" w:color="auto"/>
              <w:bottom w:val="nil"/>
              <w:right w:val="single" w:sz="4" w:space="0" w:color="auto"/>
            </w:tcBorders>
            <w:shd w:val="clear" w:color="auto" w:fill="auto"/>
            <w:noWrap/>
            <w:vAlign w:val="bottom"/>
            <w:hideMark/>
          </w:tcPr>
          <w:p w14:paraId="76E27139"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Contemporaneous</w:t>
            </w:r>
          </w:p>
        </w:tc>
        <w:tc>
          <w:tcPr>
            <w:tcW w:w="3124" w:type="dxa"/>
            <w:gridSpan w:val="4"/>
            <w:tcBorders>
              <w:top w:val="nil"/>
              <w:left w:val="single" w:sz="4" w:space="0" w:color="auto"/>
              <w:bottom w:val="nil"/>
              <w:right w:val="single" w:sz="4" w:space="0" w:color="auto"/>
            </w:tcBorders>
            <w:shd w:val="clear" w:color="auto" w:fill="auto"/>
            <w:noWrap/>
            <w:vAlign w:val="bottom"/>
            <w:hideMark/>
          </w:tcPr>
          <w:p w14:paraId="681E840D"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Contemporaneous</w:t>
            </w:r>
          </w:p>
        </w:tc>
      </w:tr>
      <w:tr w:rsidR="00ED02A4" w:rsidRPr="00D14720" w14:paraId="7AC67BED"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6AAEE6DF" w14:textId="77777777" w:rsidR="00ED02A4" w:rsidRPr="00D14720" w:rsidRDefault="00ED02A4" w:rsidP="00367A87">
            <w:pPr>
              <w:spacing w:after="0" w:line="240" w:lineRule="auto"/>
              <w:jc w:val="center"/>
              <w:rPr>
                <w:rFonts w:eastAsia="Times New Roman" w:cs="Times New Roman"/>
                <w:i/>
                <w:iCs/>
                <w:color w:val="000000"/>
                <w:sz w:val="20"/>
                <w:szCs w:val="20"/>
                <w:lang w:eastAsia="en-IE"/>
              </w:rPr>
            </w:pPr>
          </w:p>
        </w:tc>
        <w:tc>
          <w:tcPr>
            <w:tcW w:w="778" w:type="dxa"/>
            <w:tcBorders>
              <w:top w:val="nil"/>
              <w:left w:val="nil"/>
              <w:bottom w:val="nil"/>
              <w:right w:val="nil"/>
            </w:tcBorders>
            <w:shd w:val="clear" w:color="auto" w:fill="auto"/>
            <w:noWrap/>
            <w:vAlign w:val="bottom"/>
            <w:hideMark/>
          </w:tcPr>
          <w:p w14:paraId="52DBE894"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699" w:type="dxa"/>
            <w:tcBorders>
              <w:top w:val="nil"/>
              <w:left w:val="nil"/>
              <w:bottom w:val="nil"/>
              <w:right w:val="nil"/>
            </w:tcBorders>
            <w:shd w:val="clear" w:color="auto" w:fill="auto"/>
            <w:noWrap/>
            <w:vAlign w:val="bottom"/>
            <w:hideMark/>
          </w:tcPr>
          <w:p w14:paraId="5976615D"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700" w:type="dxa"/>
            <w:tcBorders>
              <w:top w:val="nil"/>
              <w:left w:val="nil"/>
              <w:bottom w:val="nil"/>
              <w:right w:val="single" w:sz="4" w:space="0" w:color="auto"/>
            </w:tcBorders>
            <w:shd w:val="clear" w:color="auto" w:fill="auto"/>
            <w:noWrap/>
            <w:vAlign w:val="bottom"/>
            <w:hideMark/>
          </w:tcPr>
          <w:p w14:paraId="2D820055"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834" w:type="dxa"/>
            <w:tcBorders>
              <w:top w:val="nil"/>
              <w:left w:val="single" w:sz="4" w:space="0" w:color="auto"/>
              <w:bottom w:val="nil"/>
              <w:right w:val="nil"/>
            </w:tcBorders>
            <w:shd w:val="clear" w:color="auto" w:fill="auto"/>
            <w:noWrap/>
            <w:vAlign w:val="bottom"/>
            <w:hideMark/>
          </w:tcPr>
          <w:p w14:paraId="6F5384A8" w14:textId="77777777" w:rsidR="00ED02A4" w:rsidRPr="00D14720" w:rsidRDefault="00ED02A4" w:rsidP="00367A87">
            <w:pPr>
              <w:spacing w:after="0" w:line="240" w:lineRule="auto"/>
              <w:jc w:val="center"/>
              <w:rPr>
                <w:rFonts w:eastAsia="Times New Roman" w:cs="Times New Roman"/>
                <w:i/>
                <w:iCs/>
                <w:color w:val="000000"/>
                <w:sz w:val="20"/>
                <w:szCs w:val="20"/>
                <w:lang w:eastAsia="en-IE"/>
              </w:rPr>
            </w:pPr>
          </w:p>
        </w:tc>
        <w:tc>
          <w:tcPr>
            <w:tcW w:w="842" w:type="dxa"/>
            <w:tcBorders>
              <w:top w:val="nil"/>
              <w:left w:val="nil"/>
              <w:bottom w:val="nil"/>
              <w:right w:val="nil"/>
            </w:tcBorders>
            <w:shd w:val="clear" w:color="auto" w:fill="auto"/>
            <w:noWrap/>
            <w:vAlign w:val="bottom"/>
            <w:hideMark/>
          </w:tcPr>
          <w:p w14:paraId="721521AE"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786" w:type="dxa"/>
            <w:tcBorders>
              <w:top w:val="nil"/>
              <w:left w:val="nil"/>
              <w:bottom w:val="nil"/>
              <w:right w:val="nil"/>
            </w:tcBorders>
            <w:shd w:val="clear" w:color="auto" w:fill="auto"/>
            <w:noWrap/>
            <w:vAlign w:val="bottom"/>
            <w:hideMark/>
          </w:tcPr>
          <w:p w14:paraId="2FBA0BC5"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701" w:type="dxa"/>
            <w:tcBorders>
              <w:top w:val="nil"/>
              <w:left w:val="nil"/>
              <w:bottom w:val="nil"/>
              <w:right w:val="single" w:sz="4" w:space="0" w:color="auto"/>
            </w:tcBorders>
            <w:shd w:val="clear" w:color="auto" w:fill="auto"/>
            <w:noWrap/>
            <w:vAlign w:val="bottom"/>
            <w:hideMark/>
          </w:tcPr>
          <w:p w14:paraId="0F624C47"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861" w:type="dxa"/>
            <w:tcBorders>
              <w:top w:val="nil"/>
              <w:left w:val="single" w:sz="4" w:space="0" w:color="auto"/>
              <w:bottom w:val="nil"/>
              <w:right w:val="nil"/>
            </w:tcBorders>
            <w:shd w:val="clear" w:color="auto" w:fill="auto"/>
            <w:noWrap/>
            <w:vAlign w:val="bottom"/>
            <w:hideMark/>
          </w:tcPr>
          <w:p w14:paraId="4914ECC0" w14:textId="77777777" w:rsidR="00ED02A4" w:rsidRPr="00D14720" w:rsidRDefault="00ED02A4" w:rsidP="00367A87">
            <w:pPr>
              <w:spacing w:after="0" w:line="240" w:lineRule="auto"/>
              <w:jc w:val="center"/>
              <w:rPr>
                <w:rFonts w:eastAsia="Times New Roman" w:cs="Times New Roman"/>
                <w:i/>
                <w:iCs/>
                <w:color w:val="000000"/>
                <w:sz w:val="20"/>
                <w:szCs w:val="20"/>
                <w:lang w:eastAsia="en-IE"/>
              </w:rPr>
            </w:pPr>
          </w:p>
        </w:tc>
        <w:tc>
          <w:tcPr>
            <w:tcW w:w="861" w:type="dxa"/>
            <w:tcBorders>
              <w:top w:val="nil"/>
              <w:left w:val="nil"/>
              <w:bottom w:val="nil"/>
              <w:right w:val="nil"/>
            </w:tcBorders>
            <w:shd w:val="clear" w:color="auto" w:fill="auto"/>
            <w:noWrap/>
            <w:vAlign w:val="bottom"/>
            <w:hideMark/>
          </w:tcPr>
          <w:p w14:paraId="42CB5AFD"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701" w:type="dxa"/>
            <w:tcBorders>
              <w:top w:val="nil"/>
              <w:left w:val="nil"/>
              <w:bottom w:val="nil"/>
              <w:right w:val="nil"/>
            </w:tcBorders>
            <w:shd w:val="clear" w:color="auto" w:fill="auto"/>
            <w:noWrap/>
            <w:vAlign w:val="bottom"/>
            <w:hideMark/>
          </w:tcPr>
          <w:p w14:paraId="0E6E8291"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701" w:type="dxa"/>
            <w:tcBorders>
              <w:top w:val="nil"/>
              <w:left w:val="nil"/>
              <w:bottom w:val="nil"/>
              <w:right w:val="single" w:sz="4" w:space="0" w:color="auto"/>
            </w:tcBorders>
            <w:shd w:val="clear" w:color="auto" w:fill="auto"/>
            <w:noWrap/>
            <w:vAlign w:val="bottom"/>
            <w:hideMark/>
          </w:tcPr>
          <w:p w14:paraId="4093A24F"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r>
      <w:tr w:rsidR="00ED02A4" w:rsidRPr="00D14720" w14:paraId="2D8799EC"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2B8D1B06"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778" w:type="dxa"/>
            <w:tcBorders>
              <w:top w:val="nil"/>
              <w:left w:val="nil"/>
              <w:bottom w:val="nil"/>
              <w:right w:val="nil"/>
            </w:tcBorders>
            <w:shd w:val="clear" w:color="auto" w:fill="auto"/>
            <w:noWrap/>
            <w:vAlign w:val="bottom"/>
            <w:hideMark/>
          </w:tcPr>
          <w:p w14:paraId="5F528C9F"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699" w:type="dxa"/>
            <w:tcBorders>
              <w:top w:val="nil"/>
              <w:left w:val="nil"/>
              <w:bottom w:val="nil"/>
              <w:right w:val="nil"/>
            </w:tcBorders>
            <w:shd w:val="clear" w:color="auto" w:fill="auto"/>
            <w:noWrap/>
            <w:vAlign w:val="bottom"/>
            <w:hideMark/>
          </w:tcPr>
          <w:p w14:paraId="7CE988A0"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0" w:type="dxa"/>
            <w:tcBorders>
              <w:top w:val="nil"/>
              <w:left w:val="nil"/>
              <w:bottom w:val="nil"/>
              <w:right w:val="single" w:sz="4" w:space="0" w:color="auto"/>
            </w:tcBorders>
            <w:shd w:val="clear" w:color="auto" w:fill="auto"/>
            <w:noWrap/>
            <w:vAlign w:val="bottom"/>
            <w:hideMark/>
          </w:tcPr>
          <w:p w14:paraId="262B4C4D"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34" w:type="dxa"/>
            <w:tcBorders>
              <w:top w:val="nil"/>
              <w:left w:val="single" w:sz="4" w:space="0" w:color="auto"/>
              <w:bottom w:val="nil"/>
              <w:right w:val="nil"/>
            </w:tcBorders>
            <w:shd w:val="clear" w:color="auto" w:fill="auto"/>
            <w:noWrap/>
            <w:vAlign w:val="bottom"/>
            <w:hideMark/>
          </w:tcPr>
          <w:p w14:paraId="661AE848"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842" w:type="dxa"/>
            <w:tcBorders>
              <w:top w:val="nil"/>
              <w:left w:val="nil"/>
              <w:bottom w:val="nil"/>
              <w:right w:val="nil"/>
            </w:tcBorders>
            <w:shd w:val="clear" w:color="auto" w:fill="auto"/>
            <w:noWrap/>
            <w:vAlign w:val="bottom"/>
            <w:hideMark/>
          </w:tcPr>
          <w:p w14:paraId="314E08D8"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86" w:type="dxa"/>
            <w:tcBorders>
              <w:top w:val="nil"/>
              <w:left w:val="nil"/>
              <w:bottom w:val="nil"/>
              <w:right w:val="nil"/>
            </w:tcBorders>
            <w:shd w:val="clear" w:color="auto" w:fill="auto"/>
            <w:noWrap/>
            <w:vAlign w:val="bottom"/>
            <w:hideMark/>
          </w:tcPr>
          <w:p w14:paraId="19B61585"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79645AFE"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61" w:type="dxa"/>
            <w:tcBorders>
              <w:top w:val="nil"/>
              <w:left w:val="single" w:sz="4" w:space="0" w:color="auto"/>
              <w:bottom w:val="nil"/>
              <w:right w:val="nil"/>
            </w:tcBorders>
            <w:shd w:val="clear" w:color="auto" w:fill="auto"/>
            <w:noWrap/>
            <w:vAlign w:val="bottom"/>
            <w:hideMark/>
          </w:tcPr>
          <w:p w14:paraId="1A03ADA6"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861" w:type="dxa"/>
            <w:tcBorders>
              <w:top w:val="nil"/>
              <w:left w:val="nil"/>
              <w:bottom w:val="nil"/>
              <w:right w:val="nil"/>
            </w:tcBorders>
            <w:shd w:val="clear" w:color="auto" w:fill="auto"/>
            <w:noWrap/>
            <w:vAlign w:val="bottom"/>
            <w:hideMark/>
          </w:tcPr>
          <w:p w14:paraId="1A297806"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01" w:type="dxa"/>
            <w:tcBorders>
              <w:top w:val="nil"/>
              <w:left w:val="nil"/>
              <w:bottom w:val="nil"/>
              <w:right w:val="nil"/>
            </w:tcBorders>
            <w:shd w:val="clear" w:color="auto" w:fill="auto"/>
            <w:noWrap/>
            <w:vAlign w:val="bottom"/>
            <w:hideMark/>
          </w:tcPr>
          <w:p w14:paraId="43EE32EE"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2424A982" w14:textId="77777777" w:rsidR="00ED02A4" w:rsidRPr="00D14720" w:rsidRDefault="00ED02A4" w:rsidP="00367A87">
            <w:pPr>
              <w:spacing w:after="0" w:line="240" w:lineRule="auto"/>
              <w:rPr>
                <w:rFonts w:eastAsia="Times New Roman" w:cs="Times New Roman"/>
                <w:color w:val="000000"/>
                <w:sz w:val="20"/>
                <w:szCs w:val="20"/>
                <w:lang w:eastAsia="en-IE"/>
              </w:rPr>
            </w:pPr>
          </w:p>
        </w:tc>
      </w:tr>
      <w:tr w:rsidR="00ED02A4" w:rsidRPr="00D14720" w14:paraId="1FC84284"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4628C754"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778" w:type="dxa"/>
            <w:tcBorders>
              <w:top w:val="nil"/>
              <w:left w:val="nil"/>
              <w:bottom w:val="nil"/>
              <w:right w:val="nil"/>
            </w:tcBorders>
            <w:shd w:val="clear" w:color="auto" w:fill="auto"/>
            <w:noWrap/>
            <w:vAlign w:val="bottom"/>
            <w:hideMark/>
          </w:tcPr>
          <w:p w14:paraId="2573BE21"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0.664</w:t>
            </w:r>
          </w:p>
        </w:tc>
        <w:tc>
          <w:tcPr>
            <w:tcW w:w="699" w:type="dxa"/>
            <w:tcBorders>
              <w:top w:val="nil"/>
              <w:left w:val="nil"/>
              <w:bottom w:val="nil"/>
              <w:right w:val="nil"/>
            </w:tcBorders>
            <w:shd w:val="clear" w:color="auto" w:fill="auto"/>
            <w:noWrap/>
            <w:vAlign w:val="bottom"/>
            <w:hideMark/>
          </w:tcPr>
          <w:p w14:paraId="6451BEF2"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00" w:type="dxa"/>
            <w:tcBorders>
              <w:top w:val="nil"/>
              <w:left w:val="nil"/>
              <w:bottom w:val="nil"/>
              <w:right w:val="single" w:sz="4" w:space="0" w:color="auto"/>
            </w:tcBorders>
            <w:shd w:val="clear" w:color="auto" w:fill="auto"/>
            <w:noWrap/>
            <w:vAlign w:val="bottom"/>
            <w:hideMark/>
          </w:tcPr>
          <w:p w14:paraId="2F172447"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34" w:type="dxa"/>
            <w:tcBorders>
              <w:top w:val="nil"/>
              <w:left w:val="single" w:sz="4" w:space="0" w:color="auto"/>
              <w:bottom w:val="nil"/>
              <w:right w:val="nil"/>
            </w:tcBorders>
            <w:shd w:val="clear" w:color="auto" w:fill="auto"/>
            <w:noWrap/>
            <w:vAlign w:val="bottom"/>
            <w:hideMark/>
          </w:tcPr>
          <w:p w14:paraId="25D793E2"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842" w:type="dxa"/>
            <w:tcBorders>
              <w:top w:val="nil"/>
              <w:left w:val="nil"/>
              <w:bottom w:val="nil"/>
              <w:right w:val="nil"/>
            </w:tcBorders>
            <w:shd w:val="clear" w:color="auto" w:fill="auto"/>
            <w:noWrap/>
            <w:vAlign w:val="bottom"/>
            <w:hideMark/>
          </w:tcPr>
          <w:p w14:paraId="5A5101A4"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0.363</w:t>
            </w:r>
          </w:p>
        </w:tc>
        <w:tc>
          <w:tcPr>
            <w:tcW w:w="786" w:type="dxa"/>
            <w:tcBorders>
              <w:top w:val="nil"/>
              <w:left w:val="nil"/>
              <w:bottom w:val="nil"/>
              <w:right w:val="nil"/>
            </w:tcBorders>
            <w:shd w:val="clear" w:color="auto" w:fill="auto"/>
            <w:noWrap/>
            <w:vAlign w:val="bottom"/>
            <w:hideMark/>
          </w:tcPr>
          <w:p w14:paraId="70B8E7C9"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01" w:type="dxa"/>
            <w:tcBorders>
              <w:top w:val="nil"/>
              <w:left w:val="nil"/>
              <w:bottom w:val="nil"/>
              <w:right w:val="single" w:sz="4" w:space="0" w:color="auto"/>
            </w:tcBorders>
            <w:shd w:val="clear" w:color="auto" w:fill="auto"/>
            <w:noWrap/>
            <w:vAlign w:val="bottom"/>
            <w:hideMark/>
          </w:tcPr>
          <w:p w14:paraId="00A109DA"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61" w:type="dxa"/>
            <w:tcBorders>
              <w:top w:val="nil"/>
              <w:left w:val="single" w:sz="4" w:space="0" w:color="auto"/>
              <w:bottom w:val="nil"/>
              <w:right w:val="nil"/>
            </w:tcBorders>
            <w:shd w:val="clear" w:color="auto" w:fill="auto"/>
            <w:noWrap/>
            <w:vAlign w:val="bottom"/>
            <w:hideMark/>
          </w:tcPr>
          <w:p w14:paraId="3D039F07"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861" w:type="dxa"/>
            <w:tcBorders>
              <w:top w:val="nil"/>
              <w:left w:val="nil"/>
              <w:bottom w:val="nil"/>
              <w:right w:val="nil"/>
            </w:tcBorders>
            <w:shd w:val="clear" w:color="auto" w:fill="auto"/>
            <w:noWrap/>
            <w:vAlign w:val="bottom"/>
            <w:hideMark/>
          </w:tcPr>
          <w:p w14:paraId="4EF8972D"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0.729</w:t>
            </w:r>
          </w:p>
        </w:tc>
        <w:tc>
          <w:tcPr>
            <w:tcW w:w="701" w:type="dxa"/>
            <w:tcBorders>
              <w:top w:val="nil"/>
              <w:left w:val="nil"/>
              <w:bottom w:val="nil"/>
              <w:right w:val="nil"/>
            </w:tcBorders>
            <w:shd w:val="clear" w:color="auto" w:fill="auto"/>
            <w:noWrap/>
            <w:vAlign w:val="bottom"/>
            <w:hideMark/>
          </w:tcPr>
          <w:p w14:paraId="31CC712A"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01" w:type="dxa"/>
            <w:tcBorders>
              <w:top w:val="nil"/>
              <w:left w:val="nil"/>
              <w:bottom w:val="nil"/>
              <w:right w:val="single" w:sz="4" w:space="0" w:color="auto"/>
            </w:tcBorders>
            <w:shd w:val="clear" w:color="auto" w:fill="auto"/>
            <w:noWrap/>
            <w:vAlign w:val="bottom"/>
            <w:hideMark/>
          </w:tcPr>
          <w:p w14:paraId="0B1E2D9B" w14:textId="77777777" w:rsidR="00ED02A4" w:rsidRPr="00D14720" w:rsidRDefault="00ED02A4" w:rsidP="00367A87">
            <w:pPr>
              <w:spacing w:after="0" w:line="240" w:lineRule="auto"/>
              <w:rPr>
                <w:rFonts w:eastAsia="Times New Roman" w:cs="Times New Roman"/>
                <w:color w:val="000000"/>
                <w:sz w:val="20"/>
                <w:szCs w:val="20"/>
                <w:lang w:eastAsia="en-IE"/>
              </w:rPr>
            </w:pPr>
          </w:p>
        </w:tc>
      </w:tr>
      <w:tr w:rsidR="00ED02A4" w:rsidRPr="00D14720" w14:paraId="3820CCC6"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60AC8610"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778" w:type="dxa"/>
            <w:tcBorders>
              <w:top w:val="nil"/>
              <w:left w:val="nil"/>
              <w:bottom w:val="nil"/>
              <w:right w:val="nil"/>
            </w:tcBorders>
            <w:shd w:val="clear" w:color="auto" w:fill="auto"/>
            <w:noWrap/>
            <w:vAlign w:val="bottom"/>
            <w:hideMark/>
          </w:tcPr>
          <w:p w14:paraId="559FF1EC"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0.884</w:t>
            </w:r>
          </w:p>
        </w:tc>
        <w:tc>
          <w:tcPr>
            <w:tcW w:w="699" w:type="dxa"/>
            <w:tcBorders>
              <w:top w:val="nil"/>
              <w:left w:val="nil"/>
              <w:bottom w:val="nil"/>
              <w:right w:val="nil"/>
            </w:tcBorders>
            <w:shd w:val="clear" w:color="auto" w:fill="auto"/>
            <w:noWrap/>
            <w:vAlign w:val="bottom"/>
            <w:hideMark/>
          </w:tcPr>
          <w:p w14:paraId="7410C9F7"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0.837</w:t>
            </w:r>
          </w:p>
        </w:tc>
        <w:tc>
          <w:tcPr>
            <w:tcW w:w="700" w:type="dxa"/>
            <w:tcBorders>
              <w:top w:val="nil"/>
              <w:left w:val="nil"/>
              <w:bottom w:val="nil"/>
              <w:right w:val="single" w:sz="4" w:space="0" w:color="auto"/>
            </w:tcBorders>
            <w:shd w:val="clear" w:color="auto" w:fill="auto"/>
            <w:noWrap/>
            <w:vAlign w:val="bottom"/>
            <w:hideMark/>
          </w:tcPr>
          <w:p w14:paraId="432103C3"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834" w:type="dxa"/>
            <w:tcBorders>
              <w:top w:val="nil"/>
              <w:left w:val="single" w:sz="4" w:space="0" w:color="auto"/>
              <w:bottom w:val="nil"/>
              <w:right w:val="nil"/>
            </w:tcBorders>
            <w:shd w:val="clear" w:color="auto" w:fill="auto"/>
            <w:noWrap/>
            <w:vAlign w:val="bottom"/>
            <w:hideMark/>
          </w:tcPr>
          <w:p w14:paraId="649A336B"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842" w:type="dxa"/>
            <w:tcBorders>
              <w:top w:val="nil"/>
              <w:left w:val="nil"/>
              <w:bottom w:val="nil"/>
              <w:right w:val="nil"/>
            </w:tcBorders>
            <w:shd w:val="clear" w:color="auto" w:fill="auto"/>
            <w:noWrap/>
            <w:vAlign w:val="bottom"/>
            <w:hideMark/>
          </w:tcPr>
          <w:p w14:paraId="0AB37913"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0.656</w:t>
            </w:r>
          </w:p>
        </w:tc>
        <w:tc>
          <w:tcPr>
            <w:tcW w:w="786" w:type="dxa"/>
            <w:tcBorders>
              <w:top w:val="nil"/>
              <w:left w:val="nil"/>
              <w:bottom w:val="nil"/>
              <w:right w:val="nil"/>
            </w:tcBorders>
            <w:shd w:val="clear" w:color="auto" w:fill="auto"/>
            <w:noWrap/>
            <w:vAlign w:val="bottom"/>
            <w:hideMark/>
          </w:tcPr>
          <w:p w14:paraId="22388248"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0.874</w:t>
            </w:r>
          </w:p>
        </w:tc>
        <w:tc>
          <w:tcPr>
            <w:tcW w:w="701" w:type="dxa"/>
            <w:tcBorders>
              <w:top w:val="nil"/>
              <w:left w:val="nil"/>
              <w:bottom w:val="nil"/>
              <w:right w:val="single" w:sz="4" w:space="0" w:color="auto"/>
            </w:tcBorders>
            <w:shd w:val="clear" w:color="auto" w:fill="auto"/>
            <w:noWrap/>
            <w:vAlign w:val="bottom"/>
            <w:hideMark/>
          </w:tcPr>
          <w:p w14:paraId="6CEAB65B"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861" w:type="dxa"/>
            <w:tcBorders>
              <w:top w:val="nil"/>
              <w:left w:val="single" w:sz="4" w:space="0" w:color="auto"/>
              <w:bottom w:val="nil"/>
              <w:right w:val="nil"/>
            </w:tcBorders>
            <w:shd w:val="clear" w:color="auto" w:fill="auto"/>
            <w:noWrap/>
            <w:vAlign w:val="bottom"/>
            <w:hideMark/>
          </w:tcPr>
          <w:p w14:paraId="0362B5BA"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861" w:type="dxa"/>
            <w:tcBorders>
              <w:top w:val="nil"/>
              <w:left w:val="nil"/>
              <w:bottom w:val="nil"/>
              <w:right w:val="nil"/>
            </w:tcBorders>
            <w:shd w:val="clear" w:color="auto" w:fill="auto"/>
            <w:noWrap/>
            <w:vAlign w:val="bottom"/>
            <w:hideMark/>
          </w:tcPr>
          <w:p w14:paraId="7CE24D00"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0.977</w:t>
            </w:r>
          </w:p>
        </w:tc>
        <w:tc>
          <w:tcPr>
            <w:tcW w:w="701" w:type="dxa"/>
            <w:tcBorders>
              <w:top w:val="nil"/>
              <w:left w:val="nil"/>
              <w:bottom w:val="nil"/>
              <w:right w:val="nil"/>
            </w:tcBorders>
            <w:shd w:val="clear" w:color="auto" w:fill="auto"/>
            <w:noWrap/>
            <w:vAlign w:val="bottom"/>
            <w:hideMark/>
          </w:tcPr>
          <w:p w14:paraId="10B0EE31"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0.774</w:t>
            </w:r>
          </w:p>
        </w:tc>
        <w:tc>
          <w:tcPr>
            <w:tcW w:w="701" w:type="dxa"/>
            <w:tcBorders>
              <w:top w:val="nil"/>
              <w:left w:val="nil"/>
              <w:bottom w:val="nil"/>
              <w:right w:val="single" w:sz="4" w:space="0" w:color="auto"/>
            </w:tcBorders>
            <w:shd w:val="clear" w:color="auto" w:fill="auto"/>
            <w:noWrap/>
            <w:vAlign w:val="bottom"/>
            <w:hideMark/>
          </w:tcPr>
          <w:p w14:paraId="6EAE8492"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r>
      <w:tr w:rsidR="00ED02A4" w:rsidRPr="00D14720" w14:paraId="1E5E7D85"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5D5CABCF"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78" w:type="dxa"/>
            <w:tcBorders>
              <w:top w:val="nil"/>
              <w:left w:val="nil"/>
              <w:bottom w:val="nil"/>
              <w:right w:val="nil"/>
            </w:tcBorders>
            <w:shd w:val="clear" w:color="auto" w:fill="auto"/>
            <w:noWrap/>
            <w:vAlign w:val="bottom"/>
            <w:hideMark/>
          </w:tcPr>
          <w:p w14:paraId="473802E9"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699" w:type="dxa"/>
            <w:tcBorders>
              <w:top w:val="nil"/>
              <w:left w:val="nil"/>
              <w:bottom w:val="nil"/>
              <w:right w:val="nil"/>
            </w:tcBorders>
            <w:shd w:val="clear" w:color="auto" w:fill="auto"/>
            <w:noWrap/>
            <w:vAlign w:val="bottom"/>
            <w:hideMark/>
          </w:tcPr>
          <w:p w14:paraId="4AD46EE6"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0" w:type="dxa"/>
            <w:tcBorders>
              <w:top w:val="nil"/>
              <w:left w:val="nil"/>
              <w:bottom w:val="nil"/>
              <w:right w:val="single" w:sz="4" w:space="0" w:color="auto"/>
            </w:tcBorders>
            <w:shd w:val="clear" w:color="auto" w:fill="auto"/>
            <w:noWrap/>
            <w:vAlign w:val="bottom"/>
            <w:hideMark/>
          </w:tcPr>
          <w:p w14:paraId="52AF479E"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34" w:type="dxa"/>
            <w:tcBorders>
              <w:top w:val="nil"/>
              <w:left w:val="single" w:sz="4" w:space="0" w:color="auto"/>
              <w:bottom w:val="nil"/>
              <w:right w:val="nil"/>
            </w:tcBorders>
            <w:shd w:val="clear" w:color="auto" w:fill="auto"/>
            <w:noWrap/>
            <w:vAlign w:val="bottom"/>
            <w:hideMark/>
          </w:tcPr>
          <w:p w14:paraId="295B5EFA"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42" w:type="dxa"/>
            <w:tcBorders>
              <w:top w:val="nil"/>
              <w:left w:val="nil"/>
              <w:bottom w:val="nil"/>
              <w:right w:val="nil"/>
            </w:tcBorders>
            <w:shd w:val="clear" w:color="auto" w:fill="auto"/>
            <w:noWrap/>
            <w:vAlign w:val="bottom"/>
            <w:hideMark/>
          </w:tcPr>
          <w:p w14:paraId="315769D9"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86" w:type="dxa"/>
            <w:tcBorders>
              <w:top w:val="nil"/>
              <w:left w:val="nil"/>
              <w:bottom w:val="nil"/>
              <w:right w:val="nil"/>
            </w:tcBorders>
            <w:shd w:val="clear" w:color="auto" w:fill="auto"/>
            <w:noWrap/>
            <w:vAlign w:val="bottom"/>
            <w:hideMark/>
          </w:tcPr>
          <w:p w14:paraId="0184792F"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5229C143"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61" w:type="dxa"/>
            <w:tcBorders>
              <w:top w:val="nil"/>
              <w:left w:val="single" w:sz="4" w:space="0" w:color="auto"/>
              <w:bottom w:val="nil"/>
              <w:right w:val="nil"/>
            </w:tcBorders>
            <w:shd w:val="clear" w:color="auto" w:fill="auto"/>
            <w:noWrap/>
            <w:vAlign w:val="bottom"/>
            <w:hideMark/>
          </w:tcPr>
          <w:p w14:paraId="26E8023B"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61" w:type="dxa"/>
            <w:tcBorders>
              <w:top w:val="nil"/>
              <w:left w:val="nil"/>
              <w:bottom w:val="nil"/>
              <w:right w:val="nil"/>
            </w:tcBorders>
            <w:shd w:val="clear" w:color="auto" w:fill="auto"/>
            <w:noWrap/>
            <w:vAlign w:val="bottom"/>
            <w:hideMark/>
          </w:tcPr>
          <w:p w14:paraId="2DAA5D0A"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nil"/>
            </w:tcBorders>
            <w:shd w:val="clear" w:color="auto" w:fill="auto"/>
            <w:noWrap/>
            <w:vAlign w:val="bottom"/>
            <w:hideMark/>
          </w:tcPr>
          <w:p w14:paraId="7BC006AC"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10CCDD9D" w14:textId="77777777" w:rsidR="00ED02A4" w:rsidRPr="00D14720" w:rsidRDefault="00ED02A4" w:rsidP="00367A87">
            <w:pPr>
              <w:spacing w:after="0" w:line="240" w:lineRule="auto"/>
              <w:rPr>
                <w:rFonts w:eastAsia="Times New Roman" w:cs="Times New Roman"/>
                <w:color w:val="000000"/>
                <w:sz w:val="20"/>
                <w:szCs w:val="20"/>
                <w:lang w:eastAsia="en-IE"/>
              </w:rPr>
            </w:pPr>
          </w:p>
        </w:tc>
      </w:tr>
      <w:tr w:rsidR="00ED02A4" w:rsidRPr="00D14720" w14:paraId="02F8C414" w14:textId="77777777" w:rsidTr="00367A87">
        <w:trPr>
          <w:trHeight w:val="300"/>
        </w:trPr>
        <w:tc>
          <w:tcPr>
            <w:tcW w:w="1556" w:type="dxa"/>
            <w:gridSpan w:val="2"/>
            <w:tcBorders>
              <w:top w:val="nil"/>
              <w:left w:val="single" w:sz="4" w:space="0" w:color="auto"/>
              <w:bottom w:val="nil"/>
              <w:right w:val="nil"/>
            </w:tcBorders>
            <w:shd w:val="clear" w:color="auto" w:fill="auto"/>
            <w:noWrap/>
            <w:vAlign w:val="bottom"/>
            <w:hideMark/>
          </w:tcPr>
          <w:p w14:paraId="2A02149C"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Lead Equity</w:t>
            </w:r>
          </w:p>
        </w:tc>
        <w:tc>
          <w:tcPr>
            <w:tcW w:w="699" w:type="dxa"/>
            <w:tcBorders>
              <w:top w:val="nil"/>
              <w:left w:val="nil"/>
              <w:bottom w:val="nil"/>
              <w:right w:val="nil"/>
            </w:tcBorders>
            <w:shd w:val="clear" w:color="auto" w:fill="auto"/>
            <w:noWrap/>
            <w:vAlign w:val="bottom"/>
            <w:hideMark/>
          </w:tcPr>
          <w:p w14:paraId="2CDD6E7A"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0" w:type="dxa"/>
            <w:tcBorders>
              <w:top w:val="nil"/>
              <w:left w:val="nil"/>
              <w:bottom w:val="nil"/>
              <w:right w:val="single" w:sz="4" w:space="0" w:color="auto"/>
            </w:tcBorders>
            <w:shd w:val="clear" w:color="auto" w:fill="auto"/>
            <w:noWrap/>
            <w:vAlign w:val="bottom"/>
            <w:hideMark/>
          </w:tcPr>
          <w:p w14:paraId="45E414F0"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1676" w:type="dxa"/>
            <w:gridSpan w:val="2"/>
            <w:tcBorders>
              <w:top w:val="nil"/>
              <w:left w:val="single" w:sz="4" w:space="0" w:color="auto"/>
              <w:bottom w:val="nil"/>
              <w:right w:val="nil"/>
            </w:tcBorders>
            <w:shd w:val="clear" w:color="auto" w:fill="auto"/>
            <w:noWrap/>
            <w:vAlign w:val="bottom"/>
            <w:hideMark/>
          </w:tcPr>
          <w:p w14:paraId="5A041420"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Lead Equity</w:t>
            </w:r>
          </w:p>
        </w:tc>
        <w:tc>
          <w:tcPr>
            <w:tcW w:w="786" w:type="dxa"/>
            <w:tcBorders>
              <w:top w:val="nil"/>
              <w:left w:val="nil"/>
              <w:bottom w:val="nil"/>
              <w:right w:val="nil"/>
            </w:tcBorders>
            <w:shd w:val="clear" w:color="auto" w:fill="auto"/>
            <w:noWrap/>
            <w:vAlign w:val="bottom"/>
            <w:hideMark/>
          </w:tcPr>
          <w:p w14:paraId="698500C4"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2E7B43AF"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1722" w:type="dxa"/>
            <w:gridSpan w:val="2"/>
            <w:tcBorders>
              <w:top w:val="nil"/>
              <w:left w:val="single" w:sz="4" w:space="0" w:color="auto"/>
              <w:bottom w:val="nil"/>
              <w:right w:val="nil"/>
            </w:tcBorders>
            <w:shd w:val="clear" w:color="auto" w:fill="auto"/>
            <w:noWrap/>
            <w:vAlign w:val="bottom"/>
            <w:hideMark/>
          </w:tcPr>
          <w:p w14:paraId="49E05A4E"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Lead Equity</w:t>
            </w:r>
          </w:p>
        </w:tc>
        <w:tc>
          <w:tcPr>
            <w:tcW w:w="701" w:type="dxa"/>
            <w:tcBorders>
              <w:top w:val="nil"/>
              <w:left w:val="nil"/>
              <w:bottom w:val="nil"/>
              <w:right w:val="nil"/>
            </w:tcBorders>
            <w:shd w:val="clear" w:color="auto" w:fill="auto"/>
            <w:noWrap/>
            <w:vAlign w:val="bottom"/>
            <w:hideMark/>
          </w:tcPr>
          <w:p w14:paraId="3EF531FC"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5F8B6D9B" w14:textId="77777777" w:rsidR="00ED02A4" w:rsidRPr="00D14720" w:rsidRDefault="00ED02A4" w:rsidP="00367A87">
            <w:pPr>
              <w:spacing w:after="0" w:line="240" w:lineRule="auto"/>
              <w:rPr>
                <w:rFonts w:eastAsia="Times New Roman" w:cs="Times New Roman"/>
                <w:color w:val="000000"/>
                <w:sz w:val="20"/>
                <w:szCs w:val="20"/>
                <w:lang w:eastAsia="en-IE"/>
              </w:rPr>
            </w:pPr>
          </w:p>
        </w:tc>
      </w:tr>
      <w:tr w:rsidR="00ED02A4" w:rsidRPr="00D14720" w14:paraId="3A5988BE"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1C86F4E8" w14:textId="77777777" w:rsidR="00ED02A4" w:rsidRPr="00D14720" w:rsidRDefault="00ED02A4" w:rsidP="00367A87">
            <w:pPr>
              <w:spacing w:after="0" w:line="240" w:lineRule="auto"/>
              <w:jc w:val="center"/>
              <w:rPr>
                <w:rFonts w:eastAsia="Times New Roman" w:cs="Times New Roman"/>
                <w:i/>
                <w:iCs/>
                <w:color w:val="000000"/>
                <w:sz w:val="20"/>
                <w:szCs w:val="20"/>
                <w:lang w:eastAsia="en-IE"/>
              </w:rPr>
            </w:pPr>
          </w:p>
        </w:tc>
        <w:tc>
          <w:tcPr>
            <w:tcW w:w="778" w:type="dxa"/>
            <w:tcBorders>
              <w:top w:val="nil"/>
              <w:left w:val="nil"/>
              <w:bottom w:val="nil"/>
              <w:right w:val="nil"/>
            </w:tcBorders>
            <w:shd w:val="clear" w:color="auto" w:fill="auto"/>
            <w:noWrap/>
            <w:vAlign w:val="bottom"/>
            <w:hideMark/>
          </w:tcPr>
          <w:p w14:paraId="006E2042"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699" w:type="dxa"/>
            <w:tcBorders>
              <w:top w:val="nil"/>
              <w:left w:val="nil"/>
              <w:bottom w:val="nil"/>
              <w:right w:val="nil"/>
            </w:tcBorders>
            <w:shd w:val="clear" w:color="auto" w:fill="auto"/>
            <w:noWrap/>
            <w:vAlign w:val="bottom"/>
            <w:hideMark/>
          </w:tcPr>
          <w:p w14:paraId="1BD84265"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700" w:type="dxa"/>
            <w:tcBorders>
              <w:top w:val="nil"/>
              <w:left w:val="nil"/>
              <w:bottom w:val="nil"/>
              <w:right w:val="single" w:sz="4" w:space="0" w:color="auto"/>
            </w:tcBorders>
            <w:shd w:val="clear" w:color="auto" w:fill="auto"/>
            <w:noWrap/>
            <w:vAlign w:val="bottom"/>
            <w:hideMark/>
          </w:tcPr>
          <w:p w14:paraId="5277DBEE"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834" w:type="dxa"/>
            <w:tcBorders>
              <w:top w:val="nil"/>
              <w:left w:val="single" w:sz="4" w:space="0" w:color="auto"/>
              <w:bottom w:val="nil"/>
              <w:right w:val="nil"/>
            </w:tcBorders>
            <w:shd w:val="clear" w:color="auto" w:fill="auto"/>
            <w:noWrap/>
            <w:vAlign w:val="bottom"/>
            <w:hideMark/>
          </w:tcPr>
          <w:p w14:paraId="5B3D2A7D" w14:textId="77777777" w:rsidR="00ED02A4" w:rsidRPr="00D14720" w:rsidRDefault="00ED02A4" w:rsidP="00367A87">
            <w:pPr>
              <w:spacing w:after="0" w:line="240" w:lineRule="auto"/>
              <w:jc w:val="center"/>
              <w:rPr>
                <w:rFonts w:eastAsia="Times New Roman" w:cs="Times New Roman"/>
                <w:i/>
                <w:iCs/>
                <w:color w:val="000000"/>
                <w:sz w:val="20"/>
                <w:szCs w:val="20"/>
                <w:lang w:eastAsia="en-IE"/>
              </w:rPr>
            </w:pPr>
          </w:p>
        </w:tc>
        <w:tc>
          <w:tcPr>
            <w:tcW w:w="842" w:type="dxa"/>
            <w:tcBorders>
              <w:top w:val="nil"/>
              <w:left w:val="nil"/>
              <w:bottom w:val="nil"/>
              <w:right w:val="nil"/>
            </w:tcBorders>
            <w:shd w:val="clear" w:color="auto" w:fill="auto"/>
            <w:noWrap/>
            <w:vAlign w:val="bottom"/>
            <w:hideMark/>
          </w:tcPr>
          <w:p w14:paraId="5493EAA8"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786" w:type="dxa"/>
            <w:tcBorders>
              <w:top w:val="nil"/>
              <w:left w:val="nil"/>
              <w:bottom w:val="nil"/>
              <w:right w:val="nil"/>
            </w:tcBorders>
            <w:shd w:val="clear" w:color="auto" w:fill="auto"/>
            <w:noWrap/>
            <w:vAlign w:val="bottom"/>
            <w:hideMark/>
          </w:tcPr>
          <w:p w14:paraId="499E026D"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701" w:type="dxa"/>
            <w:tcBorders>
              <w:top w:val="nil"/>
              <w:left w:val="nil"/>
              <w:bottom w:val="nil"/>
              <w:right w:val="single" w:sz="4" w:space="0" w:color="auto"/>
            </w:tcBorders>
            <w:shd w:val="clear" w:color="auto" w:fill="auto"/>
            <w:noWrap/>
            <w:vAlign w:val="bottom"/>
            <w:hideMark/>
          </w:tcPr>
          <w:p w14:paraId="4DCFEFCE"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861" w:type="dxa"/>
            <w:tcBorders>
              <w:top w:val="nil"/>
              <w:left w:val="single" w:sz="4" w:space="0" w:color="auto"/>
              <w:bottom w:val="nil"/>
              <w:right w:val="nil"/>
            </w:tcBorders>
            <w:shd w:val="clear" w:color="auto" w:fill="auto"/>
            <w:noWrap/>
            <w:vAlign w:val="bottom"/>
            <w:hideMark/>
          </w:tcPr>
          <w:p w14:paraId="3D2F945E" w14:textId="77777777" w:rsidR="00ED02A4" w:rsidRPr="00D14720" w:rsidRDefault="00ED02A4" w:rsidP="00367A87">
            <w:pPr>
              <w:spacing w:after="0" w:line="240" w:lineRule="auto"/>
              <w:jc w:val="center"/>
              <w:rPr>
                <w:rFonts w:eastAsia="Times New Roman" w:cs="Times New Roman"/>
                <w:i/>
                <w:iCs/>
                <w:color w:val="000000"/>
                <w:sz w:val="20"/>
                <w:szCs w:val="20"/>
                <w:lang w:eastAsia="en-IE"/>
              </w:rPr>
            </w:pPr>
          </w:p>
        </w:tc>
        <w:tc>
          <w:tcPr>
            <w:tcW w:w="861" w:type="dxa"/>
            <w:tcBorders>
              <w:top w:val="nil"/>
              <w:left w:val="nil"/>
              <w:bottom w:val="nil"/>
              <w:right w:val="nil"/>
            </w:tcBorders>
            <w:shd w:val="clear" w:color="auto" w:fill="auto"/>
            <w:noWrap/>
            <w:vAlign w:val="bottom"/>
            <w:hideMark/>
          </w:tcPr>
          <w:p w14:paraId="655BAE84"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701" w:type="dxa"/>
            <w:tcBorders>
              <w:top w:val="nil"/>
              <w:left w:val="nil"/>
              <w:bottom w:val="nil"/>
              <w:right w:val="nil"/>
            </w:tcBorders>
            <w:shd w:val="clear" w:color="auto" w:fill="auto"/>
            <w:noWrap/>
            <w:vAlign w:val="bottom"/>
            <w:hideMark/>
          </w:tcPr>
          <w:p w14:paraId="0942EC07"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701" w:type="dxa"/>
            <w:tcBorders>
              <w:top w:val="nil"/>
              <w:left w:val="nil"/>
              <w:bottom w:val="nil"/>
              <w:right w:val="single" w:sz="4" w:space="0" w:color="auto"/>
            </w:tcBorders>
            <w:shd w:val="clear" w:color="auto" w:fill="auto"/>
            <w:noWrap/>
            <w:vAlign w:val="bottom"/>
            <w:hideMark/>
          </w:tcPr>
          <w:p w14:paraId="6765757F"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r>
      <w:tr w:rsidR="00ED02A4" w:rsidRPr="00D14720" w14:paraId="3D90CBE2"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17DFA151"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778" w:type="dxa"/>
            <w:tcBorders>
              <w:top w:val="nil"/>
              <w:left w:val="nil"/>
              <w:bottom w:val="nil"/>
              <w:right w:val="nil"/>
            </w:tcBorders>
            <w:shd w:val="clear" w:color="auto" w:fill="auto"/>
            <w:noWrap/>
            <w:vAlign w:val="bottom"/>
            <w:hideMark/>
          </w:tcPr>
          <w:p w14:paraId="793C4E0E"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699" w:type="dxa"/>
            <w:tcBorders>
              <w:top w:val="nil"/>
              <w:left w:val="nil"/>
              <w:bottom w:val="nil"/>
              <w:right w:val="nil"/>
            </w:tcBorders>
            <w:shd w:val="clear" w:color="auto" w:fill="auto"/>
            <w:noWrap/>
            <w:vAlign w:val="bottom"/>
            <w:hideMark/>
          </w:tcPr>
          <w:p w14:paraId="198B60AE"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0" w:type="dxa"/>
            <w:tcBorders>
              <w:top w:val="nil"/>
              <w:left w:val="nil"/>
              <w:bottom w:val="nil"/>
              <w:right w:val="single" w:sz="4" w:space="0" w:color="auto"/>
            </w:tcBorders>
            <w:shd w:val="clear" w:color="auto" w:fill="auto"/>
            <w:noWrap/>
            <w:vAlign w:val="bottom"/>
            <w:hideMark/>
          </w:tcPr>
          <w:p w14:paraId="1308B4C7"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34" w:type="dxa"/>
            <w:tcBorders>
              <w:top w:val="nil"/>
              <w:left w:val="single" w:sz="4" w:space="0" w:color="auto"/>
              <w:bottom w:val="nil"/>
              <w:right w:val="nil"/>
            </w:tcBorders>
            <w:shd w:val="clear" w:color="auto" w:fill="auto"/>
            <w:noWrap/>
            <w:vAlign w:val="bottom"/>
            <w:hideMark/>
          </w:tcPr>
          <w:p w14:paraId="500BE74C"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842" w:type="dxa"/>
            <w:tcBorders>
              <w:top w:val="nil"/>
              <w:left w:val="nil"/>
              <w:bottom w:val="nil"/>
              <w:right w:val="nil"/>
            </w:tcBorders>
            <w:shd w:val="clear" w:color="auto" w:fill="auto"/>
            <w:noWrap/>
            <w:vAlign w:val="bottom"/>
            <w:hideMark/>
          </w:tcPr>
          <w:p w14:paraId="73B52081"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86" w:type="dxa"/>
            <w:tcBorders>
              <w:top w:val="nil"/>
              <w:left w:val="nil"/>
              <w:bottom w:val="nil"/>
              <w:right w:val="nil"/>
            </w:tcBorders>
            <w:shd w:val="clear" w:color="auto" w:fill="auto"/>
            <w:noWrap/>
            <w:vAlign w:val="bottom"/>
            <w:hideMark/>
          </w:tcPr>
          <w:p w14:paraId="06ACE329"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31935DC2"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61" w:type="dxa"/>
            <w:tcBorders>
              <w:top w:val="nil"/>
              <w:left w:val="single" w:sz="4" w:space="0" w:color="auto"/>
              <w:bottom w:val="nil"/>
              <w:right w:val="nil"/>
            </w:tcBorders>
            <w:shd w:val="clear" w:color="auto" w:fill="auto"/>
            <w:noWrap/>
            <w:vAlign w:val="bottom"/>
            <w:hideMark/>
          </w:tcPr>
          <w:p w14:paraId="7D80A859"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861" w:type="dxa"/>
            <w:tcBorders>
              <w:top w:val="nil"/>
              <w:left w:val="nil"/>
              <w:bottom w:val="nil"/>
              <w:right w:val="nil"/>
            </w:tcBorders>
            <w:shd w:val="clear" w:color="auto" w:fill="auto"/>
            <w:noWrap/>
            <w:vAlign w:val="bottom"/>
            <w:hideMark/>
          </w:tcPr>
          <w:p w14:paraId="4BC76C78"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01" w:type="dxa"/>
            <w:tcBorders>
              <w:top w:val="nil"/>
              <w:left w:val="nil"/>
              <w:bottom w:val="nil"/>
              <w:right w:val="nil"/>
            </w:tcBorders>
            <w:shd w:val="clear" w:color="auto" w:fill="auto"/>
            <w:noWrap/>
            <w:vAlign w:val="bottom"/>
            <w:hideMark/>
          </w:tcPr>
          <w:p w14:paraId="3C992776"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5A8BBAF9" w14:textId="77777777" w:rsidR="00ED02A4" w:rsidRPr="00D14720" w:rsidRDefault="00ED02A4" w:rsidP="00367A87">
            <w:pPr>
              <w:spacing w:after="0" w:line="240" w:lineRule="auto"/>
              <w:rPr>
                <w:rFonts w:eastAsia="Times New Roman" w:cs="Times New Roman"/>
                <w:color w:val="000000"/>
                <w:sz w:val="20"/>
                <w:szCs w:val="20"/>
                <w:lang w:eastAsia="en-IE"/>
              </w:rPr>
            </w:pPr>
          </w:p>
        </w:tc>
      </w:tr>
      <w:tr w:rsidR="00ED02A4" w:rsidRPr="00D14720" w14:paraId="03FC2E32"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76EA6661"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778" w:type="dxa"/>
            <w:tcBorders>
              <w:top w:val="nil"/>
              <w:left w:val="nil"/>
              <w:bottom w:val="nil"/>
              <w:right w:val="nil"/>
            </w:tcBorders>
            <w:shd w:val="clear" w:color="auto" w:fill="auto"/>
            <w:noWrap/>
            <w:vAlign w:val="bottom"/>
            <w:hideMark/>
          </w:tcPr>
          <w:p w14:paraId="196689CE"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0.707</w:t>
            </w:r>
          </w:p>
        </w:tc>
        <w:tc>
          <w:tcPr>
            <w:tcW w:w="699" w:type="dxa"/>
            <w:tcBorders>
              <w:top w:val="nil"/>
              <w:left w:val="nil"/>
              <w:bottom w:val="nil"/>
              <w:right w:val="nil"/>
            </w:tcBorders>
            <w:shd w:val="clear" w:color="auto" w:fill="auto"/>
            <w:noWrap/>
            <w:vAlign w:val="bottom"/>
            <w:hideMark/>
          </w:tcPr>
          <w:p w14:paraId="0DC17357"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00" w:type="dxa"/>
            <w:tcBorders>
              <w:top w:val="nil"/>
              <w:left w:val="nil"/>
              <w:bottom w:val="nil"/>
              <w:right w:val="single" w:sz="4" w:space="0" w:color="auto"/>
            </w:tcBorders>
            <w:shd w:val="clear" w:color="auto" w:fill="auto"/>
            <w:noWrap/>
            <w:vAlign w:val="bottom"/>
            <w:hideMark/>
          </w:tcPr>
          <w:p w14:paraId="5172795E"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34" w:type="dxa"/>
            <w:tcBorders>
              <w:top w:val="nil"/>
              <w:left w:val="single" w:sz="4" w:space="0" w:color="auto"/>
              <w:bottom w:val="nil"/>
              <w:right w:val="nil"/>
            </w:tcBorders>
            <w:shd w:val="clear" w:color="auto" w:fill="auto"/>
            <w:noWrap/>
            <w:vAlign w:val="bottom"/>
            <w:hideMark/>
          </w:tcPr>
          <w:p w14:paraId="2FA6DDCC"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842" w:type="dxa"/>
            <w:tcBorders>
              <w:top w:val="nil"/>
              <w:left w:val="nil"/>
              <w:bottom w:val="nil"/>
              <w:right w:val="nil"/>
            </w:tcBorders>
            <w:shd w:val="clear" w:color="auto" w:fill="auto"/>
            <w:noWrap/>
            <w:vAlign w:val="bottom"/>
            <w:hideMark/>
          </w:tcPr>
          <w:p w14:paraId="2F979C00"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-0.103</w:t>
            </w:r>
          </w:p>
        </w:tc>
        <w:tc>
          <w:tcPr>
            <w:tcW w:w="786" w:type="dxa"/>
            <w:tcBorders>
              <w:top w:val="nil"/>
              <w:left w:val="nil"/>
              <w:bottom w:val="nil"/>
              <w:right w:val="nil"/>
            </w:tcBorders>
            <w:shd w:val="clear" w:color="auto" w:fill="auto"/>
            <w:noWrap/>
            <w:vAlign w:val="bottom"/>
            <w:hideMark/>
          </w:tcPr>
          <w:p w14:paraId="66486B03"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01" w:type="dxa"/>
            <w:tcBorders>
              <w:top w:val="nil"/>
              <w:left w:val="nil"/>
              <w:bottom w:val="nil"/>
              <w:right w:val="single" w:sz="4" w:space="0" w:color="auto"/>
            </w:tcBorders>
            <w:shd w:val="clear" w:color="auto" w:fill="auto"/>
            <w:noWrap/>
            <w:vAlign w:val="bottom"/>
            <w:hideMark/>
          </w:tcPr>
          <w:p w14:paraId="033E4914"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61" w:type="dxa"/>
            <w:tcBorders>
              <w:top w:val="nil"/>
              <w:left w:val="single" w:sz="4" w:space="0" w:color="auto"/>
              <w:bottom w:val="nil"/>
              <w:right w:val="nil"/>
            </w:tcBorders>
            <w:shd w:val="clear" w:color="auto" w:fill="auto"/>
            <w:noWrap/>
            <w:vAlign w:val="bottom"/>
            <w:hideMark/>
          </w:tcPr>
          <w:p w14:paraId="078648D4"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861" w:type="dxa"/>
            <w:tcBorders>
              <w:top w:val="nil"/>
              <w:left w:val="nil"/>
              <w:bottom w:val="nil"/>
              <w:right w:val="nil"/>
            </w:tcBorders>
            <w:shd w:val="clear" w:color="auto" w:fill="auto"/>
            <w:noWrap/>
            <w:vAlign w:val="bottom"/>
            <w:hideMark/>
          </w:tcPr>
          <w:p w14:paraId="45A4A836"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0.770</w:t>
            </w:r>
          </w:p>
        </w:tc>
        <w:tc>
          <w:tcPr>
            <w:tcW w:w="701" w:type="dxa"/>
            <w:tcBorders>
              <w:top w:val="nil"/>
              <w:left w:val="nil"/>
              <w:bottom w:val="nil"/>
              <w:right w:val="nil"/>
            </w:tcBorders>
            <w:shd w:val="clear" w:color="auto" w:fill="auto"/>
            <w:noWrap/>
            <w:vAlign w:val="bottom"/>
            <w:hideMark/>
          </w:tcPr>
          <w:p w14:paraId="58D5FD1E"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01" w:type="dxa"/>
            <w:tcBorders>
              <w:top w:val="nil"/>
              <w:left w:val="nil"/>
              <w:bottom w:val="nil"/>
              <w:right w:val="single" w:sz="4" w:space="0" w:color="auto"/>
            </w:tcBorders>
            <w:shd w:val="clear" w:color="auto" w:fill="auto"/>
            <w:noWrap/>
            <w:vAlign w:val="bottom"/>
            <w:hideMark/>
          </w:tcPr>
          <w:p w14:paraId="245C4CD4" w14:textId="77777777" w:rsidR="00ED02A4" w:rsidRPr="00D14720" w:rsidRDefault="00ED02A4" w:rsidP="00367A87">
            <w:pPr>
              <w:spacing w:after="0" w:line="240" w:lineRule="auto"/>
              <w:rPr>
                <w:rFonts w:eastAsia="Times New Roman" w:cs="Times New Roman"/>
                <w:color w:val="000000"/>
                <w:sz w:val="20"/>
                <w:szCs w:val="20"/>
                <w:lang w:eastAsia="en-IE"/>
              </w:rPr>
            </w:pPr>
          </w:p>
        </w:tc>
      </w:tr>
      <w:tr w:rsidR="00ED02A4" w:rsidRPr="00D14720" w14:paraId="09EBF54D"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7C84EB15"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778" w:type="dxa"/>
            <w:tcBorders>
              <w:top w:val="nil"/>
              <w:left w:val="nil"/>
              <w:bottom w:val="nil"/>
              <w:right w:val="nil"/>
            </w:tcBorders>
            <w:shd w:val="clear" w:color="auto" w:fill="auto"/>
            <w:noWrap/>
            <w:vAlign w:val="bottom"/>
            <w:hideMark/>
          </w:tcPr>
          <w:p w14:paraId="123B8A4E"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0.786</w:t>
            </w:r>
          </w:p>
        </w:tc>
        <w:tc>
          <w:tcPr>
            <w:tcW w:w="699" w:type="dxa"/>
            <w:tcBorders>
              <w:top w:val="nil"/>
              <w:left w:val="nil"/>
              <w:bottom w:val="nil"/>
              <w:right w:val="nil"/>
            </w:tcBorders>
            <w:shd w:val="clear" w:color="auto" w:fill="auto"/>
            <w:noWrap/>
            <w:vAlign w:val="bottom"/>
            <w:hideMark/>
          </w:tcPr>
          <w:p w14:paraId="1135879D"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0.836</w:t>
            </w:r>
          </w:p>
        </w:tc>
        <w:tc>
          <w:tcPr>
            <w:tcW w:w="700" w:type="dxa"/>
            <w:tcBorders>
              <w:top w:val="nil"/>
              <w:left w:val="nil"/>
              <w:bottom w:val="nil"/>
              <w:right w:val="single" w:sz="4" w:space="0" w:color="auto"/>
            </w:tcBorders>
            <w:shd w:val="clear" w:color="auto" w:fill="auto"/>
            <w:noWrap/>
            <w:vAlign w:val="bottom"/>
            <w:hideMark/>
          </w:tcPr>
          <w:p w14:paraId="4DA04B21"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834" w:type="dxa"/>
            <w:tcBorders>
              <w:top w:val="nil"/>
              <w:left w:val="single" w:sz="4" w:space="0" w:color="auto"/>
              <w:bottom w:val="nil"/>
              <w:right w:val="nil"/>
            </w:tcBorders>
            <w:shd w:val="clear" w:color="auto" w:fill="auto"/>
            <w:noWrap/>
            <w:vAlign w:val="bottom"/>
            <w:hideMark/>
          </w:tcPr>
          <w:p w14:paraId="196F1A91"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842" w:type="dxa"/>
            <w:tcBorders>
              <w:top w:val="nil"/>
              <w:left w:val="nil"/>
              <w:bottom w:val="nil"/>
              <w:right w:val="nil"/>
            </w:tcBorders>
            <w:shd w:val="clear" w:color="auto" w:fill="auto"/>
            <w:noWrap/>
            <w:vAlign w:val="bottom"/>
            <w:hideMark/>
          </w:tcPr>
          <w:p w14:paraId="565ADD87"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-0.229</w:t>
            </w:r>
          </w:p>
        </w:tc>
        <w:tc>
          <w:tcPr>
            <w:tcW w:w="786" w:type="dxa"/>
            <w:tcBorders>
              <w:top w:val="nil"/>
              <w:left w:val="nil"/>
              <w:bottom w:val="nil"/>
              <w:right w:val="nil"/>
            </w:tcBorders>
            <w:shd w:val="clear" w:color="auto" w:fill="auto"/>
            <w:noWrap/>
            <w:vAlign w:val="bottom"/>
            <w:hideMark/>
          </w:tcPr>
          <w:p w14:paraId="76F16E5D"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0.711</w:t>
            </w:r>
          </w:p>
        </w:tc>
        <w:tc>
          <w:tcPr>
            <w:tcW w:w="701" w:type="dxa"/>
            <w:tcBorders>
              <w:top w:val="nil"/>
              <w:left w:val="nil"/>
              <w:bottom w:val="nil"/>
              <w:right w:val="single" w:sz="4" w:space="0" w:color="auto"/>
            </w:tcBorders>
            <w:shd w:val="clear" w:color="auto" w:fill="auto"/>
            <w:noWrap/>
            <w:vAlign w:val="bottom"/>
            <w:hideMark/>
          </w:tcPr>
          <w:p w14:paraId="2723DC53"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861" w:type="dxa"/>
            <w:tcBorders>
              <w:top w:val="nil"/>
              <w:left w:val="single" w:sz="4" w:space="0" w:color="auto"/>
              <w:bottom w:val="nil"/>
              <w:right w:val="nil"/>
            </w:tcBorders>
            <w:shd w:val="clear" w:color="auto" w:fill="auto"/>
            <w:noWrap/>
            <w:vAlign w:val="bottom"/>
            <w:hideMark/>
          </w:tcPr>
          <w:p w14:paraId="25C81D44"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861" w:type="dxa"/>
            <w:tcBorders>
              <w:top w:val="nil"/>
              <w:left w:val="nil"/>
              <w:bottom w:val="nil"/>
              <w:right w:val="nil"/>
            </w:tcBorders>
            <w:shd w:val="clear" w:color="auto" w:fill="auto"/>
            <w:noWrap/>
            <w:vAlign w:val="bottom"/>
            <w:hideMark/>
          </w:tcPr>
          <w:p w14:paraId="09178DA0"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0.885</w:t>
            </w:r>
          </w:p>
        </w:tc>
        <w:tc>
          <w:tcPr>
            <w:tcW w:w="701" w:type="dxa"/>
            <w:tcBorders>
              <w:top w:val="nil"/>
              <w:left w:val="nil"/>
              <w:bottom w:val="nil"/>
              <w:right w:val="nil"/>
            </w:tcBorders>
            <w:shd w:val="clear" w:color="auto" w:fill="auto"/>
            <w:noWrap/>
            <w:vAlign w:val="bottom"/>
            <w:hideMark/>
          </w:tcPr>
          <w:p w14:paraId="67A0F762"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0.738</w:t>
            </w:r>
          </w:p>
        </w:tc>
        <w:tc>
          <w:tcPr>
            <w:tcW w:w="701" w:type="dxa"/>
            <w:tcBorders>
              <w:top w:val="nil"/>
              <w:left w:val="nil"/>
              <w:bottom w:val="nil"/>
              <w:right w:val="single" w:sz="4" w:space="0" w:color="auto"/>
            </w:tcBorders>
            <w:shd w:val="clear" w:color="auto" w:fill="auto"/>
            <w:noWrap/>
            <w:vAlign w:val="bottom"/>
            <w:hideMark/>
          </w:tcPr>
          <w:p w14:paraId="253F56A6"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r>
      <w:tr w:rsidR="00ED02A4" w:rsidRPr="00D14720" w14:paraId="62984EEF"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3C2E3A07"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78" w:type="dxa"/>
            <w:tcBorders>
              <w:top w:val="nil"/>
              <w:left w:val="nil"/>
              <w:bottom w:val="nil"/>
              <w:right w:val="nil"/>
            </w:tcBorders>
            <w:shd w:val="clear" w:color="auto" w:fill="auto"/>
            <w:noWrap/>
            <w:vAlign w:val="bottom"/>
            <w:hideMark/>
          </w:tcPr>
          <w:p w14:paraId="5474FB14"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699" w:type="dxa"/>
            <w:tcBorders>
              <w:top w:val="nil"/>
              <w:left w:val="nil"/>
              <w:bottom w:val="nil"/>
              <w:right w:val="nil"/>
            </w:tcBorders>
            <w:shd w:val="clear" w:color="auto" w:fill="auto"/>
            <w:noWrap/>
            <w:vAlign w:val="bottom"/>
            <w:hideMark/>
          </w:tcPr>
          <w:p w14:paraId="26D1149F"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0" w:type="dxa"/>
            <w:tcBorders>
              <w:top w:val="nil"/>
              <w:left w:val="nil"/>
              <w:bottom w:val="nil"/>
              <w:right w:val="single" w:sz="4" w:space="0" w:color="auto"/>
            </w:tcBorders>
            <w:shd w:val="clear" w:color="auto" w:fill="auto"/>
            <w:noWrap/>
            <w:vAlign w:val="bottom"/>
            <w:hideMark/>
          </w:tcPr>
          <w:p w14:paraId="3E10CFE2"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34" w:type="dxa"/>
            <w:tcBorders>
              <w:top w:val="nil"/>
              <w:left w:val="single" w:sz="4" w:space="0" w:color="auto"/>
              <w:bottom w:val="nil"/>
              <w:right w:val="nil"/>
            </w:tcBorders>
            <w:shd w:val="clear" w:color="auto" w:fill="auto"/>
            <w:noWrap/>
            <w:vAlign w:val="bottom"/>
            <w:hideMark/>
          </w:tcPr>
          <w:p w14:paraId="2603ECD1"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42" w:type="dxa"/>
            <w:tcBorders>
              <w:top w:val="nil"/>
              <w:left w:val="nil"/>
              <w:bottom w:val="nil"/>
              <w:right w:val="nil"/>
            </w:tcBorders>
            <w:shd w:val="clear" w:color="auto" w:fill="auto"/>
            <w:noWrap/>
            <w:vAlign w:val="bottom"/>
            <w:hideMark/>
          </w:tcPr>
          <w:p w14:paraId="7FA0CDFC"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86" w:type="dxa"/>
            <w:tcBorders>
              <w:top w:val="nil"/>
              <w:left w:val="nil"/>
              <w:bottom w:val="nil"/>
              <w:right w:val="nil"/>
            </w:tcBorders>
            <w:shd w:val="clear" w:color="auto" w:fill="auto"/>
            <w:noWrap/>
            <w:vAlign w:val="bottom"/>
            <w:hideMark/>
          </w:tcPr>
          <w:p w14:paraId="570B485D"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66E3EF60"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61" w:type="dxa"/>
            <w:tcBorders>
              <w:top w:val="nil"/>
              <w:left w:val="single" w:sz="4" w:space="0" w:color="auto"/>
              <w:bottom w:val="nil"/>
              <w:right w:val="nil"/>
            </w:tcBorders>
            <w:shd w:val="clear" w:color="auto" w:fill="auto"/>
            <w:noWrap/>
            <w:vAlign w:val="bottom"/>
            <w:hideMark/>
          </w:tcPr>
          <w:p w14:paraId="51631CAD"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61" w:type="dxa"/>
            <w:tcBorders>
              <w:top w:val="nil"/>
              <w:left w:val="nil"/>
              <w:bottom w:val="nil"/>
              <w:right w:val="nil"/>
            </w:tcBorders>
            <w:shd w:val="clear" w:color="auto" w:fill="auto"/>
            <w:noWrap/>
            <w:vAlign w:val="bottom"/>
            <w:hideMark/>
          </w:tcPr>
          <w:p w14:paraId="624FFAC7"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nil"/>
            </w:tcBorders>
            <w:shd w:val="clear" w:color="auto" w:fill="auto"/>
            <w:noWrap/>
            <w:vAlign w:val="bottom"/>
            <w:hideMark/>
          </w:tcPr>
          <w:p w14:paraId="31548DA5"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13CAB542" w14:textId="77777777" w:rsidR="00ED02A4" w:rsidRPr="00D14720" w:rsidRDefault="00ED02A4" w:rsidP="00367A87">
            <w:pPr>
              <w:spacing w:after="0" w:line="240" w:lineRule="auto"/>
              <w:rPr>
                <w:rFonts w:eastAsia="Times New Roman" w:cs="Times New Roman"/>
                <w:color w:val="000000"/>
                <w:sz w:val="20"/>
                <w:szCs w:val="20"/>
                <w:lang w:eastAsia="en-IE"/>
              </w:rPr>
            </w:pPr>
          </w:p>
        </w:tc>
      </w:tr>
      <w:tr w:rsidR="00ED02A4" w:rsidRPr="00D14720" w14:paraId="677C86A2" w14:textId="77777777" w:rsidTr="00367A87">
        <w:trPr>
          <w:trHeight w:val="300"/>
        </w:trPr>
        <w:tc>
          <w:tcPr>
            <w:tcW w:w="1556" w:type="dxa"/>
            <w:gridSpan w:val="2"/>
            <w:tcBorders>
              <w:top w:val="nil"/>
              <w:left w:val="single" w:sz="4" w:space="0" w:color="auto"/>
              <w:bottom w:val="nil"/>
              <w:right w:val="nil"/>
            </w:tcBorders>
            <w:shd w:val="clear" w:color="auto" w:fill="auto"/>
            <w:noWrap/>
            <w:vAlign w:val="bottom"/>
            <w:hideMark/>
          </w:tcPr>
          <w:p w14:paraId="08191C3E"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Lead Bonds</w:t>
            </w:r>
          </w:p>
        </w:tc>
        <w:tc>
          <w:tcPr>
            <w:tcW w:w="699" w:type="dxa"/>
            <w:tcBorders>
              <w:top w:val="nil"/>
              <w:left w:val="nil"/>
              <w:bottom w:val="nil"/>
              <w:right w:val="nil"/>
            </w:tcBorders>
            <w:shd w:val="clear" w:color="auto" w:fill="auto"/>
            <w:noWrap/>
            <w:vAlign w:val="bottom"/>
            <w:hideMark/>
          </w:tcPr>
          <w:p w14:paraId="465D1BD6"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0" w:type="dxa"/>
            <w:tcBorders>
              <w:top w:val="nil"/>
              <w:left w:val="nil"/>
              <w:bottom w:val="nil"/>
              <w:right w:val="single" w:sz="4" w:space="0" w:color="auto"/>
            </w:tcBorders>
            <w:shd w:val="clear" w:color="auto" w:fill="auto"/>
            <w:noWrap/>
            <w:vAlign w:val="bottom"/>
            <w:hideMark/>
          </w:tcPr>
          <w:p w14:paraId="7D01CC1C"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1676" w:type="dxa"/>
            <w:gridSpan w:val="2"/>
            <w:tcBorders>
              <w:top w:val="nil"/>
              <w:left w:val="single" w:sz="4" w:space="0" w:color="auto"/>
              <w:bottom w:val="nil"/>
              <w:right w:val="nil"/>
            </w:tcBorders>
            <w:shd w:val="clear" w:color="auto" w:fill="auto"/>
            <w:noWrap/>
            <w:vAlign w:val="bottom"/>
            <w:hideMark/>
          </w:tcPr>
          <w:p w14:paraId="4900598A"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Lead Bonds</w:t>
            </w:r>
          </w:p>
        </w:tc>
        <w:tc>
          <w:tcPr>
            <w:tcW w:w="786" w:type="dxa"/>
            <w:tcBorders>
              <w:top w:val="nil"/>
              <w:left w:val="nil"/>
              <w:bottom w:val="nil"/>
              <w:right w:val="nil"/>
            </w:tcBorders>
            <w:shd w:val="clear" w:color="auto" w:fill="auto"/>
            <w:noWrap/>
            <w:vAlign w:val="bottom"/>
            <w:hideMark/>
          </w:tcPr>
          <w:p w14:paraId="2D77D747"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698A97F5"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1722" w:type="dxa"/>
            <w:gridSpan w:val="2"/>
            <w:tcBorders>
              <w:top w:val="nil"/>
              <w:left w:val="single" w:sz="4" w:space="0" w:color="auto"/>
              <w:bottom w:val="nil"/>
              <w:right w:val="nil"/>
            </w:tcBorders>
            <w:shd w:val="clear" w:color="auto" w:fill="auto"/>
            <w:noWrap/>
            <w:vAlign w:val="bottom"/>
            <w:hideMark/>
          </w:tcPr>
          <w:p w14:paraId="04F471B1"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Lead Bonds</w:t>
            </w:r>
          </w:p>
        </w:tc>
        <w:tc>
          <w:tcPr>
            <w:tcW w:w="701" w:type="dxa"/>
            <w:tcBorders>
              <w:top w:val="nil"/>
              <w:left w:val="nil"/>
              <w:bottom w:val="nil"/>
              <w:right w:val="nil"/>
            </w:tcBorders>
            <w:shd w:val="clear" w:color="auto" w:fill="auto"/>
            <w:noWrap/>
            <w:vAlign w:val="bottom"/>
            <w:hideMark/>
          </w:tcPr>
          <w:p w14:paraId="30BA450E"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74F7F4F0" w14:textId="77777777" w:rsidR="00ED02A4" w:rsidRPr="00D14720" w:rsidRDefault="00ED02A4" w:rsidP="00367A87">
            <w:pPr>
              <w:spacing w:after="0" w:line="240" w:lineRule="auto"/>
              <w:rPr>
                <w:rFonts w:eastAsia="Times New Roman" w:cs="Times New Roman"/>
                <w:color w:val="000000"/>
                <w:sz w:val="20"/>
                <w:szCs w:val="20"/>
                <w:lang w:eastAsia="en-IE"/>
              </w:rPr>
            </w:pPr>
          </w:p>
        </w:tc>
      </w:tr>
      <w:tr w:rsidR="00ED02A4" w:rsidRPr="00D14720" w14:paraId="41708B34"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2F45E0D3" w14:textId="77777777" w:rsidR="00ED02A4" w:rsidRPr="00D14720" w:rsidRDefault="00ED02A4" w:rsidP="00367A87">
            <w:pPr>
              <w:spacing w:after="0" w:line="240" w:lineRule="auto"/>
              <w:jc w:val="center"/>
              <w:rPr>
                <w:rFonts w:eastAsia="Times New Roman" w:cs="Times New Roman"/>
                <w:i/>
                <w:iCs/>
                <w:color w:val="000000"/>
                <w:sz w:val="20"/>
                <w:szCs w:val="20"/>
                <w:lang w:eastAsia="en-IE"/>
              </w:rPr>
            </w:pPr>
          </w:p>
        </w:tc>
        <w:tc>
          <w:tcPr>
            <w:tcW w:w="778" w:type="dxa"/>
            <w:tcBorders>
              <w:top w:val="nil"/>
              <w:left w:val="nil"/>
              <w:bottom w:val="nil"/>
              <w:right w:val="nil"/>
            </w:tcBorders>
            <w:shd w:val="clear" w:color="auto" w:fill="auto"/>
            <w:noWrap/>
            <w:vAlign w:val="bottom"/>
            <w:hideMark/>
          </w:tcPr>
          <w:p w14:paraId="26CECEAD"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699" w:type="dxa"/>
            <w:tcBorders>
              <w:top w:val="nil"/>
              <w:left w:val="nil"/>
              <w:bottom w:val="nil"/>
              <w:right w:val="nil"/>
            </w:tcBorders>
            <w:shd w:val="clear" w:color="auto" w:fill="auto"/>
            <w:noWrap/>
            <w:vAlign w:val="bottom"/>
            <w:hideMark/>
          </w:tcPr>
          <w:p w14:paraId="66DB9C63"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700" w:type="dxa"/>
            <w:tcBorders>
              <w:top w:val="nil"/>
              <w:left w:val="nil"/>
              <w:bottom w:val="nil"/>
              <w:right w:val="single" w:sz="4" w:space="0" w:color="auto"/>
            </w:tcBorders>
            <w:shd w:val="clear" w:color="auto" w:fill="auto"/>
            <w:noWrap/>
            <w:vAlign w:val="bottom"/>
            <w:hideMark/>
          </w:tcPr>
          <w:p w14:paraId="120B5E21"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834" w:type="dxa"/>
            <w:tcBorders>
              <w:top w:val="nil"/>
              <w:left w:val="single" w:sz="4" w:space="0" w:color="auto"/>
              <w:bottom w:val="nil"/>
              <w:right w:val="nil"/>
            </w:tcBorders>
            <w:shd w:val="clear" w:color="auto" w:fill="auto"/>
            <w:noWrap/>
            <w:vAlign w:val="bottom"/>
            <w:hideMark/>
          </w:tcPr>
          <w:p w14:paraId="5926DB7F" w14:textId="77777777" w:rsidR="00ED02A4" w:rsidRPr="00D14720" w:rsidRDefault="00ED02A4" w:rsidP="00367A87">
            <w:pPr>
              <w:spacing w:after="0" w:line="240" w:lineRule="auto"/>
              <w:jc w:val="center"/>
              <w:rPr>
                <w:rFonts w:eastAsia="Times New Roman" w:cs="Times New Roman"/>
                <w:i/>
                <w:iCs/>
                <w:color w:val="000000"/>
                <w:sz w:val="20"/>
                <w:szCs w:val="20"/>
                <w:lang w:eastAsia="en-IE"/>
              </w:rPr>
            </w:pPr>
          </w:p>
        </w:tc>
        <w:tc>
          <w:tcPr>
            <w:tcW w:w="842" w:type="dxa"/>
            <w:tcBorders>
              <w:top w:val="nil"/>
              <w:left w:val="nil"/>
              <w:bottom w:val="nil"/>
              <w:right w:val="nil"/>
            </w:tcBorders>
            <w:shd w:val="clear" w:color="auto" w:fill="auto"/>
            <w:noWrap/>
            <w:vAlign w:val="bottom"/>
            <w:hideMark/>
          </w:tcPr>
          <w:p w14:paraId="42BF8A3A"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786" w:type="dxa"/>
            <w:tcBorders>
              <w:top w:val="nil"/>
              <w:left w:val="nil"/>
              <w:bottom w:val="nil"/>
              <w:right w:val="nil"/>
            </w:tcBorders>
            <w:shd w:val="clear" w:color="auto" w:fill="auto"/>
            <w:noWrap/>
            <w:vAlign w:val="bottom"/>
            <w:hideMark/>
          </w:tcPr>
          <w:p w14:paraId="4926ACE9"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701" w:type="dxa"/>
            <w:tcBorders>
              <w:top w:val="nil"/>
              <w:left w:val="nil"/>
              <w:bottom w:val="nil"/>
              <w:right w:val="single" w:sz="4" w:space="0" w:color="auto"/>
            </w:tcBorders>
            <w:shd w:val="clear" w:color="auto" w:fill="auto"/>
            <w:noWrap/>
            <w:vAlign w:val="bottom"/>
            <w:hideMark/>
          </w:tcPr>
          <w:p w14:paraId="6BC43850"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861" w:type="dxa"/>
            <w:tcBorders>
              <w:top w:val="nil"/>
              <w:left w:val="single" w:sz="4" w:space="0" w:color="auto"/>
              <w:bottom w:val="nil"/>
              <w:right w:val="nil"/>
            </w:tcBorders>
            <w:shd w:val="clear" w:color="auto" w:fill="auto"/>
            <w:noWrap/>
            <w:vAlign w:val="bottom"/>
            <w:hideMark/>
          </w:tcPr>
          <w:p w14:paraId="61B154D0" w14:textId="77777777" w:rsidR="00ED02A4" w:rsidRPr="00D14720" w:rsidRDefault="00ED02A4" w:rsidP="00367A87">
            <w:pPr>
              <w:spacing w:after="0" w:line="240" w:lineRule="auto"/>
              <w:jc w:val="center"/>
              <w:rPr>
                <w:rFonts w:eastAsia="Times New Roman" w:cs="Times New Roman"/>
                <w:i/>
                <w:iCs/>
                <w:color w:val="000000"/>
                <w:sz w:val="20"/>
                <w:szCs w:val="20"/>
                <w:lang w:eastAsia="en-IE"/>
              </w:rPr>
            </w:pPr>
          </w:p>
        </w:tc>
        <w:tc>
          <w:tcPr>
            <w:tcW w:w="861" w:type="dxa"/>
            <w:tcBorders>
              <w:top w:val="nil"/>
              <w:left w:val="nil"/>
              <w:bottom w:val="nil"/>
              <w:right w:val="nil"/>
            </w:tcBorders>
            <w:shd w:val="clear" w:color="auto" w:fill="auto"/>
            <w:noWrap/>
            <w:vAlign w:val="bottom"/>
            <w:hideMark/>
          </w:tcPr>
          <w:p w14:paraId="6B0FA439"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701" w:type="dxa"/>
            <w:tcBorders>
              <w:top w:val="nil"/>
              <w:left w:val="nil"/>
              <w:bottom w:val="nil"/>
              <w:right w:val="nil"/>
            </w:tcBorders>
            <w:shd w:val="clear" w:color="auto" w:fill="auto"/>
            <w:noWrap/>
            <w:vAlign w:val="bottom"/>
            <w:hideMark/>
          </w:tcPr>
          <w:p w14:paraId="521C17CA"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701" w:type="dxa"/>
            <w:tcBorders>
              <w:top w:val="nil"/>
              <w:left w:val="nil"/>
              <w:bottom w:val="nil"/>
              <w:right w:val="single" w:sz="4" w:space="0" w:color="auto"/>
            </w:tcBorders>
            <w:shd w:val="clear" w:color="auto" w:fill="auto"/>
            <w:noWrap/>
            <w:vAlign w:val="bottom"/>
            <w:hideMark/>
          </w:tcPr>
          <w:p w14:paraId="1AC98E9B"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r>
      <w:tr w:rsidR="00ED02A4" w:rsidRPr="00D14720" w14:paraId="27C8170D"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15991AE4"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778" w:type="dxa"/>
            <w:tcBorders>
              <w:top w:val="nil"/>
              <w:left w:val="nil"/>
              <w:bottom w:val="nil"/>
              <w:right w:val="nil"/>
            </w:tcBorders>
            <w:shd w:val="clear" w:color="auto" w:fill="auto"/>
            <w:noWrap/>
            <w:vAlign w:val="bottom"/>
            <w:hideMark/>
          </w:tcPr>
          <w:p w14:paraId="2DA95DDE"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699" w:type="dxa"/>
            <w:tcBorders>
              <w:top w:val="nil"/>
              <w:left w:val="nil"/>
              <w:bottom w:val="nil"/>
              <w:right w:val="nil"/>
            </w:tcBorders>
            <w:shd w:val="clear" w:color="auto" w:fill="auto"/>
            <w:noWrap/>
            <w:vAlign w:val="bottom"/>
            <w:hideMark/>
          </w:tcPr>
          <w:p w14:paraId="5582DA99"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0" w:type="dxa"/>
            <w:tcBorders>
              <w:top w:val="nil"/>
              <w:left w:val="nil"/>
              <w:bottom w:val="nil"/>
              <w:right w:val="single" w:sz="4" w:space="0" w:color="auto"/>
            </w:tcBorders>
            <w:shd w:val="clear" w:color="auto" w:fill="auto"/>
            <w:noWrap/>
            <w:vAlign w:val="bottom"/>
            <w:hideMark/>
          </w:tcPr>
          <w:p w14:paraId="18090E54"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34" w:type="dxa"/>
            <w:tcBorders>
              <w:top w:val="nil"/>
              <w:left w:val="single" w:sz="4" w:space="0" w:color="auto"/>
              <w:bottom w:val="nil"/>
              <w:right w:val="nil"/>
            </w:tcBorders>
            <w:shd w:val="clear" w:color="auto" w:fill="auto"/>
            <w:noWrap/>
            <w:vAlign w:val="bottom"/>
            <w:hideMark/>
          </w:tcPr>
          <w:p w14:paraId="2E7771D3"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842" w:type="dxa"/>
            <w:tcBorders>
              <w:top w:val="nil"/>
              <w:left w:val="nil"/>
              <w:bottom w:val="nil"/>
              <w:right w:val="nil"/>
            </w:tcBorders>
            <w:shd w:val="clear" w:color="auto" w:fill="auto"/>
            <w:noWrap/>
            <w:vAlign w:val="bottom"/>
            <w:hideMark/>
          </w:tcPr>
          <w:p w14:paraId="3756862B"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86" w:type="dxa"/>
            <w:tcBorders>
              <w:top w:val="nil"/>
              <w:left w:val="nil"/>
              <w:bottom w:val="nil"/>
              <w:right w:val="nil"/>
            </w:tcBorders>
            <w:shd w:val="clear" w:color="auto" w:fill="auto"/>
            <w:noWrap/>
            <w:vAlign w:val="bottom"/>
            <w:hideMark/>
          </w:tcPr>
          <w:p w14:paraId="0D65E349"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18CD1BD2"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61" w:type="dxa"/>
            <w:tcBorders>
              <w:top w:val="nil"/>
              <w:left w:val="single" w:sz="4" w:space="0" w:color="auto"/>
              <w:bottom w:val="nil"/>
              <w:right w:val="nil"/>
            </w:tcBorders>
            <w:shd w:val="clear" w:color="auto" w:fill="auto"/>
            <w:noWrap/>
            <w:vAlign w:val="bottom"/>
            <w:hideMark/>
          </w:tcPr>
          <w:p w14:paraId="0FB118E4"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861" w:type="dxa"/>
            <w:tcBorders>
              <w:top w:val="nil"/>
              <w:left w:val="nil"/>
              <w:bottom w:val="nil"/>
              <w:right w:val="nil"/>
            </w:tcBorders>
            <w:shd w:val="clear" w:color="auto" w:fill="auto"/>
            <w:noWrap/>
            <w:vAlign w:val="bottom"/>
            <w:hideMark/>
          </w:tcPr>
          <w:p w14:paraId="18148EE4"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01" w:type="dxa"/>
            <w:tcBorders>
              <w:top w:val="nil"/>
              <w:left w:val="nil"/>
              <w:bottom w:val="nil"/>
              <w:right w:val="nil"/>
            </w:tcBorders>
            <w:shd w:val="clear" w:color="auto" w:fill="auto"/>
            <w:noWrap/>
            <w:vAlign w:val="bottom"/>
            <w:hideMark/>
          </w:tcPr>
          <w:p w14:paraId="67BA6CCF"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75ED32F0" w14:textId="77777777" w:rsidR="00ED02A4" w:rsidRPr="00D14720" w:rsidRDefault="00ED02A4" w:rsidP="00367A87">
            <w:pPr>
              <w:spacing w:after="0" w:line="240" w:lineRule="auto"/>
              <w:rPr>
                <w:rFonts w:eastAsia="Times New Roman" w:cs="Times New Roman"/>
                <w:color w:val="000000"/>
                <w:sz w:val="20"/>
                <w:szCs w:val="20"/>
                <w:lang w:eastAsia="en-IE"/>
              </w:rPr>
            </w:pPr>
          </w:p>
        </w:tc>
      </w:tr>
      <w:tr w:rsidR="00ED02A4" w:rsidRPr="00D14720" w14:paraId="0D971C85"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42291CEC"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778" w:type="dxa"/>
            <w:tcBorders>
              <w:top w:val="nil"/>
              <w:left w:val="nil"/>
              <w:bottom w:val="nil"/>
              <w:right w:val="nil"/>
            </w:tcBorders>
            <w:shd w:val="clear" w:color="auto" w:fill="auto"/>
            <w:noWrap/>
            <w:vAlign w:val="bottom"/>
            <w:hideMark/>
          </w:tcPr>
          <w:p w14:paraId="3E476359"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0.531</w:t>
            </w:r>
          </w:p>
        </w:tc>
        <w:tc>
          <w:tcPr>
            <w:tcW w:w="699" w:type="dxa"/>
            <w:tcBorders>
              <w:top w:val="nil"/>
              <w:left w:val="nil"/>
              <w:bottom w:val="nil"/>
              <w:right w:val="nil"/>
            </w:tcBorders>
            <w:shd w:val="clear" w:color="auto" w:fill="auto"/>
            <w:noWrap/>
            <w:vAlign w:val="bottom"/>
            <w:hideMark/>
          </w:tcPr>
          <w:p w14:paraId="53BB3076"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00" w:type="dxa"/>
            <w:tcBorders>
              <w:top w:val="nil"/>
              <w:left w:val="nil"/>
              <w:bottom w:val="nil"/>
              <w:right w:val="single" w:sz="4" w:space="0" w:color="auto"/>
            </w:tcBorders>
            <w:shd w:val="clear" w:color="auto" w:fill="auto"/>
            <w:noWrap/>
            <w:vAlign w:val="bottom"/>
            <w:hideMark/>
          </w:tcPr>
          <w:p w14:paraId="4F3F049F"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34" w:type="dxa"/>
            <w:tcBorders>
              <w:top w:val="nil"/>
              <w:left w:val="single" w:sz="4" w:space="0" w:color="auto"/>
              <w:bottom w:val="nil"/>
              <w:right w:val="nil"/>
            </w:tcBorders>
            <w:shd w:val="clear" w:color="auto" w:fill="auto"/>
            <w:noWrap/>
            <w:vAlign w:val="bottom"/>
            <w:hideMark/>
          </w:tcPr>
          <w:p w14:paraId="3FA114DD"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842" w:type="dxa"/>
            <w:tcBorders>
              <w:top w:val="nil"/>
              <w:left w:val="nil"/>
              <w:bottom w:val="nil"/>
              <w:right w:val="nil"/>
            </w:tcBorders>
            <w:shd w:val="clear" w:color="auto" w:fill="auto"/>
            <w:noWrap/>
            <w:vAlign w:val="bottom"/>
            <w:hideMark/>
          </w:tcPr>
          <w:p w14:paraId="21AA389B"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-0.081</w:t>
            </w:r>
          </w:p>
        </w:tc>
        <w:tc>
          <w:tcPr>
            <w:tcW w:w="786" w:type="dxa"/>
            <w:tcBorders>
              <w:top w:val="nil"/>
              <w:left w:val="nil"/>
              <w:bottom w:val="nil"/>
              <w:right w:val="nil"/>
            </w:tcBorders>
            <w:shd w:val="clear" w:color="auto" w:fill="auto"/>
            <w:noWrap/>
            <w:vAlign w:val="bottom"/>
            <w:hideMark/>
          </w:tcPr>
          <w:p w14:paraId="1A4A4F61"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01" w:type="dxa"/>
            <w:tcBorders>
              <w:top w:val="nil"/>
              <w:left w:val="nil"/>
              <w:bottom w:val="nil"/>
              <w:right w:val="single" w:sz="4" w:space="0" w:color="auto"/>
            </w:tcBorders>
            <w:shd w:val="clear" w:color="auto" w:fill="auto"/>
            <w:noWrap/>
            <w:vAlign w:val="bottom"/>
            <w:hideMark/>
          </w:tcPr>
          <w:p w14:paraId="2FD3F124"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61" w:type="dxa"/>
            <w:tcBorders>
              <w:top w:val="nil"/>
              <w:left w:val="single" w:sz="4" w:space="0" w:color="auto"/>
              <w:bottom w:val="nil"/>
              <w:right w:val="nil"/>
            </w:tcBorders>
            <w:shd w:val="clear" w:color="auto" w:fill="auto"/>
            <w:noWrap/>
            <w:vAlign w:val="bottom"/>
            <w:hideMark/>
          </w:tcPr>
          <w:p w14:paraId="70D6AEB1"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861" w:type="dxa"/>
            <w:tcBorders>
              <w:top w:val="nil"/>
              <w:left w:val="nil"/>
              <w:bottom w:val="nil"/>
              <w:right w:val="nil"/>
            </w:tcBorders>
            <w:shd w:val="clear" w:color="auto" w:fill="auto"/>
            <w:noWrap/>
            <w:vAlign w:val="bottom"/>
            <w:hideMark/>
          </w:tcPr>
          <w:p w14:paraId="76F8BA7A"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0.771</w:t>
            </w:r>
          </w:p>
        </w:tc>
        <w:tc>
          <w:tcPr>
            <w:tcW w:w="701" w:type="dxa"/>
            <w:tcBorders>
              <w:top w:val="nil"/>
              <w:left w:val="nil"/>
              <w:bottom w:val="nil"/>
              <w:right w:val="nil"/>
            </w:tcBorders>
            <w:shd w:val="clear" w:color="auto" w:fill="auto"/>
            <w:noWrap/>
            <w:vAlign w:val="bottom"/>
            <w:hideMark/>
          </w:tcPr>
          <w:p w14:paraId="3F16D607"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01" w:type="dxa"/>
            <w:tcBorders>
              <w:top w:val="nil"/>
              <w:left w:val="nil"/>
              <w:bottom w:val="nil"/>
              <w:right w:val="single" w:sz="4" w:space="0" w:color="auto"/>
            </w:tcBorders>
            <w:shd w:val="clear" w:color="auto" w:fill="auto"/>
            <w:noWrap/>
            <w:vAlign w:val="bottom"/>
            <w:hideMark/>
          </w:tcPr>
          <w:p w14:paraId="6A1DA02F" w14:textId="77777777" w:rsidR="00ED02A4" w:rsidRPr="00D14720" w:rsidRDefault="00ED02A4" w:rsidP="00367A87">
            <w:pPr>
              <w:spacing w:after="0" w:line="240" w:lineRule="auto"/>
              <w:rPr>
                <w:rFonts w:eastAsia="Times New Roman" w:cs="Times New Roman"/>
                <w:color w:val="000000"/>
                <w:sz w:val="20"/>
                <w:szCs w:val="20"/>
                <w:lang w:eastAsia="en-IE"/>
              </w:rPr>
            </w:pPr>
          </w:p>
        </w:tc>
      </w:tr>
      <w:tr w:rsidR="00ED02A4" w:rsidRPr="00D14720" w14:paraId="216EBFC9"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792DCDF0"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778" w:type="dxa"/>
            <w:tcBorders>
              <w:top w:val="nil"/>
              <w:left w:val="nil"/>
              <w:bottom w:val="nil"/>
              <w:right w:val="nil"/>
            </w:tcBorders>
            <w:shd w:val="clear" w:color="auto" w:fill="auto"/>
            <w:noWrap/>
            <w:vAlign w:val="bottom"/>
            <w:hideMark/>
          </w:tcPr>
          <w:p w14:paraId="6D427628"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0.922</w:t>
            </w:r>
          </w:p>
        </w:tc>
        <w:tc>
          <w:tcPr>
            <w:tcW w:w="699" w:type="dxa"/>
            <w:tcBorders>
              <w:top w:val="nil"/>
              <w:left w:val="nil"/>
              <w:bottom w:val="nil"/>
              <w:right w:val="nil"/>
            </w:tcBorders>
            <w:shd w:val="clear" w:color="auto" w:fill="auto"/>
            <w:noWrap/>
            <w:vAlign w:val="bottom"/>
            <w:hideMark/>
          </w:tcPr>
          <w:p w14:paraId="29BBD40B"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0.601</w:t>
            </w:r>
          </w:p>
        </w:tc>
        <w:tc>
          <w:tcPr>
            <w:tcW w:w="700" w:type="dxa"/>
            <w:tcBorders>
              <w:top w:val="nil"/>
              <w:left w:val="nil"/>
              <w:bottom w:val="nil"/>
              <w:right w:val="single" w:sz="4" w:space="0" w:color="auto"/>
            </w:tcBorders>
            <w:shd w:val="clear" w:color="auto" w:fill="auto"/>
            <w:noWrap/>
            <w:vAlign w:val="bottom"/>
            <w:hideMark/>
          </w:tcPr>
          <w:p w14:paraId="25C2790C"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834" w:type="dxa"/>
            <w:tcBorders>
              <w:top w:val="nil"/>
              <w:left w:val="single" w:sz="4" w:space="0" w:color="auto"/>
              <w:bottom w:val="nil"/>
              <w:right w:val="nil"/>
            </w:tcBorders>
            <w:shd w:val="clear" w:color="auto" w:fill="auto"/>
            <w:noWrap/>
            <w:vAlign w:val="bottom"/>
            <w:hideMark/>
          </w:tcPr>
          <w:p w14:paraId="30AA8D0A"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842" w:type="dxa"/>
            <w:tcBorders>
              <w:top w:val="nil"/>
              <w:left w:val="nil"/>
              <w:bottom w:val="nil"/>
              <w:right w:val="nil"/>
            </w:tcBorders>
            <w:shd w:val="clear" w:color="auto" w:fill="auto"/>
            <w:noWrap/>
            <w:vAlign w:val="bottom"/>
            <w:hideMark/>
          </w:tcPr>
          <w:p w14:paraId="19F17DA5"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0.683</w:t>
            </w:r>
          </w:p>
        </w:tc>
        <w:tc>
          <w:tcPr>
            <w:tcW w:w="786" w:type="dxa"/>
            <w:tcBorders>
              <w:top w:val="nil"/>
              <w:left w:val="nil"/>
              <w:bottom w:val="nil"/>
              <w:right w:val="nil"/>
            </w:tcBorders>
            <w:shd w:val="clear" w:color="auto" w:fill="auto"/>
            <w:noWrap/>
            <w:vAlign w:val="bottom"/>
            <w:hideMark/>
          </w:tcPr>
          <w:p w14:paraId="606DE194"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-0.069</w:t>
            </w:r>
          </w:p>
        </w:tc>
        <w:tc>
          <w:tcPr>
            <w:tcW w:w="701" w:type="dxa"/>
            <w:tcBorders>
              <w:top w:val="nil"/>
              <w:left w:val="nil"/>
              <w:bottom w:val="nil"/>
              <w:right w:val="single" w:sz="4" w:space="0" w:color="auto"/>
            </w:tcBorders>
            <w:shd w:val="clear" w:color="auto" w:fill="auto"/>
            <w:noWrap/>
            <w:vAlign w:val="bottom"/>
            <w:hideMark/>
          </w:tcPr>
          <w:p w14:paraId="7273E545"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861" w:type="dxa"/>
            <w:tcBorders>
              <w:top w:val="nil"/>
              <w:left w:val="single" w:sz="4" w:space="0" w:color="auto"/>
              <w:bottom w:val="nil"/>
              <w:right w:val="nil"/>
            </w:tcBorders>
            <w:shd w:val="clear" w:color="auto" w:fill="auto"/>
            <w:noWrap/>
            <w:vAlign w:val="bottom"/>
            <w:hideMark/>
          </w:tcPr>
          <w:p w14:paraId="632F8798"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861" w:type="dxa"/>
            <w:tcBorders>
              <w:top w:val="nil"/>
              <w:left w:val="nil"/>
              <w:bottom w:val="nil"/>
              <w:right w:val="nil"/>
            </w:tcBorders>
            <w:shd w:val="clear" w:color="auto" w:fill="auto"/>
            <w:noWrap/>
            <w:vAlign w:val="bottom"/>
            <w:hideMark/>
          </w:tcPr>
          <w:p w14:paraId="3171B1E7"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0.979</w:t>
            </w:r>
          </w:p>
        </w:tc>
        <w:tc>
          <w:tcPr>
            <w:tcW w:w="701" w:type="dxa"/>
            <w:tcBorders>
              <w:top w:val="nil"/>
              <w:left w:val="nil"/>
              <w:bottom w:val="nil"/>
              <w:right w:val="nil"/>
            </w:tcBorders>
            <w:shd w:val="clear" w:color="auto" w:fill="auto"/>
            <w:noWrap/>
            <w:vAlign w:val="bottom"/>
            <w:hideMark/>
          </w:tcPr>
          <w:p w14:paraId="71C2C308"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0.734</w:t>
            </w:r>
          </w:p>
        </w:tc>
        <w:tc>
          <w:tcPr>
            <w:tcW w:w="701" w:type="dxa"/>
            <w:tcBorders>
              <w:top w:val="nil"/>
              <w:left w:val="nil"/>
              <w:bottom w:val="nil"/>
              <w:right w:val="single" w:sz="4" w:space="0" w:color="auto"/>
            </w:tcBorders>
            <w:shd w:val="clear" w:color="auto" w:fill="auto"/>
            <w:noWrap/>
            <w:vAlign w:val="bottom"/>
            <w:hideMark/>
          </w:tcPr>
          <w:p w14:paraId="57C0FB1F"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r>
      <w:tr w:rsidR="00ED02A4" w:rsidRPr="00D14720" w14:paraId="2157C2F3"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30C04E99"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78" w:type="dxa"/>
            <w:tcBorders>
              <w:top w:val="nil"/>
              <w:left w:val="nil"/>
              <w:bottom w:val="nil"/>
              <w:right w:val="nil"/>
            </w:tcBorders>
            <w:shd w:val="clear" w:color="auto" w:fill="auto"/>
            <w:noWrap/>
            <w:vAlign w:val="bottom"/>
            <w:hideMark/>
          </w:tcPr>
          <w:p w14:paraId="5C940F7C"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699" w:type="dxa"/>
            <w:tcBorders>
              <w:top w:val="nil"/>
              <w:left w:val="nil"/>
              <w:bottom w:val="nil"/>
              <w:right w:val="nil"/>
            </w:tcBorders>
            <w:shd w:val="clear" w:color="auto" w:fill="auto"/>
            <w:noWrap/>
            <w:vAlign w:val="bottom"/>
            <w:hideMark/>
          </w:tcPr>
          <w:p w14:paraId="3722E1F6"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0" w:type="dxa"/>
            <w:tcBorders>
              <w:top w:val="nil"/>
              <w:left w:val="nil"/>
              <w:bottom w:val="nil"/>
              <w:right w:val="single" w:sz="4" w:space="0" w:color="auto"/>
            </w:tcBorders>
            <w:shd w:val="clear" w:color="auto" w:fill="auto"/>
            <w:noWrap/>
            <w:vAlign w:val="bottom"/>
            <w:hideMark/>
          </w:tcPr>
          <w:p w14:paraId="50437302"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34" w:type="dxa"/>
            <w:tcBorders>
              <w:top w:val="nil"/>
              <w:left w:val="single" w:sz="4" w:space="0" w:color="auto"/>
              <w:bottom w:val="nil"/>
              <w:right w:val="nil"/>
            </w:tcBorders>
            <w:shd w:val="clear" w:color="auto" w:fill="auto"/>
            <w:noWrap/>
            <w:vAlign w:val="bottom"/>
            <w:hideMark/>
          </w:tcPr>
          <w:p w14:paraId="469FE8FF"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42" w:type="dxa"/>
            <w:tcBorders>
              <w:top w:val="nil"/>
              <w:left w:val="nil"/>
              <w:bottom w:val="nil"/>
              <w:right w:val="nil"/>
            </w:tcBorders>
            <w:shd w:val="clear" w:color="auto" w:fill="auto"/>
            <w:noWrap/>
            <w:vAlign w:val="bottom"/>
            <w:hideMark/>
          </w:tcPr>
          <w:p w14:paraId="7FBA4D3C"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86" w:type="dxa"/>
            <w:tcBorders>
              <w:top w:val="nil"/>
              <w:left w:val="nil"/>
              <w:bottom w:val="nil"/>
              <w:right w:val="nil"/>
            </w:tcBorders>
            <w:shd w:val="clear" w:color="auto" w:fill="auto"/>
            <w:noWrap/>
            <w:vAlign w:val="bottom"/>
            <w:hideMark/>
          </w:tcPr>
          <w:p w14:paraId="2931E565"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7A3A0B0F"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61" w:type="dxa"/>
            <w:tcBorders>
              <w:top w:val="nil"/>
              <w:left w:val="single" w:sz="4" w:space="0" w:color="auto"/>
              <w:bottom w:val="nil"/>
              <w:right w:val="nil"/>
            </w:tcBorders>
            <w:shd w:val="clear" w:color="auto" w:fill="auto"/>
            <w:noWrap/>
            <w:vAlign w:val="bottom"/>
            <w:hideMark/>
          </w:tcPr>
          <w:p w14:paraId="1FC74792"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61" w:type="dxa"/>
            <w:tcBorders>
              <w:top w:val="nil"/>
              <w:left w:val="nil"/>
              <w:bottom w:val="nil"/>
              <w:right w:val="nil"/>
            </w:tcBorders>
            <w:shd w:val="clear" w:color="auto" w:fill="auto"/>
            <w:noWrap/>
            <w:vAlign w:val="bottom"/>
            <w:hideMark/>
          </w:tcPr>
          <w:p w14:paraId="3B116EF3"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nil"/>
            </w:tcBorders>
            <w:shd w:val="clear" w:color="auto" w:fill="auto"/>
            <w:noWrap/>
            <w:vAlign w:val="bottom"/>
            <w:hideMark/>
          </w:tcPr>
          <w:p w14:paraId="26DA41FC"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1E2234FE" w14:textId="77777777" w:rsidR="00ED02A4" w:rsidRPr="00D14720" w:rsidRDefault="00ED02A4" w:rsidP="00367A87">
            <w:pPr>
              <w:spacing w:after="0" w:line="240" w:lineRule="auto"/>
              <w:rPr>
                <w:rFonts w:eastAsia="Times New Roman" w:cs="Times New Roman"/>
                <w:color w:val="000000"/>
                <w:sz w:val="20"/>
                <w:szCs w:val="20"/>
                <w:lang w:eastAsia="en-IE"/>
              </w:rPr>
            </w:pPr>
          </w:p>
        </w:tc>
      </w:tr>
      <w:tr w:rsidR="00ED02A4" w:rsidRPr="00D14720" w14:paraId="72BF8A80" w14:textId="77777777" w:rsidTr="00367A87">
        <w:trPr>
          <w:trHeight w:val="300"/>
        </w:trPr>
        <w:tc>
          <w:tcPr>
            <w:tcW w:w="1556" w:type="dxa"/>
            <w:gridSpan w:val="2"/>
            <w:tcBorders>
              <w:top w:val="nil"/>
              <w:left w:val="single" w:sz="4" w:space="0" w:color="auto"/>
              <w:bottom w:val="nil"/>
              <w:right w:val="nil"/>
            </w:tcBorders>
            <w:shd w:val="clear" w:color="auto" w:fill="auto"/>
            <w:noWrap/>
            <w:vAlign w:val="bottom"/>
            <w:hideMark/>
          </w:tcPr>
          <w:p w14:paraId="3EDEB37A"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Lead REITs</w:t>
            </w:r>
          </w:p>
        </w:tc>
        <w:tc>
          <w:tcPr>
            <w:tcW w:w="699" w:type="dxa"/>
            <w:tcBorders>
              <w:top w:val="nil"/>
              <w:left w:val="nil"/>
              <w:bottom w:val="nil"/>
              <w:right w:val="nil"/>
            </w:tcBorders>
            <w:shd w:val="clear" w:color="auto" w:fill="auto"/>
            <w:noWrap/>
            <w:vAlign w:val="bottom"/>
            <w:hideMark/>
          </w:tcPr>
          <w:p w14:paraId="009828F0"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0" w:type="dxa"/>
            <w:tcBorders>
              <w:top w:val="nil"/>
              <w:left w:val="nil"/>
              <w:bottom w:val="nil"/>
              <w:right w:val="single" w:sz="4" w:space="0" w:color="auto"/>
            </w:tcBorders>
            <w:shd w:val="clear" w:color="auto" w:fill="auto"/>
            <w:noWrap/>
            <w:vAlign w:val="bottom"/>
            <w:hideMark/>
          </w:tcPr>
          <w:p w14:paraId="68673BF4"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1676" w:type="dxa"/>
            <w:gridSpan w:val="2"/>
            <w:tcBorders>
              <w:top w:val="nil"/>
              <w:left w:val="single" w:sz="4" w:space="0" w:color="auto"/>
              <w:bottom w:val="nil"/>
              <w:right w:val="nil"/>
            </w:tcBorders>
            <w:shd w:val="clear" w:color="auto" w:fill="auto"/>
            <w:noWrap/>
            <w:vAlign w:val="bottom"/>
            <w:hideMark/>
          </w:tcPr>
          <w:p w14:paraId="5B73E565"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Lead REITs</w:t>
            </w:r>
          </w:p>
        </w:tc>
        <w:tc>
          <w:tcPr>
            <w:tcW w:w="786" w:type="dxa"/>
            <w:tcBorders>
              <w:top w:val="nil"/>
              <w:left w:val="nil"/>
              <w:bottom w:val="nil"/>
              <w:right w:val="nil"/>
            </w:tcBorders>
            <w:shd w:val="clear" w:color="auto" w:fill="auto"/>
            <w:noWrap/>
            <w:vAlign w:val="bottom"/>
            <w:hideMark/>
          </w:tcPr>
          <w:p w14:paraId="08342C43"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5492AE47"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1722" w:type="dxa"/>
            <w:gridSpan w:val="2"/>
            <w:tcBorders>
              <w:top w:val="nil"/>
              <w:left w:val="single" w:sz="4" w:space="0" w:color="auto"/>
              <w:bottom w:val="nil"/>
              <w:right w:val="nil"/>
            </w:tcBorders>
            <w:shd w:val="clear" w:color="auto" w:fill="auto"/>
            <w:noWrap/>
            <w:vAlign w:val="bottom"/>
            <w:hideMark/>
          </w:tcPr>
          <w:p w14:paraId="1A34AC84"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Lead REITs</w:t>
            </w:r>
          </w:p>
        </w:tc>
        <w:tc>
          <w:tcPr>
            <w:tcW w:w="701" w:type="dxa"/>
            <w:tcBorders>
              <w:top w:val="nil"/>
              <w:left w:val="nil"/>
              <w:bottom w:val="nil"/>
              <w:right w:val="nil"/>
            </w:tcBorders>
            <w:shd w:val="clear" w:color="auto" w:fill="auto"/>
            <w:noWrap/>
            <w:vAlign w:val="bottom"/>
            <w:hideMark/>
          </w:tcPr>
          <w:p w14:paraId="71CB0BCF"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1590E576" w14:textId="77777777" w:rsidR="00ED02A4" w:rsidRPr="00D14720" w:rsidRDefault="00ED02A4" w:rsidP="00367A87">
            <w:pPr>
              <w:spacing w:after="0" w:line="240" w:lineRule="auto"/>
              <w:rPr>
                <w:rFonts w:eastAsia="Times New Roman" w:cs="Times New Roman"/>
                <w:color w:val="000000"/>
                <w:sz w:val="20"/>
                <w:szCs w:val="20"/>
                <w:lang w:eastAsia="en-IE"/>
              </w:rPr>
            </w:pPr>
          </w:p>
        </w:tc>
      </w:tr>
      <w:tr w:rsidR="00ED02A4" w:rsidRPr="00D14720" w14:paraId="594C0CD2"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393137E7" w14:textId="77777777" w:rsidR="00ED02A4" w:rsidRPr="00D14720" w:rsidRDefault="00ED02A4" w:rsidP="00367A87">
            <w:pPr>
              <w:spacing w:after="0" w:line="240" w:lineRule="auto"/>
              <w:jc w:val="center"/>
              <w:rPr>
                <w:rFonts w:eastAsia="Times New Roman" w:cs="Times New Roman"/>
                <w:i/>
                <w:iCs/>
                <w:color w:val="000000"/>
                <w:sz w:val="20"/>
                <w:szCs w:val="20"/>
                <w:lang w:eastAsia="en-IE"/>
              </w:rPr>
            </w:pPr>
          </w:p>
        </w:tc>
        <w:tc>
          <w:tcPr>
            <w:tcW w:w="778" w:type="dxa"/>
            <w:tcBorders>
              <w:top w:val="nil"/>
              <w:left w:val="nil"/>
              <w:bottom w:val="nil"/>
              <w:right w:val="nil"/>
            </w:tcBorders>
            <w:shd w:val="clear" w:color="auto" w:fill="auto"/>
            <w:noWrap/>
            <w:vAlign w:val="bottom"/>
            <w:hideMark/>
          </w:tcPr>
          <w:p w14:paraId="303A65DF"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699" w:type="dxa"/>
            <w:tcBorders>
              <w:top w:val="nil"/>
              <w:left w:val="nil"/>
              <w:bottom w:val="nil"/>
              <w:right w:val="nil"/>
            </w:tcBorders>
            <w:shd w:val="clear" w:color="auto" w:fill="auto"/>
            <w:noWrap/>
            <w:vAlign w:val="bottom"/>
            <w:hideMark/>
          </w:tcPr>
          <w:p w14:paraId="4B62E464"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700" w:type="dxa"/>
            <w:tcBorders>
              <w:top w:val="nil"/>
              <w:left w:val="nil"/>
              <w:bottom w:val="nil"/>
              <w:right w:val="single" w:sz="4" w:space="0" w:color="auto"/>
            </w:tcBorders>
            <w:shd w:val="clear" w:color="auto" w:fill="auto"/>
            <w:noWrap/>
            <w:vAlign w:val="bottom"/>
            <w:hideMark/>
          </w:tcPr>
          <w:p w14:paraId="2BE0BC00"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834" w:type="dxa"/>
            <w:tcBorders>
              <w:top w:val="nil"/>
              <w:left w:val="single" w:sz="4" w:space="0" w:color="auto"/>
              <w:bottom w:val="nil"/>
              <w:right w:val="nil"/>
            </w:tcBorders>
            <w:shd w:val="clear" w:color="auto" w:fill="auto"/>
            <w:noWrap/>
            <w:vAlign w:val="bottom"/>
            <w:hideMark/>
          </w:tcPr>
          <w:p w14:paraId="67992683" w14:textId="77777777" w:rsidR="00ED02A4" w:rsidRPr="00D14720" w:rsidRDefault="00ED02A4" w:rsidP="00367A87">
            <w:pPr>
              <w:spacing w:after="0" w:line="240" w:lineRule="auto"/>
              <w:jc w:val="center"/>
              <w:rPr>
                <w:rFonts w:eastAsia="Times New Roman" w:cs="Times New Roman"/>
                <w:i/>
                <w:iCs/>
                <w:color w:val="000000"/>
                <w:sz w:val="20"/>
                <w:szCs w:val="20"/>
                <w:lang w:eastAsia="en-IE"/>
              </w:rPr>
            </w:pPr>
          </w:p>
        </w:tc>
        <w:tc>
          <w:tcPr>
            <w:tcW w:w="842" w:type="dxa"/>
            <w:tcBorders>
              <w:top w:val="nil"/>
              <w:left w:val="nil"/>
              <w:bottom w:val="nil"/>
              <w:right w:val="nil"/>
            </w:tcBorders>
            <w:shd w:val="clear" w:color="auto" w:fill="auto"/>
            <w:noWrap/>
            <w:vAlign w:val="bottom"/>
            <w:hideMark/>
          </w:tcPr>
          <w:p w14:paraId="7967599C"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786" w:type="dxa"/>
            <w:tcBorders>
              <w:top w:val="nil"/>
              <w:left w:val="nil"/>
              <w:bottom w:val="nil"/>
              <w:right w:val="nil"/>
            </w:tcBorders>
            <w:shd w:val="clear" w:color="auto" w:fill="auto"/>
            <w:noWrap/>
            <w:vAlign w:val="bottom"/>
            <w:hideMark/>
          </w:tcPr>
          <w:p w14:paraId="0CE5B6B4"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701" w:type="dxa"/>
            <w:tcBorders>
              <w:top w:val="nil"/>
              <w:left w:val="nil"/>
              <w:bottom w:val="nil"/>
              <w:right w:val="single" w:sz="4" w:space="0" w:color="auto"/>
            </w:tcBorders>
            <w:shd w:val="clear" w:color="auto" w:fill="auto"/>
            <w:noWrap/>
            <w:vAlign w:val="bottom"/>
            <w:hideMark/>
          </w:tcPr>
          <w:p w14:paraId="639EC29F"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861" w:type="dxa"/>
            <w:tcBorders>
              <w:top w:val="nil"/>
              <w:left w:val="single" w:sz="4" w:space="0" w:color="auto"/>
              <w:bottom w:val="nil"/>
              <w:right w:val="nil"/>
            </w:tcBorders>
            <w:shd w:val="clear" w:color="auto" w:fill="auto"/>
            <w:noWrap/>
            <w:vAlign w:val="bottom"/>
            <w:hideMark/>
          </w:tcPr>
          <w:p w14:paraId="5C9D468B" w14:textId="77777777" w:rsidR="00ED02A4" w:rsidRPr="00D14720" w:rsidRDefault="00ED02A4" w:rsidP="00367A87">
            <w:pPr>
              <w:spacing w:after="0" w:line="240" w:lineRule="auto"/>
              <w:jc w:val="center"/>
              <w:rPr>
                <w:rFonts w:eastAsia="Times New Roman" w:cs="Times New Roman"/>
                <w:i/>
                <w:iCs/>
                <w:color w:val="000000"/>
                <w:sz w:val="20"/>
                <w:szCs w:val="20"/>
                <w:lang w:eastAsia="en-IE"/>
              </w:rPr>
            </w:pPr>
          </w:p>
        </w:tc>
        <w:tc>
          <w:tcPr>
            <w:tcW w:w="861" w:type="dxa"/>
            <w:tcBorders>
              <w:top w:val="nil"/>
              <w:left w:val="nil"/>
              <w:bottom w:val="nil"/>
              <w:right w:val="nil"/>
            </w:tcBorders>
            <w:shd w:val="clear" w:color="auto" w:fill="auto"/>
            <w:noWrap/>
            <w:vAlign w:val="bottom"/>
            <w:hideMark/>
          </w:tcPr>
          <w:p w14:paraId="18A83B35"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701" w:type="dxa"/>
            <w:tcBorders>
              <w:top w:val="nil"/>
              <w:left w:val="nil"/>
              <w:bottom w:val="nil"/>
              <w:right w:val="nil"/>
            </w:tcBorders>
            <w:shd w:val="clear" w:color="auto" w:fill="auto"/>
            <w:noWrap/>
            <w:vAlign w:val="bottom"/>
            <w:hideMark/>
          </w:tcPr>
          <w:p w14:paraId="08F42BA3"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701" w:type="dxa"/>
            <w:tcBorders>
              <w:top w:val="nil"/>
              <w:left w:val="nil"/>
              <w:bottom w:val="nil"/>
              <w:right w:val="single" w:sz="4" w:space="0" w:color="auto"/>
            </w:tcBorders>
            <w:shd w:val="clear" w:color="auto" w:fill="auto"/>
            <w:noWrap/>
            <w:vAlign w:val="bottom"/>
            <w:hideMark/>
          </w:tcPr>
          <w:p w14:paraId="1A3AB55A"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r>
      <w:tr w:rsidR="00ED02A4" w:rsidRPr="00D14720" w14:paraId="1B4C8E52" w14:textId="77777777" w:rsidTr="00367A87">
        <w:trPr>
          <w:trHeight w:val="300"/>
        </w:trPr>
        <w:tc>
          <w:tcPr>
            <w:tcW w:w="778" w:type="dxa"/>
            <w:tcBorders>
              <w:top w:val="nil"/>
              <w:left w:val="single" w:sz="4" w:space="0" w:color="auto"/>
              <w:bottom w:val="nil"/>
              <w:right w:val="nil"/>
            </w:tcBorders>
            <w:shd w:val="clear" w:color="auto" w:fill="auto"/>
            <w:noWrap/>
            <w:vAlign w:val="bottom"/>
            <w:hideMark/>
          </w:tcPr>
          <w:p w14:paraId="5594A6EF"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778" w:type="dxa"/>
            <w:tcBorders>
              <w:top w:val="nil"/>
              <w:left w:val="nil"/>
              <w:bottom w:val="nil"/>
              <w:right w:val="nil"/>
            </w:tcBorders>
            <w:shd w:val="clear" w:color="auto" w:fill="auto"/>
            <w:noWrap/>
            <w:vAlign w:val="bottom"/>
            <w:hideMark/>
          </w:tcPr>
          <w:p w14:paraId="42D50613"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699" w:type="dxa"/>
            <w:tcBorders>
              <w:top w:val="nil"/>
              <w:left w:val="nil"/>
              <w:bottom w:val="nil"/>
              <w:right w:val="nil"/>
            </w:tcBorders>
            <w:shd w:val="clear" w:color="auto" w:fill="auto"/>
            <w:noWrap/>
            <w:vAlign w:val="bottom"/>
            <w:hideMark/>
          </w:tcPr>
          <w:p w14:paraId="0156EC49"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0" w:type="dxa"/>
            <w:tcBorders>
              <w:top w:val="nil"/>
              <w:left w:val="nil"/>
              <w:bottom w:val="nil"/>
              <w:right w:val="single" w:sz="4" w:space="0" w:color="auto"/>
            </w:tcBorders>
            <w:shd w:val="clear" w:color="auto" w:fill="auto"/>
            <w:noWrap/>
            <w:vAlign w:val="bottom"/>
            <w:hideMark/>
          </w:tcPr>
          <w:p w14:paraId="7EB356C7"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34" w:type="dxa"/>
            <w:tcBorders>
              <w:top w:val="nil"/>
              <w:left w:val="single" w:sz="4" w:space="0" w:color="auto"/>
              <w:bottom w:val="nil"/>
              <w:right w:val="nil"/>
            </w:tcBorders>
            <w:shd w:val="clear" w:color="auto" w:fill="auto"/>
            <w:noWrap/>
            <w:vAlign w:val="bottom"/>
            <w:hideMark/>
          </w:tcPr>
          <w:p w14:paraId="4114FB38"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842" w:type="dxa"/>
            <w:tcBorders>
              <w:top w:val="nil"/>
              <w:left w:val="nil"/>
              <w:bottom w:val="nil"/>
              <w:right w:val="nil"/>
            </w:tcBorders>
            <w:shd w:val="clear" w:color="auto" w:fill="auto"/>
            <w:noWrap/>
            <w:vAlign w:val="bottom"/>
            <w:hideMark/>
          </w:tcPr>
          <w:p w14:paraId="5CF65A00"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86" w:type="dxa"/>
            <w:tcBorders>
              <w:top w:val="nil"/>
              <w:left w:val="nil"/>
              <w:bottom w:val="nil"/>
              <w:right w:val="nil"/>
            </w:tcBorders>
            <w:shd w:val="clear" w:color="auto" w:fill="auto"/>
            <w:noWrap/>
            <w:vAlign w:val="bottom"/>
            <w:hideMark/>
          </w:tcPr>
          <w:p w14:paraId="71E796DA"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5C9315C4"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61" w:type="dxa"/>
            <w:tcBorders>
              <w:top w:val="nil"/>
              <w:left w:val="single" w:sz="4" w:space="0" w:color="auto"/>
              <w:bottom w:val="nil"/>
              <w:right w:val="nil"/>
            </w:tcBorders>
            <w:shd w:val="clear" w:color="auto" w:fill="auto"/>
            <w:noWrap/>
            <w:vAlign w:val="bottom"/>
            <w:hideMark/>
          </w:tcPr>
          <w:p w14:paraId="11B6E1B0"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 xml:space="preserve">Equity </w:t>
            </w:r>
          </w:p>
        </w:tc>
        <w:tc>
          <w:tcPr>
            <w:tcW w:w="861" w:type="dxa"/>
            <w:tcBorders>
              <w:top w:val="nil"/>
              <w:left w:val="nil"/>
              <w:bottom w:val="nil"/>
              <w:right w:val="nil"/>
            </w:tcBorders>
            <w:shd w:val="clear" w:color="auto" w:fill="auto"/>
            <w:noWrap/>
            <w:vAlign w:val="bottom"/>
            <w:hideMark/>
          </w:tcPr>
          <w:p w14:paraId="2FFCDC7A"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01" w:type="dxa"/>
            <w:tcBorders>
              <w:top w:val="nil"/>
              <w:left w:val="nil"/>
              <w:bottom w:val="nil"/>
              <w:right w:val="nil"/>
            </w:tcBorders>
            <w:shd w:val="clear" w:color="auto" w:fill="auto"/>
            <w:noWrap/>
            <w:vAlign w:val="bottom"/>
            <w:hideMark/>
          </w:tcPr>
          <w:p w14:paraId="12A30F5C"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701" w:type="dxa"/>
            <w:tcBorders>
              <w:top w:val="nil"/>
              <w:left w:val="nil"/>
              <w:bottom w:val="nil"/>
              <w:right w:val="single" w:sz="4" w:space="0" w:color="auto"/>
            </w:tcBorders>
            <w:shd w:val="clear" w:color="auto" w:fill="auto"/>
            <w:noWrap/>
            <w:vAlign w:val="bottom"/>
            <w:hideMark/>
          </w:tcPr>
          <w:p w14:paraId="14910A80" w14:textId="77777777" w:rsidR="00ED02A4" w:rsidRPr="00D14720" w:rsidRDefault="00ED02A4" w:rsidP="00367A87">
            <w:pPr>
              <w:spacing w:after="0" w:line="240" w:lineRule="auto"/>
              <w:rPr>
                <w:rFonts w:eastAsia="Times New Roman" w:cs="Times New Roman"/>
                <w:color w:val="000000"/>
                <w:sz w:val="20"/>
                <w:szCs w:val="20"/>
                <w:lang w:eastAsia="en-IE"/>
              </w:rPr>
            </w:pPr>
          </w:p>
        </w:tc>
      </w:tr>
      <w:tr w:rsidR="00ED02A4" w:rsidRPr="00D14720" w14:paraId="1EC5A8E9" w14:textId="77777777" w:rsidTr="00367A87">
        <w:trPr>
          <w:trHeight w:val="300"/>
        </w:trPr>
        <w:tc>
          <w:tcPr>
            <w:tcW w:w="778" w:type="dxa"/>
            <w:tcBorders>
              <w:top w:val="nil"/>
              <w:left w:val="single" w:sz="4" w:space="0" w:color="auto"/>
              <w:right w:val="nil"/>
            </w:tcBorders>
            <w:shd w:val="clear" w:color="auto" w:fill="auto"/>
            <w:noWrap/>
            <w:vAlign w:val="bottom"/>
            <w:hideMark/>
          </w:tcPr>
          <w:p w14:paraId="62FC8DA5"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778" w:type="dxa"/>
            <w:tcBorders>
              <w:top w:val="nil"/>
              <w:left w:val="nil"/>
              <w:right w:val="nil"/>
            </w:tcBorders>
            <w:shd w:val="clear" w:color="auto" w:fill="auto"/>
            <w:noWrap/>
            <w:vAlign w:val="bottom"/>
            <w:hideMark/>
          </w:tcPr>
          <w:p w14:paraId="0DD2D314"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0.739</w:t>
            </w:r>
          </w:p>
        </w:tc>
        <w:tc>
          <w:tcPr>
            <w:tcW w:w="699" w:type="dxa"/>
            <w:tcBorders>
              <w:top w:val="nil"/>
              <w:left w:val="nil"/>
              <w:right w:val="nil"/>
            </w:tcBorders>
            <w:shd w:val="clear" w:color="auto" w:fill="auto"/>
            <w:noWrap/>
            <w:vAlign w:val="bottom"/>
            <w:hideMark/>
          </w:tcPr>
          <w:p w14:paraId="6BF85B76"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00" w:type="dxa"/>
            <w:tcBorders>
              <w:top w:val="nil"/>
              <w:left w:val="nil"/>
              <w:right w:val="single" w:sz="4" w:space="0" w:color="auto"/>
            </w:tcBorders>
            <w:shd w:val="clear" w:color="auto" w:fill="auto"/>
            <w:noWrap/>
            <w:vAlign w:val="bottom"/>
            <w:hideMark/>
          </w:tcPr>
          <w:p w14:paraId="31D9BCB9"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34" w:type="dxa"/>
            <w:tcBorders>
              <w:top w:val="nil"/>
              <w:left w:val="single" w:sz="4" w:space="0" w:color="auto"/>
              <w:right w:val="nil"/>
            </w:tcBorders>
            <w:shd w:val="clear" w:color="auto" w:fill="auto"/>
            <w:noWrap/>
            <w:vAlign w:val="bottom"/>
            <w:hideMark/>
          </w:tcPr>
          <w:p w14:paraId="0929CC9E"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842" w:type="dxa"/>
            <w:tcBorders>
              <w:top w:val="nil"/>
              <w:left w:val="nil"/>
              <w:right w:val="nil"/>
            </w:tcBorders>
            <w:shd w:val="clear" w:color="auto" w:fill="auto"/>
            <w:noWrap/>
            <w:vAlign w:val="bottom"/>
            <w:hideMark/>
          </w:tcPr>
          <w:p w14:paraId="239B80D9"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0.332</w:t>
            </w:r>
          </w:p>
        </w:tc>
        <w:tc>
          <w:tcPr>
            <w:tcW w:w="786" w:type="dxa"/>
            <w:tcBorders>
              <w:top w:val="nil"/>
              <w:left w:val="nil"/>
              <w:right w:val="nil"/>
            </w:tcBorders>
            <w:shd w:val="clear" w:color="auto" w:fill="auto"/>
            <w:noWrap/>
            <w:vAlign w:val="bottom"/>
            <w:hideMark/>
          </w:tcPr>
          <w:p w14:paraId="1FAAC832"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01" w:type="dxa"/>
            <w:tcBorders>
              <w:top w:val="nil"/>
              <w:left w:val="nil"/>
              <w:right w:val="single" w:sz="4" w:space="0" w:color="auto"/>
            </w:tcBorders>
            <w:shd w:val="clear" w:color="auto" w:fill="auto"/>
            <w:noWrap/>
            <w:vAlign w:val="bottom"/>
            <w:hideMark/>
          </w:tcPr>
          <w:p w14:paraId="75CEE4F3" w14:textId="77777777" w:rsidR="00ED02A4" w:rsidRPr="00D14720" w:rsidRDefault="00ED02A4" w:rsidP="00367A87">
            <w:pPr>
              <w:spacing w:after="0" w:line="240" w:lineRule="auto"/>
              <w:rPr>
                <w:rFonts w:eastAsia="Times New Roman" w:cs="Times New Roman"/>
                <w:color w:val="000000"/>
                <w:sz w:val="20"/>
                <w:szCs w:val="20"/>
                <w:lang w:eastAsia="en-IE"/>
              </w:rPr>
            </w:pPr>
          </w:p>
        </w:tc>
        <w:tc>
          <w:tcPr>
            <w:tcW w:w="861" w:type="dxa"/>
            <w:tcBorders>
              <w:top w:val="nil"/>
              <w:left w:val="single" w:sz="4" w:space="0" w:color="auto"/>
              <w:right w:val="nil"/>
            </w:tcBorders>
            <w:shd w:val="clear" w:color="auto" w:fill="auto"/>
            <w:noWrap/>
            <w:vAlign w:val="bottom"/>
            <w:hideMark/>
          </w:tcPr>
          <w:p w14:paraId="1D3246B9"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Bond</w:t>
            </w:r>
          </w:p>
        </w:tc>
        <w:tc>
          <w:tcPr>
            <w:tcW w:w="861" w:type="dxa"/>
            <w:tcBorders>
              <w:top w:val="nil"/>
              <w:left w:val="nil"/>
              <w:right w:val="nil"/>
            </w:tcBorders>
            <w:shd w:val="clear" w:color="auto" w:fill="auto"/>
            <w:noWrap/>
            <w:vAlign w:val="bottom"/>
            <w:hideMark/>
          </w:tcPr>
          <w:p w14:paraId="2CCFF835"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0.692</w:t>
            </w:r>
          </w:p>
        </w:tc>
        <w:tc>
          <w:tcPr>
            <w:tcW w:w="701" w:type="dxa"/>
            <w:tcBorders>
              <w:top w:val="nil"/>
              <w:left w:val="nil"/>
              <w:right w:val="nil"/>
            </w:tcBorders>
            <w:shd w:val="clear" w:color="auto" w:fill="auto"/>
            <w:noWrap/>
            <w:vAlign w:val="bottom"/>
            <w:hideMark/>
          </w:tcPr>
          <w:p w14:paraId="4171CA4B"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701" w:type="dxa"/>
            <w:tcBorders>
              <w:top w:val="nil"/>
              <w:left w:val="nil"/>
              <w:right w:val="single" w:sz="4" w:space="0" w:color="auto"/>
            </w:tcBorders>
            <w:shd w:val="clear" w:color="auto" w:fill="auto"/>
            <w:noWrap/>
            <w:vAlign w:val="bottom"/>
            <w:hideMark/>
          </w:tcPr>
          <w:p w14:paraId="456A6C33" w14:textId="77777777" w:rsidR="00ED02A4" w:rsidRPr="00D14720" w:rsidRDefault="00ED02A4" w:rsidP="00367A87">
            <w:pPr>
              <w:spacing w:after="0" w:line="240" w:lineRule="auto"/>
              <w:rPr>
                <w:rFonts w:eastAsia="Times New Roman" w:cs="Times New Roman"/>
                <w:color w:val="000000"/>
                <w:sz w:val="20"/>
                <w:szCs w:val="20"/>
                <w:lang w:eastAsia="en-IE"/>
              </w:rPr>
            </w:pPr>
          </w:p>
        </w:tc>
      </w:tr>
      <w:tr w:rsidR="00ED02A4" w:rsidRPr="00D14720" w14:paraId="17CFEA0E" w14:textId="77777777" w:rsidTr="00367A87">
        <w:trPr>
          <w:trHeight w:val="300"/>
        </w:trPr>
        <w:tc>
          <w:tcPr>
            <w:tcW w:w="778" w:type="dxa"/>
            <w:tcBorders>
              <w:top w:val="nil"/>
              <w:left w:val="single" w:sz="4" w:space="0" w:color="auto"/>
              <w:bottom w:val="single" w:sz="4" w:space="0" w:color="auto"/>
              <w:right w:val="nil"/>
            </w:tcBorders>
            <w:shd w:val="clear" w:color="auto" w:fill="auto"/>
            <w:noWrap/>
            <w:vAlign w:val="bottom"/>
            <w:hideMark/>
          </w:tcPr>
          <w:p w14:paraId="1FEDB7F5"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778" w:type="dxa"/>
            <w:tcBorders>
              <w:top w:val="nil"/>
              <w:left w:val="nil"/>
              <w:bottom w:val="single" w:sz="4" w:space="0" w:color="auto"/>
              <w:right w:val="nil"/>
            </w:tcBorders>
            <w:shd w:val="clear" w:color="auto" w:fill="auto"/>
            <w:noWrap/>
            <w:vAlign w:val="bottom"/>
            <w:hideMark/>
          </w:tcPr>
          <w:p w14:paraId="7DB6E627"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0.725</w:t>
            </w:r>
          </w:p>
        </w:tc>
        <w:tc>
          <w:tcPr>
            <w:tcW w:w="699" w:type="dxa"/>
            <w:tcBorders>
              <w:top w:val="nil"/>
              <w:left w:val="nil"/>
              <w:bottom w:val="single" w:sz="4" w:space="0" w:color="auto"/>
              <w:right w:val="nil"/>
            </w:tcBorders>
            <w:shd w:val="clear" w:color="auto" w:fill="auto"/>
            <w:noWrap/>
            <w:vAlign w:val="bottom"/>
            <w:hideMark/>
          </w:tcPr>
          <w:p w14:paraId="6CA85030"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0.742</w:t>
            </w:r>
          </w:p>
        </w:tc>
        <w:tc>
          <w:tcPr>
            <w:tcW w:w="700" w:type="dxa"/>
            <w:tcBorders>
              <w:top w:val="nil"/>
              <w:left w:val="nil"/>
              <w:bottom w:val="single" w:sz="4" w:space="0" w:color="auto"/>
              <w:right w:val="single" w:sz="4" w:space="0" w:color="auto"/>
            </w:tcBorders>
            <w:shd w:val="clear" w:color="auto" w:fill="auto"/>
            <w:noWrap/>
            <w:vAlign w:val="bottom"/>
            <w:hideMark/>
          </w:tcPr>
          <w:p w14:paraId="1019428B"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834" w:type="dxa"/>
            <w:tcBorders>
              <w:top w:val="nil"/>
              <w:left w:val="single" w:sz="4" w:space="0" w:color="auto"/>
              <w:bottom w:val="single" w:sz="4" w:space="0" w:color="auto"/>
              <w:right w:val="nil"/>
            </w:tcBorders>
            <w:shd w:val="clear" w:color="auto" w:fill="auto"/>
            <w:noWrap/>
            <w:vAlign w:val="bottom"/>
            <w:hideMark/>
          </w:tcPr>
          <w:p w14:paraId="341A80C6"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842" w:type="dxa"/>
            <w:tcBorders>
              <w:top w:val="nil"/>
              <w:left w:val="nil"/>
              <w:bottom w:val="single" w:sz="4" w:space="0" w:color="auto"/>
              <w:right w:val="nil"/>
            </w:tcBorders>
            <w:shd w:val="clear" w:color="auto" w:fill="auto"/>
            <w:noWrap/>
            <w:vAlign w:val="bottom"/>
            <w:hideMark/>
          </w:tcPr>
          <w:p w14:paraId="77CB0132"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0.137</w:t>
            </w:r>
          </w:p>
        </w:tc>
        <w:tc>
          <w:tcPr>
            <w:tcW w:w="786" w:type="dxa"/>
            <w:tcBorders>
              <w:top w:val="nil"/>
              <w:left w:val="nil"/>
              <w:bottom w:val="single" w:sz="4" w:space="0" w:color="auto"/>
              <w:right w:val="nil"/>
            </w:tcBorders>
            <w:shd w:val="clear" w:color="auto" w:fill="auto"/>
            <w:noWrap/>
            <w:vAlign w:val="bottom"/>
            <w:hideMark/>
          </w:tcPr>
          <w:p w14:paraId="41F9D021"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-0.036</w:t>
            </w:r>
          </w:p>
        </w:tc>
        <w:tc>
          <w:tcPr>
            <w:tcW w:w="701" w:type="dxa"/>
            <w:tcBorders>
              <w:top w:val="nil"/>
              <w:left w:val="nil"/>
              <w:bottom w:val="single" w:sz="4" w:space="0" w:color="auto"/>
              <w:right w:val="single" w:sz="4" w:space="0" w:color="auto"/>
            </w:tcBorders>
            <w:shd w:val="clear" w:color="auto" w:fill="auto"/>
            <w:noWrap/>
            <w:vAlign w:val="bottom"/>
            <w:hideMark/>
          </w:tcPr>
          <w:p w14:paraId="27B24A4C"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c>
          <w:tcPr>
            <w:tcW w:w="861" w:type="dxa"/>
            <w:tcBorders>
              <w:top w:val="nil"/>
              <w:left w:val="single" w:sz="4" w:space="0" w:color="auto"/>
              <w:bottom w:val="single" w:sz="4" w:space="0" w:color="auto"/>
              <w:right w:val="nil"/>
            </w:tcBorders>
            <w:shd w:val="clear" w:color="auto" w:fill="auto"/>
            <w:noWrap/>
            <w:vAlign w:val="bottom"/>
            <w:hideMark/>
          </w:tcPr>
          <w:p w14:paraId="7DD903F2" w14:textId="77777777" w:rsidR="00ED02A4" w:rsidRPr="00D14720" w:rsidRDefault="00ED02A4" w:rsidP="00367A87">
            <w:pPr>
              <w:spacing w:after="0" w:line="240" w:lineRule="auto"/>
              <w:rPr>
                <w:rFonts w:eastAsia="Times New Roman" w:cs="Times New Roman"/>
                <w:color w:val="000000"/>
                <w:sz w:val="20"/>
                <w:szCs w:val="20"/>
                <w:lang w:eastAsia="en-IE"/>
              </w:rPr>
            </w:pPr>
            <w:r w:rsidRPr="00D14720">
              <w:rPr>
                <w:rFonts w:eastAsia="Times New Roman" w:cs="Times New Roman"/>
                <w:color w:val="000000"/>
                <w:sz w:val="20"/>
                <w:szCs w:val="20"/>
                <w:lang w:eastAsia="en-IE"/>
              </w:rPr>
              <w:t>REITs</w:t>
            </w:r>
          </w:p>
        </w:tc>
        <w:tc>
          <w:tcPr>
            <w:tcW w:w="861" w:type="dxa"/>
            <w:tcBorders>
              <w:top w:val="nil"/>
              <w:left w:val="nil"/>
              <w:bottom w:val="single" w:sz="4" w:space="0" w:color="auto"/>
              <w:right w:val="nil"/>
            </w:tcBorders>
            <w:shd w:val="clear" w:color="auto" w:fill="auto"/>
            <w:noWrap/>
            <w:vAlign w:val="bottom"/>
            <w:hideMark/>
          </w:tcPr>
          <w:p w14:paraId="09795FEA"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0.844</w:t>
            </w:r>
          </w:p>
        </w:tc>
        <w:tc>
          <w:tcPr>
            <w:tcW w:w="701" w:type="dxa"/>
            <w:tcBorders>
              <w:top w:val="nil"/>
              <w:left w:val="nil"/>
              <w:bottom w:val="single" w:sz="4" w:space="0" w:color="auto"/>
              <w:right w:val="nil"/>
            </w:tcBorders>
            <w:shd w:val="clear" w:color="auto" w:fill="auto"/>
            <w:noWrap/>
            <w:vAlign w:val="bottom"/>
            <w:hideMark/>
          </w:tcPr>
          <w:p w14:paraId="1061575F"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0.813</w:t>
            </w:r>
          </w:p>
        </w:tc>
        <w:tc>
          <w:tcPr>
            <w:tcW w:w="701" w:type="dxa"/>
            <w:tcBorders>
              <w:top w:val="nil"/>
              <w:left w:val="nil"/>
              <w:bottom w:val="single" w:sz="4" w:space="0" w:color="auto"/>
              <w:right w:val="single" w:sz="4" w:space="0" w:color="auto"/>
            </w:tcBorders>
            <w:shd w:val="clear" w:color="auto" w:fill="auto"/>
            <w:noWrap/>
            <w:vAlign w:val="bottom"/>
            <w:hideMark/>
          </w:tcPr>
          <w:p w14:paraId="0161964E" w14:textId="77777777" w:rsidR="00ED02A4" w:rsidRPr="00D14720" w:rsidRDefault="00ED02A4" w:rsidP="00367A87">
            <w:pPr>
              <w:spacing w:after="0" w:line="240" w:lineRule="auto"/>
              <w:jc w:val="right"/>
              <w:rPr>
                <w:rFonts w:eastAsia="Times New Roman" w:cs="Times New Roman"/>
                <w:color w:val="000000"/>
                <w:sz w:val="20"/>
                <w:szCs w:val="20"/>
                <w:lang w:eastAsia="en-IE"/>
              </w:rPr>
            </w:pPr>
            <w:r w:rsidRPr="00D14720">
              <w:rPr>
                <w:rFonts w:eastAsia="Times New Roman" w:cs="Times New Roman"/>
                <w:color w:val="000000"/>
                <w:sz w:val="20"/>
                <w:szCs w:val="20"/>
                <w:lang w:eastAsia="en-IE"/>
              </w:rPr>
              <w:t>1.000</w:t>
            </w:r>
          </w:p>
        </w:tc>
      </w:tr>
    </w:tbl>
    <w:p w14:paraId="79FCD9B1" w14:textId="77777777" w:rsidR="009468B1" w:rsidRDefault="009468B1" w:rsidP="00380104">
      <w:pPr>
        <w:spacing w:line="240" w:lineRule="auto"/>
        <w:jc w:val="both"/>
        <w:rPr>
          <w:rFonts w:ascii="Calibri" w:eastAsia="Times New Roman" w:hAnsi="Calibri" w:cs="Times New Roman"/>
          <w:color w:val="000000"/>
          <w:lang w:eastAsia="en-IE"/>
        </w:rPr>
      </w:pPr>
    </w:p>
    <w:p w14:paraId="1E52EC03" w14:textId="704AA084" w:rsidR="00ED02A4" w:rsidRPr="00D14720" w:rsidRDefault="00ED02A4" w:rsidP="00380104">
      <w:pPr>
        <w:spacing w:line="240" w:lineRule="auto"/>
        <w:jc w:val="both"/>
      </w:pPr>
      <w:r w:rsidRPr="00D14720">
        <w:rPr>
          <w:rFonts w:ascii="Calibri" w:eastAsia="Times New Roman" w:hAnsi="Calibri" w:cs="Times New Roman"/>
          <w:color w:val="000000"/>
          <w:lang w:eastAsia="en-IE"/>
        </w:rPr>
        <w:t xml:space="preserve">Notes: This table shows the contemporaneous, lead and lag correlation coefficients between the average diversification indexes.  Correlation coefficients are reported for the full period, a pre2000 period and a post2000 period.  The full period is 1986 to 2012 inclusive for all correlations.  </w:t>
      </w:r>
      <w:r w:rsidRPr="00D14720">
        <w:t>The diversification index is measured by the average R-squares from the multi-factor asset returns model fitted using daily data every year between 1986 and 2012 for all markets in the database.   The model fits asset returns within each year on global factors. The global factors are 16 principal components obtained from the pre1986 markets (Equity: Australia, Austria, Belgium, Canada, Denmark, France, Germany, Hong Kong, Ireland, Italy, Japan, Netherlands, Singapore, South Africa, Switzerland, UK, US, Brazil, Malaysia, Norway, South Korea, Spain, Sweden; Bond: Austria, Belgium, Canada, Denmark, France, Germany, Ireland, Japan, Netherlands, Sweden, Switzerland, UK, US, and REIT: Australia, Netherlands, UK, and US). A diversification value is obtained for each market assuming there are 50 valid daily returns per year.</w:t>
      </w:r>
    </w:p>
    <w:p w14:paraId="6E34F4A9" w14:textId="424CFE4C" w:rsidR="00ED02A4" w:rsidRPr="00D14720" w:rsidRDefault="00ED02A4" w:rsidP="00ED02A4">
      <w:pPr>
        <w:jc w:val="center"/>
        <w:rPr>
          <w:b/>
        </w:rPr>
      </w:pPr>
      <w:r w:rsidRPr="00D14720">
        <w:rPr>
          <w:b/>
          <w:bCs/>
        </w:rPr>
        <w:br w:type="page"/>
      </w:r>
      <w:r w:rsidRPr="00D14720">
        <w:rPr>
          <w:b/>
        </w:rPr>
        <w:lastRenderedPageBreak/>
        <w:t xml:space="preserve">Appendix Table </w:t>
      </w:r>
      <w:r w:rsidR="000C6697">
        <w:rPr>
          <w:b/>
        </w:rPr>
        <w:t>2</w:t>
      </w:r>
    </w:p>
    <w:p w14:paraId="009AD71F" w14:textId="77777777" w:rsidR="00ED02A4" w:rsidRPr="00D14720" w:rsidRDefault="00ED02A4" w:rsidP="00ED02A4">
      <w:pPr>
        <w:jc w:val="center"/>
        <w:rPr>
          <w:b/>
        </w:rPr>
      </w:pPr>
      <w:r w:rsidRPr="00D14720">
        <w:rPr>
          <w:b/>
        </w:rPr>
        <w:t>Correlations of Diversification Indexes</w:t>
      </w:r>
    </w:p>
    <w:tbl>
      <w:tblPr>
        <w:tblW w:w="0" w:type="auto"/>
        <w:jc w:val="center"/>
        <w:tblCellMar>
          <w:left w:w="0" w:type="dxa"/>
          <w:right w:w="0" w:type="dxa"/>
        </w:tblCellMar>
        <w:tblLook w:val="04A0" w:firstRow="1" w:lastRow="0" w:firstColumn="1" w:lastColumn="0" w:noHBand="0" w:noVBand="1"/>
      </w:tblPr>
      <w:tblGrid>
        <w:gridCol w:w="1601"/>
        <w:gridCol w:w="1897"/>
        <w:gridCol w:w="2287"/>
        <w:gridCol w:w="1978"/>
      </w:tblGrid>
      <w:tr w:rsidR="00ED02A4" w:rsidRPr="00D14720" w14:paraId="34390956" w14:textId="77777777" w:rsidTr="00367A87">
        <w:trPr>
          <w:trHeight w:val="300"/>
          <w:jc w:val="center"/>
        </w:trPr>
        <w:tc>
          <w:tcPr>
            <w:tcW w:w="7763" w:type="dxa"/>
            <w:gridSpan w:val="4"/>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4F3B625A" w14:textId="77777777" w:rsidR="00ED02A4" w:rsidRPr="00D14720" w:rsidRDefault="00ED02A4" w:rsidP="00367A87">
            <w:pPr>
              <w:spacing w:after="0" w:line="240" w:lineRule="auto"/>
              <w:jc w:val="center"/>
              <w:rPr>
                <w:rFonts w:ascii="Calibri" w:eastAsia="Calibri" w:hAnsi="Calibri" w:cs="Times New Roman"/>
                <w:b/>
                <w:lang w:eastAsia="en-IE"/>
              </w:rPr>
            </w:pPr>
            <w:r w:rsidRPr="00D14720">
              <w:rPr>
                <w:rFonts w:ascii="Calibri" w:eastAsia="Calibri" w:hAnsi="Calibri" w:cs="Times New Roman"/>
                <w:b/>
                <w:lang w:eastAsia="en-IE"/>
              </w:rPr>
              <w:t xml:space="preserve">Panel A: Correlations between Diversification Indexes for Bear and Bull Returns (Bear minus Bull </w:t>
            </w:r>
            <w:proofErr w:type="gramStart"/>
            <w:r w:rsidRPr="00D14720">
              <w:rPr>
                <w:rFonts w:ascii="Calibri" w:eastAsia="Calibri" w:hAnsi="Calibri" w:cs="Times New Roman"/>
                <w:b/>
                <w:lang w:eastAsia="en-IE"/>
              </w:rPr>
              <w:t>Returns)  and</w:t>
            </w:r>
            <w:proofErr w:type="gramEnd"/>
            <w:r w:rsidRPr="00D14720">
              <w:rPr>
                <w:rFonts w:ascii="Calibri" w:eastAsia="Calibri" w:hAnsi="Calibri" w:cs="Times New Roman"/>
                <w:b/>
                <w:lang w:eastAsia="en-IE"/>
              </w:rPr>
              <w:t xml:space="preserve"> Average Returns</w:t>
            </w:r>
          </w:p>
        </w:tc>
      </w:tr>
      <w:tr w:rsidR="00ED02A4" w:rsidRPr="00D14720" w14:paraId="5F2E7953" w14:textId="77777777" w:rsidTr="00367A87">
        <w:trPr>
          <w:trHeight w:val="300"/>
          <w:jc w:val="center"/>
        </w:trPr>
        <w:tc>
          <w:tcPr>
            <w:tcW w:w="160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B280A1A" w14:textId="77777777" w:rsidR="00ED02A4" w:rsidRPr="00D14720" w:rsidRDefault="00ED02A4" w:rsidP="00367A87">
            <w:pPr>
              <w:spacing w:after="0" w:line="240" w:lineRule="auto"/>
              <w:ind w:right="-32"/>
              <w:jc w:val="center"/>
              <w:rPr>
                <w:rFonts w:ascii="Times New Roman" w:eastAsia="Times New Roman" w:hAnsi="Times New Roman" w:cs="Times New Roman"/>
                <w:sz w:val="20"/>
                <w:szCs w:val="20"/>
                <w:lang w:eastAsia="en-IE"/>
              </w:rPr>
            </w:pPr>
          </w:p>
        </w:tc>
        <w:tc>
          <w:tcPr>
            <w:tcW w:w="1897" w:type="dxa"/>
            <w:tcBorders>
              <w:top w:val="nil"/>
              <w:left w:val="nil"/>
              <w:bottom w:val="single" w:sz="8" w:space="0" w:color="auto"/>
              <w:right w:val="single" w:sz="8" w:space="0" w:color="auto"/>
            </w:tcBorders>
            <w:noWrap/>
            <w:tcMar>
              <w:top w:w="0" w:type="dxa"/>
              <w:left w:w="108" w:type="dxa"/>
              <w:bottom w:w="0" w:type="dxa"/>
              <w:right w:w="108" w:type="dxa"/>
            </w:tcMar>
            <w:hideMark/>
          </w:tcPr>
          <w:p w14:paraId="1A184377"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Equity</w:t>
            </w:r>
          </w:p>
        </w:tc>
        <w:tc>
          <w:tcPr>
            <w:tcW w:w="2287" w:type="dxa"/>
            <w:tcBorders>
              <w:top w:val="nil"/>
              <w:left w:val="nil"/>
              <w:bottom w:val="single" w:sz="8" w:space="0" w:color="auto"/>
              <w:right w:val="single" w:sz="8" w:space="0" w:color="auto"/>
            </w:tcBorders>
            <w:noWrap/>
            <w:tcMar>
              <w:top w:w="0" w:type="dxa"/>
              <w:left w:w="108" w:type="dxa"/>
              <w:bottom w:w="0" w:type="dxa"/>
              <w:right w:w="108" w:type="dxa"/>
            </w:tcMar>
            <w:hideMark/>
          </w:tcPr>
          <w:p w14:paraId="2FE0F2AA"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Bond</w:t>
            </w:r>
          </w:p>
        </w:tc>
        <w:tc>
          <w:tcPr>
            <w:tcW w:w="1978" w:type="dxa"/>
            <w:tcBorders>
              <w:top w:val="nil"/>
              <w:left w:val="nil"/>
              <w:bottom w:val="single" w:sz="8" w:space="0" w:color="auto"/>
              <w:right w:val="single" w:sz="8" w:space="0" w:color="auto"/>
            </w:tcBorders>
            <w:noWrap/>
            <w:tcMar>
              <w:top w:w="0" w:type="dxa"/>
              <w:left w:w="108" w:type="dxa"/>
              <w:bottom w:w="0" w:type="dxa"/>
              <w:right w:w="108" w:type="dxa"/>
            </w:tcMar>
            <w:hideMark/>
          </w:tcPr>
          <w:p w14:paraId="63CA33B4"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REITs</w:t>
            </w:r>
          </w:p>
        </w:tc>
      </w:tr>
      <w:tr w:rsidR="00ED02A4" w:rsidRPr="00D14720" w14:paraId="326947CD" w14:textId="77777777" w:rsidTr="00367A87">
        <w:trPr>
          <w:trHeight w:val="300"/>
          <w:jc w:val="center"/>
        </w:trPr>
        <w:tc>
          <w:tcPr>
            <w:tcW w:w="1601" w:type="dxa"/>
            <w:tcBorders>
              <w:top w:val="single" w:sz="8" w:space="0" w:color="auto"/>
              <w:left w:val="single" w:sz="8" w:space="0" w:color="auto"/>
              <w:right w:val="single" w:sz="8" w:space="0" w:color="auto"/>
            </w:tcBorders>
            <w:noWrap/>
            <w:tcMar>
              <w:top w:w="0" w:type="dxa"/>
              <w:left w:w="108" w:type="dxa"/>
              <w:bottom w:w="0" w:type="dxa"/>
              <w:right w:w="108" w:type="dxa"/>
            </w:tcMar>
            <w:hideMark/>
          </w:tcPr>
          <w:p w14:paraId="14F14570" w14:textId="77777777" w:rsidR="00ED02A4" w:rsidRPr="00D14720" w:rsidRDefault="00ED02A4" w:rsidP="00367A87">
            <w:pPr>
              <w:spacing w:after="0" w:line="240" w:lineRule="auto"/>
              <w:ind w:right="-32"/>
              <w:jc w:val="center"/>
              <w:rPr>
                <w:rFonts w:ascii="Calibri" w:eastAsia="Calibri" w:hAnsi="Calibri" w:cs="Times New Roman"/>
                <w:lang w:eastAsia="en-IE"/>
              </w:rPr>
            </w:pPr>
            <w:r w:rsidRPr="00D14720">
              <w:rPr>
                <w:rFonts w:ascii="Calibri" w:eastAsia="Calibri" w:hAnsi="Calibri" w:cs="Times New Roman"/>
                <w:lang w:eastAsia="en-IE"/>
              </w:rPr>
              <w:t>Full Period</w:t>
            </w:r>
          </w:p>
        </w:tc>
        <w:tc>
          <w:tcPr>
            <w:tcW w:w="1897" w:type="dxa"/>
            <w:tcBorders>
              <w:top w:val="single" w:sz="8" w:space="0" w:color="auto"/>
              <w:left w:val="nil"/>
              <w:right w:val="single" w:sz="8" w:space="0" w:color="auto"/>
            </w:tcBorders>
            <w:noWrap/>
            <w:tcMar>
              <w:top w:w="0" w:type="dxa"/>
              <w:left w:w="108" w:type="dxa"/>
              <w:bottom w:w="0" w:type="dxa"/>
              <w:right w:w="108" w:type="dxa"/>
            </w:tcMar>
            <w:hideMark/>
          </w:tcPr>
          <w:p w14:paraId="07019CD4"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-0.024</w:t>
            </w:r>
          </w:p>
        </w:tc>
        <w:tc>
          <w:tcPr>
            <w:tcW w:w="2287" w:type="dxa"/>
            <w:tcBorders>
              <w:top w:val="single" w:sz="8" w:space="0" w:color="auto"/>
              <w:left w:val="single" w:sz="8" w:space="0" w:color="auto"/>
              <w:right w:val="single" w:sz="8" w:space="0" w:color="auto"/>
            </w:tcBorders>
            <w:noWrap/>
            <w:tcMar>
              <w:top w:w="0" w:type="dxa"/>
              <w:left w:w="108" w:type="dxa"/>
              <w:bottom w:w="0" w:type="dxa"/>
              <w:right w:w="108" w:type="dxa"/>
            </w:tcMar>
            <w:hideMark/>
          </w:tcPr>
          <w:p w14:paraId="63EA1AE6"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0.080</w:t>
            </w:r>
          </w:p>
        </w:tc>
        <w:tc>
          <w:tcPr>
            <w:tcW w:w="1978" w:type="dxa"/>
            <w:tcBorders>
              <w:top w:val="single" w:sz="8" w:space="0" w:color="auto"/>
              <w:left w:val="single" w:sz="8" w:space="0" w:color="auto"/>
              <w:right w:val="single" w:sz="8" w:space="0" w:color="auto"/>
            </w:tcBorders>
            <w:noWrap/>
            <w:tcMar>
              <w:top w:w="0" w:type="dxa"/>
              <w:left w:w="108" w:type="dxa"/>
              <w:bottom w:w="0" w:type="dxa"/>
              <w:right w:w="108" w:type="dxa"/>
            </w:tcMar>
            <w:hideMark/>
          </w:tcPr>
          <w:p w14:paraId="2716D800"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-0.051</w:t>
            </w:r>
          </w:p>
        </w:tc>
      </w:tr>
      <w:tr w:rsidR="00ED02A4" w:rsidRPr="00D14720" w14:paraId="32919796" w14:textId="77777777" w:rsidTr="00367A87">
        <w:trPr>
          <w:trHeight w:val="300"/>
          <w:jc w:val="center"/>
        </w:trPr>
        <w:tc>
          <w:tcPr>
            <w:tcW w:w="1601" w:type="dxa"/>
            <w:tcBorders>
              <w:top w:val="nil"/>
              <w:left w:val="single" w:sz="8" w:space="0" w:color="auto"/>
              <w:right w:val="single" w:sz="8" w:space="0" w:color="auto"/>
            </w:tcBorders>
            <w:noWrap/>
            <w:tcMar>
              <w:top w:w="0" w:type="dxa"/>
              <w:left w:w="108" w:type="dxa"/>
              <w:bottom w:w="0" w:type="dxa"/>
              <w:right w:w="108" w:type="dxa"/>
            </w:tcMar>
            <w:hideMark/>
          </w:tcPr>
          <w:p w14:paraId="0BF4481C" w14:textId="77777777" w:rsidR="00ED02A4" w:rsidRPr="00D14720" w:rsidRDefault="00ED02A4" w:rsidP="00367A87">
            <w:pPr>
              <w:spacing w:after="0" w:line="240" w:lineRule="auto"/>
              <w:ind w:right="-32"/>
              <w:jc w:val="center"/>
              <w:rPr>
                <w:rFonts w:ascii="Calibri" w:eastAsia="Calibri" w:hAnsi="Calibri" w:cs="Times New Roman"/>
                <w:lang w:eastAsia="en-IE"/>
              </w:rPr>
            </w:pPr>
            <w:r w:rsidRPr="00D14720">
              <w:rPr>
                <w:rFonts w:ascii="Calibri" w:eastAsia="Calibri" w:hAnsi="Calibri" w:cs="Times New Roman"/>
                <w:lang w:eastAsia="en-IE"/>
              </w:rPr>
              <w:t>Pre 2000</w:t>
            </w:r>
          </w:p>
        </w:tc>
        <w:tc>
          <w:tcPr>
            <w:tcW w:w="1897" w:type="dxa"/>
            <w:tcBorders>
              <w:top w:val="nil"/>
              <w:left w:val="nil"/>
              <w:right w:val="single" w:sz="8" w:space="0" w:color="auto"/>
            </w:tcBorders>
            <w:noWrap/>
            <w:tcMar>
              <w:top w:w="0" w:type="dxa"/>
              <w:left w:w="108" w:type="dxa"/>
              <w:bottom w:w="0" w:type="dxa"/>
              <w:right w:w="108" w:type="dxa"/>
            </w:tcMar>
            <w:hideMark/>
          </w:tcPr>
          <w:p w14:paraId="357F1C56"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-0.271</w:t>
            </w:r>
          </w:p>
        </w:tc>
        <w:tc>
          <w:tcPr>
            <w:tcW w:w="2287" w:type="dxa"/>
            <w:tcBorders>
              <w:top w:val="nil"/>
              <w:left w:val="single" w:sz="8" w:space="0" w:color="auto"/>
              <w:right w:val="single" w:sz="8" w:space="0" w:color="auto"/>
            </w:tcBorders>
            <w:noWrap/>
            <w:tcMar>
              <w:top w:w="0" w:type="dxa"/>
              <w:left w:w="108" w:type="dxa"/>
              <w:bottom w:w="0" w:type="dxa"/>
              <w:right w:w="108" w:type="dxa"/>
            </w:tcMar>
            <w:hideMark/>
          </w:tcPr>
          <w:p w14:paraId="686ED1A0"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-0.024</w:t>
            </w:r>
          </w:p>
        </w:tc>
        <w:tc>
          <w:tcPr>
            <w:tcW w:w="1978" w:type="dxa"/>
            <w:tcBorders>
              <w:top w:val="nil"/>
              <w:left w:val="single" w:sz="8" w:space="0" w:color="auto"/>
              <w:right w:val="single" w:sz="8" w:space="0" w:color="auto"/>
            </w:tcBorders>
            <w:noWrap/>
            <w:tcMar>
              <w:top w:w="0" w:type="dxa"/>
              <w:left w:w="108" w:type="dxa"/>
              <w:bottom w:w="0" w:type="dxa"/>
              <w:right w:w="108" w:type="dxa"/>
            </w:tcMar>
            <w:hideMark/>
          </w:tcPr>
          <w:p w14:paraId="7E6CE4C7"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0.168</w:t>
            </w:r>
          </w:p>
        </w:tc>
      </w:tr>
      <w:tr w:rsidR="00ED02A4" w:rsidRPr="00D14720" w14:paraId="464C5A32" w14:textId="77777777" w:rsidTr="00367A87">
        <w:trPr>
          <w:trHeight w:val="300"/>
          <w:jc w:val="center"/>
        </w:trPr>
        <w:tc>
          <w:tcPr>
            <w:tcW w:w="160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671218C" w14:textId="77777777" w:rsidR="00ED02A4" w:rsidRPr="00D14720" w:rsidRDefault="00ED02A4" w:rsidP="00367A87">
            <w:pPr>
              <w:spacing w:after="0" w:line="240" w:lineRule="auto"/>
              <w:ind w:right="-32"/>
              <w:jc w:val="center"/>
              <w:rPr>
                <w:rFonts w:ascii="Calibri" w:eastAsia="Calibri" w:hAnsi="Calibri" w:cs="Times New Roman"/>
                <w:lang w:eastAsia="en-IE"/>
              </w:rPr>
            </w:pPr>
            <w:r w:rsidRPr="00D14720">
              <w:rPr>
                <w:rFonts w:ascii="Calibri" w:eastAsia="Calibri" w:hAnsi="Calibri" w:cs="Times New Roman"/>
                <w:lang w:eastAsia="en-IE"/>
              </w:rPr>
              <w:t>Post 2000</w:t>
            </w:r>
          </w:p>
        </w:tc>
        <w:tc>
          <w:tcPr>
            <w:tcW w:w="1897" w:type="dxa"/>
            <w:tcBorders>
              <w:top w:val="nil"/>
              <w:left w:val="nil"/>
              <w:bottom w:val="single" w:sz="8" w:space="0" w:color="auto"/>
              <w:right w:val="single" w:sz="8" w:space="0" w:color="auto"/>
            </w:tcBorders>
            <w:noWrap/>
            <w:tcMar>
              <w:top w:w="0" w:type="dxa"/>
              <w:left w:w="108" w:type="dxa"/>
              <w:bottom w:w="0" w:type="dxa"/>
              <w:right w:w="108" w:type="dxa"/>
            </w:tcMar>
            <w:hideMark/>
          </w:tcPr>
          <w:p w14:paraId="0D20B95A"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0.111</w:t>
            </w:r>
          </w:p>
        </w:tc>
        <w:tc>
          <w:tcPr>
            <w:tcW w:w="228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B735BBB"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0.186</w:t>
            </w:r>
          </w:p>
        </w:tc>
        <w:tc>
          <w:tcPr>
            <w:tcW w:w="19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392EAF3"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-0.236</w:t>
            </w:r>
          </w:p>
        </w:tc>
      </w:tr>
      <w:tr w:rsidR="00ED02A4" w:rsidRPr="00D14720" w14:paraId="2F949B21" w14:textId="77777777" w:rsidTr="00367A87">
        <w:trPr>
          <w:trHeight w:val="300"/>
          <w:jc w:val="center"/>
        </w:trPr>
        <w:tc>
          <w:tcPr>
            <w:tcW w:w="7763" w:type="dxa"/>
            <w:gridSpan w:val="4"/>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A2D1BE8" w14:textId="77777777" w:rsidR="00ED02A4" w:rsidRPr="00D14720" w:rsidRDefault="00ED02A4" w:rsidP="00367A87">
            <w:pPr>
              <w:spacing w:after="0" w:line="240" w:lineRule="auto"/>
              <w:jc w:val="center"/>
              <w:rPr>
                <w:rFonts w:ascii="Calibri" w:eastAsia="Calibri" w:hAnsi="Calibri" w:cs="Times New Roman"/>
                <w:b/>
                <w:lang w:eastAsia="en-IE"/>
              </w:rPr>
            </w:pPr>
            <w:r w:rsidRPr="00D14720">
              <w:rPr>
                <w:rFonts w:ascii="Calibri" w:eastAsia="Calibri" w:hAnsi="Calibri" w:cs="Times New Roman"/>
                <w:b/>
                <w:lang w:eastAsia="en-IE"/>
              </w:rPr>
              <w:t>Panel B: Correlations between Diversification Indexes for high and low TED (High TED minus Low TED) and Mean TED</w:t>
            </w:r>
          </w:p>
        </w:tc>
      </w:tr>
      <w:tr w:rsidR="00ED02A4" w:rsidRPr="00D14720" w14:paraId="1FDF0EA1" w14:textId="77777777" w:rsidTr="00367A87">
        <w:trPr>
          <w:trHeight w:val="300"/>
          <w:jc w:val="center"/>
        </w:trPr>
        <w:tc>
          <w:tcPr>
            <w:tcW w:w="160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310009A" w14:textId="77777777" w:rsidR="00ED02A4" w:rsidRPr="00D14720" w:rsidRDefault="00ED02A4" w:rsidP="00367A87">
            <w:pPr>
              <w:spacing w:after="0" w:line="240" w:lineRule="auto"/>
              <w:ind w:right="-32"/>
              <w:jc w:val="center"/>
              <w:rPr>
                <w:rFonts w:ascii="Times New Roman" w:eastAsia="Times New Roman" w:hAnsi="Times New Roman" w:cs="Times New Roman"/>
                <w:sz w:val="20"/>
                <w:szCs w:val="20"/>
                <w:lang w:eastAsia="en-IE"/>
              </w:rPr>
            </w:pPr>
          </w:p>
        </w:tc>
        <w:tc>
          <w:tcPr>
            <w:tcW w:w="1897" w:type="dxa"/>
            <w:tcBorders>
              <w:top w:val="nil"/>
              <w:left w:val="nil"/>
              <w:bottom w:val="single" w:sz="8" w:space="0" w:color="auto"/>
              <w:right w:val="single" w:sz="8" w:space="0" w:color="auto"/>
            </w:tcBorders>
            <w:noWrap/>
            <w:tcMar>
              <w:top w:w="0" w:type="dxa"/>
              <w:left w:w="108" w:type="dxa"/>
              <w:bottom w:w="0" w:type="dxa"/>
              <w:right w:w="108" w:type="dxa"/>
            </w:tcMar>
            <w:hideMark/>
          </w:tcPr>
          <w:p w14:paraId="47F3F5F4"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Equity</w:t>
            </w:r>
          </w:p>
        </w:tc>
        <w:tc>
          <w:tcPr>
            <w:tcW w:w="2287" w:type="dxa"/>
            <w:tcBorders>
              <w:top w:val="nil"/>
              <w:left w:val="nil"/>
              <w:bottom w:val="single" w:sz="8" w:space="0" w:color="auto"/>
              <w:right w:val="single" w:sz="8" w:space="0" w:color="auto"/>
            </w:tcBorders>
            <w:noWrap/>
            <w:tcMar>
              <w:top w:w="0" w:type="dxa"/>
              <w:left w:w="108" w:type="dxa"/>
              <w:bottom w:w="0" w:type="dxa"/>
              <w:right w:w="108" w:type="dxa"/>
            </w:tcMar>
            <w:hideMark/>
          </w:tcPr>
          <w:p w14:paraId="752F5B98"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Bond</w:t>
            </w:r>
          </w:p>
        </w:tc>
        <w:tc>
          <w:tcPr>
            <w:tcW w:w="1978" w:type="dxa"/>
            <w:tcBorders>
              <w:top w:val="nil"/>
              <w:left w:val="nil"/>
              <w:bottom w:val="single" w:sz="8" w:space="0" w:color="auto"/>
              <w:right w:val="single" w:sz="8" w:space="0" w:color="auto"/>
            </w:tcBorders>
            <w:noWrap/>
            <w:tcMar>
              <w:top w:w="0" w:type="dxa"/>
              <w:left w:w="108" w:type="dxa"/>
              <w:bottom w:w="0" w:type="dxa"/>
              <w:right w:w="108" w:type="dxa"/>
            </w:tcMar>
            <w:hideMark/>
          </w:tcPr>
          <w:p w14:paraId="34D9BAC6"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REITs</w:t>
            </w:r>
          </w:p>
        </w:tc>
      </w:tr>
      <w:tr w:rsidR="00ED02A4" w:rsidRPr="00D14720" w14:paraId="6083BFCC" w14:textId="77777777" w:rsidTr="00367A87">
        <w:trPr>
          <w:trHeight w:val="300"/>
          <w:jc w:val="center"/>
        </w:trPr>
        <w:tc>
          <w:tcPr>
            <w:tcW w:w="1601" w:type="dxa"/>
            <w:tcBorders>
              <w:top w:val="single" w:sz="8" w:space="0" w:color="auto"/>
              <w:left w:val="single" w:sz="8" w:space="0" w:color="auto"/>
              <w:right w:val="single" w:sz="8" w:space="0" w:color="auto"/>
            </w:tcBorders>
            <w:noWrap/>
            <w:tcMar>
              <w:top w:w="0" w:type="dxa"/>
              <w:left w:w="108" w:type="dxa"/>
              <w:bottom w:w="0" w:type="dxa"/>
              <w:right w:w="108" w:type="dxa"/>
            </w:tcMar>
            <w:hideMark/>
          </w:tcPr>
          <w:p w14:paraId="4B410204" w14:textId="77777777" w:rsidR="00ED02A4" w:rsidRPr="00D14720" w:rsidRDefault="00ED02A4" w:rsidP="00367A87">
            <w:pPr>
              <w:spacing w:after="0" w:line="240" w:lineRule="auto"/>
              <w:ind w:right="-32"/>
              <w:jc w:val="center"/>
              <w:rPr>
                <w:rFonts w:ascii="Calibri" w:eastAsia="Calibri" w:hAnsi="Calibri" w:cs="Times New Roman"/>
                <w:lang w:eastAsia="en-IE"/>
              </w:rPr>
            </w:pPr>
            <w:r w:rsidRPr="00D14720">
              <w:rPr>
                <w:rFonts w:ascii="Calibri" w:eastAsia="Calibri" w:hAnsi="Calibri" w:cs="Times New Roman"/>
                <w:lang w:eastAsia="en-IE"/>
              </w:rPr>
              <w:t>Full Period</w:t>
            </w:r>
          </w:p>
        </w:tc>
        <w:tc>
          <w:tcPr>
            <w:tcW w:w="1897" w:type="dxa"/>
            <w:tcBorders>
              <w:top w:val="single" w:sz="8" w:space="0" w:color="auto"/>
              <w:left w:val="nil"/>
              <w:right w:val="single" w:sz="8" w:space="0" w:color="auto"/>
            </w:tcBorders>
            <w:noWrap/>
            <w:tcMar>
              <w:top w:w="0" w:type="dxa"/>
              <w:left w:w="108" w:type="dxa"/>
              <w:bottom w:w="0" w:type="dxa"/>
              <w:right w:w="108" w:type="dxa"/>
            </w:tcMar>
            <w:hideMark/>
          </w:tcPr>
          <w:p w14:paraId="17F730E4"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0.386</w:t>
            </w:r>
          </w:p>
        </w:tc>
        <w:tc>
          <w:tcPr>
            <w:tcW w:w="2287" w:type="dxa"/>
            <w:tcBorders>
              <w:top w:val="single" w:sz="8" w:space="0" w:color="auto"/>
              <w:left w:val="single" w:sz="8" w:space="0" w:color="auto"/>
              <w:right w:val="single" w:sz="8" w:space="0" w:color="auto"/>
            </w:tcBorders>
            <w:noWrap/>
            <w:tcMar>
              <w:top w:w="0" w:type="dxa"/>
              <w:left w:w="108" w:type="dxa"/>
              <w:bottom w:w="0" w:type="dxa"/>
              <w:right w:w="108" w:type="dxa"/>
            </w:tcMar>
            <w:hideMark/>
          </w:tcPr>
          <w:p w14:paraId="011B61B7"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-0.221</w:t>
            </w:r>
          </w:p>
        </w:tc>
        <w:tc>
          <w:tcPr>
            <w:tcW w:w="1978" w:type="dxa"/>
            <w:tcBorders>
              <w:top w:val="single" w:sz="8" w:space="0" w:color="auto"/>
              <w:left w:val="single" w:sz="8" w:space="0" w:color="auto"/>
              <w:right w:val="single" w:sz="8" w:space="0" w:color="auto"/>
            </w:tcBorders>
            <w:noWrap/>
            <w:tcMar>
              <w:top w:w="0" w:type="dxa"/>
              <w:left w:w="108" w:type="dxa"/>
              <w:bottom w:w="0" w:type="dxa"/>
              <w:right w:w="108" w:type="dxa"/>
            </w:tcMar>
            <w:hideMark/>
          </w:tcPr>
          <w:p w14:paraId="12805684"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0.288</w:t>
            </w:r>
          </w:p>
        </w:tc>
      </w:tr>
      <w:tr w:rsidR="00ED02A4" w:rsidRPr="00D14720" w14:paraId="2F4DCA01" w14:textId="77777777" w:rsidTr="00367A87">
        <w:trPr>
          <w:trHeight w:val="300"/>
          <w:jc w:val="center"/>
        </w:trPr>
        <w:tc>
          <w:tcPr>
            <w:tcW w:w="1601" w:type="dxa"/>
            <w:tcBorders>
              <w:top w:val="nil"/>
              <w:left w:val="single" w:sz="8" w:space="0" w:color="auto"/>
              <w:right w:val="single" w:sz="8" w:space="0" w:color="auto"/>
            </w:tcBorders>
            <w:noWrap/>
            <w:tcMar>
              <w:top w:w="0" w:type="dxa"/>
              <w:left w:w="108" w:type="dxa"/>
              <w:bottom w:w="0" w:type="dxa"/>
              <w:right w:w="108" w:type="dxa"/>
            </w:tcMar>
            <w:hideMark/>
          </w:tcPr>
          <w:p w14:paraId="3961E324" w14:textId="77777777" w:rsidR="00ED02A4" w:rsidRPr="00D14720" w:rsidRDefault="00ED02A4" w:rsidP="00367A87">
            <w:pPr>
              <w:spacing w:after="0" w:line="240" w:lineRule="auto"/>
              <w:ind w:right="-32"/>
              <w:jc w:val="center"/>
              <w:rPr>
                <w:rFonts w:ascii="Calibri" w:eastAsia="Calibri" w:hAnsi="Calibri" w:cs="Times New Roman"/>
                <w:lang w:eastAsia="en-IE"/>
              </w:rPr>
            </w:pPr>
            <w:r w:rsidRPr="00D14720">
              <w:rPr>
                <w:rFonts w:ascii="Calibri" w:eastAsia="Calibri" w:hAnsi="Calibri" w:cs="Times New Roman"/>
                <w:lang w:eastAsia="en-IE"/>
              </w:rPr>
              <w:t>Pre 2000</w:t>
            </w:r>
          </w:p>
        </w:tc>
        <w:tc>
          <w:tcPr>
            <w:tcW w:w="1897" w:type="dxa"/>
            <w:tcBorders>
              <w:top w:val="nil"/>
              <w:left w:val="nil"/>
              <w:right w:val="single" w:sz="8" w:space="0" w:color="auto"/>
            </w:tcBorders>
            <w:noWrap/>
            <w:tcMar>
              <w:top w:w="0" w:type="dxa"/>
              <w:left w:w="108" w:type="dxa"/>
              <w:bottom w:w="0" w:type="dxa"/>
              <w:right w:w="108" w:type="dxa"/>
            </w:tcMar>
            <w:hideMark/>
          </w:tcPr>
          <w:p w14:paraId="7B53BF21"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0.400</w:t>
            </w:r>
          </w:p>
        </w:tc>
        <w:tc>
          <w:tcPr>
            <w:tcW w:w="2287" w:type="dxa"/>
            <w:tcBorders>
              <w:top w:val="nil"/>
              <w:left w:val="single" w:sz="8" w:space="0" w:color="auto"/>
              <w:right w:val="single" w:sz="8" w:space="0" w:color="auto"/>
            </w:tcBorders>
            <w:noWrap/>
            <w:tcMar>
              <w:top w:w="0" w:type="dxa"/>
              <w:left w:w="108" w:type="dxa"/>
              <w:bottom w:w="0" w:type="dxa"/>
              <w:right w:w="108" w:type="dxa"/>
            </w:tcMar>
            <w:hideMark/>
          </w:tcPr>
          <w:p w14:paraId="56D85A23"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-0.050</w:t>
            </w:r>
          </w:p>
        </w:tc>
        <w:tc>
          <w:tcPr>
            <w:tcW w:w="1978" w:type="dxa"/>
            <w:tcBorders>
              <w:top w:val="nil"/>
              <w:left w:val="single" w:sz="8" w:space="0" w:color="auto"/>
              <w:right w:val="single" w:sz="8" w:space="0" w:color="auto"/>
            </w:tcBorders>
            <w:noWrap/>
            <w:tcMar>
              <w:top w:w="0" w:type="dxa"/>
              <w:left w:w="108" w:type="dxa"/>
              <w:bottom w:w="0" w:type="dxa"/>
              <w:right w:w="108" w:type="dxa"/>
            </w:tcMar>
            <w:hideMark/>
          </w:tcPr>
          <w:p w14:paraId="4506C203"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0.386</w:t>
            </w:r>
          </w:p>
        </w:tc>
      </w:tr>
      <w:tr w:rsidR="00ED02A4" w:rsidRPr="00D14720" w14:paraId="02989E82" w14:textId="77777777" w:rsidTr="00367A87">
        <w:trPr>
          <w:trHeight w:val="300"/>
          <w:jc w:val="center"/>
        </w:trPr>
        <w:tc>
          <w:tcPr>
            <w:tcW w:w="160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64B44D4" w14:textId="77777777" w:rsidR="00ED02A4" w:rsidRPr="00D14720" w:rsidRDefault="00ED02A4" w:rsidP="00367A87">
            <w:pPr>
              <w:spacing w:after="0" w:line="240" w:lineRule="auto"/>
              <w:ind w:right="-32"/>
              <w:jc w:val="center"/>
              <w:rPr>
                <w:rFonts w:ascii="Calibri" w:eastAsia="Calibri" w:hAnsi="Calibri" w:cs="Times New Roman"/>
                <w:lang w:eastAsia="en-IE"/>
              </w:rPr>
            </w:pPr>
            <w:r w:rsidRPr="00D14720">
              <w:rPr>
                <w:rFonts w:ascii="Calibri" w:eastAsia="Calibri" w:hAnsi="Calibri" w:cs="Times New Roman"/>
                <w:lang w:eastAsia="en-IE"/>
              </w:rPr>
              <w:t>Post 2000</w:t>
            </w:r>
          </w:p>
        </w:tc>
        <w:tc>
          <w:tcPr>
            <w:tcW w:w="1897" w:type="dxa"/>
            <w:tcBorders>
              <w:top w:val="nil"/>
              <w:left w:val="nil"/>
              <w:bottom w:val="single" w:sz="8" w:space="0" w:color="auto"/>
              <w:right w:val="single" w:sz="8" w:space="0" w:color="auto"/>
            </w:tcBorders>
            <w:noWrap/>
            <w:tcMar>
              <w:top w:w="0" w:type="dxa"/>
              <w:left w:w="108" w:type="dxa"/>
              <w:bottom w:w="0" w:type="dxa"/>
              <w:right w:w="108" w:type="dxa"/>
            </w:tcMar>
            <w:hideMark/>
          </w:tcPr>
          <w:p w14:paraId="209C6943"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0.299</w:t>
            </w:r>
          </w:p>
        </w:tc>
        <w:tc>
          <w:tcPr>
            <w:tcW w:w="228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B7EE690"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-0.240</w:t>
            </w:r>
          </w:p>
        </w:tc>
        <w:tc>
          <w:tcPr>
            <w:tcW w:w="19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E5FF722"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0.186</w:t>
            </w:r>
          </w:p>
        </w:tc>
      </w:tr>
      <w:tr w:rsidR="00ED02A4" w:rsidRPr="00D14720" w14:paraId="5637A2C7" w14:textId="77777777" w:rsidTr="00367A87">
        <w:trPr>
          <w:trHeight w:val="300"/>
          <w:jc w:val="center"/>
        </w:trPr>
        <w:tc>
          <w:tcPr>
            <w:tcW w:w="7763" w:type="dxa"/>
            <w:gridSpan w:val="4"/>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4059BD2" w14:textId="77777777" w:rsidR="00ED02A4" w:rsidRPr="00D14720" w:rsidRDefault="00ED02A4" w:rsidP="00367A87">
            <w:pPr>
              <w:spacing w:after="0" w:line="240" w:lineRule="auto"/>
              <w:jc w:val="center"/>
              <w:rPr>
                <w:rFonts w:ascii="Calibri" w:eastAsia="Calibri" w:hAnsi="Calibri" w:cs="Times New Roman"/>
                <w:b/>
                <w:lang w:eastAsia="en-IE"/>
              </w:rPr>
            </w:pPr>
            <w:r w:rsidRPr="00D14720">
              <w:rPr>
                <w:rFonts w:ascii="Calibri" w:eastAsia="Calibri" w:hAnsi="Calibri" w:cs="Times New Roman"/>
                <w:b/>
                <w:lang w:eastAsia="en-IE"/>
              </w:rPr>
              <w:t xml:space="preserve">Panel C: Correlations between Diversification Indexes for high and low VIX (High VIX minus Low </w:t>
            </w:r>
            <w:proofErr w:type="gramStart"/>
            <w:r w:rsidRPr="00D14720">
              <w:rPr>
                <w:rFonts w:ascii="Calibri" w:eastAsia="Calibri" w:hAnsi="Calibri" w:cs="Times New Roman"/>
                <w:b/>
                <w:lang w:eastAsia="en-IE"/>
              </w:rPr>
              <w:t>VIX)  and</w:t>
            </w:r>
            <w:proofErr w:type="gramEnd"/>
            <w:r w:rsidRPr="00D14720">
              <w:rPr>
                <w:rFonts w:ascii="Calibri" w:eastAsia="Calibri" w:hAnsi="Calibri" w:cs="Times New Roman"/>
                <w:b/>
                <w:lang w:eastAsia="en-IE"/>
              </w:rPr>
              <w:t xml:space="preserve"> Mean VIX</w:t>
            </w:r>
          </w:p>
        </w:tc>
      </w:tr>
      <w:tr w:rsidR="00ED02A4" w:rsidRPr="00D14720" w14:paraId="1A4D42A7" w14:textId="77777777" w:rsidTr="00367A87">
        <w:trPr>
          <w:trHeight w:val="300"/>
          <w:jc w:val="center"/>
        </w:trPr>
        <w:tc>
          <w:tcPr>
            <w:tcW w:w="160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F6C94D2" w14:textId="77777777" w:rsidR="00ED02A4" w:rsidRPr="00D14720" w:rsidRDefault="00ED02A4" w:rsidP="00367A87">
            <w:pPr>
              <w:spacing w:after="0" w:line="240" w:lineRule="auto"/>
              <w:ind w:right="-32"/>
              <w:jc w:val="center"/>
              <w:rPr>
                <w:rFonts w:ascii="Times New Roman" w:eastAsia="Times New Roman" w:hAnsi="Times New Roman" w:cs="Times New Roman"/>
                <w:sz w:val="20"/>
                <w:szCs w:val="20"/>
                <w:lang w:eastAsia="en-IE"/>
              </w:rPr>
            </w:pPr>
          </w:p>
        </w:tc>
        <w:tc>
          <w:tcPr>
            <w:tcW w:w="1897" w:type="dxa"/>
            <w:tcBorders>
              <w:top w:val="nil"/>
              <w:left w:val="nil"/>
              <w:bottom w:val="single" w:sz="8" w:space="0" w:color="auto"/>
              <w:right w:val="single" w:sz="8" w:space="0" w:color="auto"/>
            </w:tcBorders>
            <w:noWrap/>
            <w:tcMar>
              <w:top w:w="0" w:type="dxa"/>
              <w:left w:w="108" w:type="dxa"/>
              <w:bottom w:w="0" w:type="dxa"/>
              <w:right w:w="108" w:type="dxa"/>
            </w:tcMar>
            <w:hideMark/>
          </w:tcPr>
          <w:p w14:paraId="7395FEAC"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Equity</w:t>
            </w:r>
          </w:p>
        </w:tc>
        <w:tc>
          <w:tcPr>
            <w:tcW w:w="2287" w:type="dxa"/>
            <w:tcBorders>
              <w:top w:val="nil"/>
              <w:left w:val="nil"/>
              <w:bottom w:val="single" w:sz="8" w:space="0" w:color="auto"/>
              <w:right w:val="single" w:sz="8" w:space="0" w:color="auto"/>
            </w:tcBorders>
            <w:noWrap/>
            <w:tcMar>
              <w:top w:w="0" w:type="dxa"/>
              <w:left w:w="108" w:type="dxa"/>
              <w:bottom w:w="0" w:type="dxa"/>
              <w:right w:w="108" w:type="dxa"/>
            </w:tcMar>
            <w:hideMark/>
          </w:tcPr>
          <w:p w14:paraId="5C580A23"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Bond</w:t>
            </w:r>
          </w:p>
        </w:tc>
        <w:tc>
          <w:tcPr>
            <w:tcW w:w="1978" w:type="dxa"/>
            <w:tcBorders>
              <w:top w:val="nil"/>
              <w:left w:val="nil"/>
              <w:bottom w:val="single" w:sz="8" w:space="0" w:color="auto"/>
              <w:right w:val="single" w:sz="8" w:space="0" w:color="auto"/>
            </w:tcBorders>
            <w:noWrap/>
            <w:tcMar>
              <w:top w:w="0" w:type="dxa"/>
              <w:left w:w="108" w:type="dxa"/>
              <w:bottom w:w="0" w:type="dxa"/>
              <w:right w:w="108" w:type="dxa"/>
            </w:tcMar>
            <w:hideMark/>
          </w:tcPr>
          <w:p w14:paraId="3889D215"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REITs</w:t>
            </w:r>
          </w:p>
        </w:tc>
      </w:tr>
      <w:tr w:rsidR="00ED02A4" w:rsidRPr="00D14720" w14:paraId="24135C14" w14:textId="77777777" w:rsidTr="00367A87">
        <w:trPr>
          <w:trHeight w:val="300"/>
          <w:jc w:val="center"/>
        </w:trPr>
        <w:tc>
          <w:tcPr>
            <w:tcW w:w="1601" w:type="dxa"/>
            <w:tcBorders>
              <w:top w:val="nil"/>
              <w:left w:val="single" w:sz="8" w:space="0" w:color="auto"/>
              <w:right w:val="single" w:sz="8" w:space="0" w:color="auto"/>
            </w:tcBorders>
            <w:noWrap/>
            <w:tcMar>
              <w:top w:w="0" w:type="dxa"/>
              <w:left w:w="108" w:type="dxa"/>
              <w:bottom w:w="0" w:type="dxa"/>
              <w:right w:w="108" w:type="dxa"/>
            </w:tcMar>
            <w:hideMark/>
          </w:tcPr>
          <w:p w14:paraId="2102BE09" w14:textId="77777777" w:rsidR="00ED02A4" w:rsidRPr="00D14720" w:rsidRDefault="00ED02A4" w:rsidP="00367A87">
            <w:pPr>
              <w:spacing w:after="0" w:line="240" w:lineRule="auto"/>
              <w:ind w:right="-32"/>
              <w:jc w:val="center"/>
              <w:rPr>
                <w:rFonts w:ascii="Calibri" w:eastAsia="Calibri" w:hAnsi="Calibri" w:cs="Times New Roman"/>
                <w:lang w:eastAsia="en-IE"/>
              </w:rPr>
            </w:pPr>
            <w:r w:rsidRPr="00D14720">
              <w:rPr>
                <w:rFonts w:ascii="Calibri" w:eastAsia="Calibri" w:hAnsi="Calibri" w:cs="Times New Roman"/>
                <w:lang w:eastAsia="en-IE"/>
              </w:rPr>
              <w:t>Full Period</w:t>
            </w:r>
          </w:p>
        </w:tc>
        <w:tc>
          <w:tcPr>
            <w:tcW w:w="1897" w:type="dxa"/>
            <w:tcBorders>
              <w:top w:val="nil"/>
              <w:left w:val="nil"/>
              <w:right w:val="single" w:sz="8" w:space="0" w:color="auto"/>
            </w:tcBorders>
            <w:noWrap/>
            <w:tcMar>
              <w:top w:w="0" w:type="dxa"/>
              <w:left w:w="108" w:type="dxa"/>
              <w:bottom w:w="0" w:type="dxa"/>
              <w:right w:w="108" w:type="dxa"/>
            </w:tcMar>
            <w:hideMark/>
          </w:tcPr>
          <w:p w14:paraId="0141300C"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-0.022</w:t>
            </w:r>
          </w:p>
        </w:tc>
        <w:tc>
          <w:tcPr>
            <w:tcW w:w="2287" w:type="dxa"/>
            <w:tcBorders>
              <w:top w:val="nil"/>
              <w:left w:val="single" w:sz="8" w:space="0" w:color="auto"/>
              <w:right w:val="single" w:sz="8" w:space="0" w:color="auto"/>
            </w:tcBorders>
            <w:noWrap/>
            <w:tcMar>
              <w:top w:w="0" w:type="dxa"/>
              <w:left w:w="108" w:type="dxa"/>
              <w:bottom w:w="0" w:type="dxa"/>
              <w:right w:w="108" w:type="dxa"/>
            </w:tcMar>
            <w:hideMark/>
          </w:tcPr>
          <w:p w14:paraId="3CDCE87E"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-0.054</w:t>
            </w:r>
          </w:p>
        </w:tc>
        <w:tc>
          <w:tcPr>
            <w:tcW w:w="1978" w:type="dxa"/>
            <w:tcBorders>
              <w:top w:val="nil"/>
              <w:left w:val="single" w:sz="8" w:space="0" w:color="auto"/>
              <w:right w:val="single" w:sz="8" w:space="0" w:color="auto"/>
            </w:tcBorders>
            <w:noWrap/>
            <w:tcMar>
              <w:top w:w="0" w:type="dxa"/>
              <w:left w:w="108" w:type="dxa"/>
              <w:bottom w:w="0" w:type="dxa"/>
              <w:right w:w="108" w:type="dxa"/>
            </w:tcMar>
            <w:hideMark/>
          </w:tcPr>
          <w:p w14:paraId="01D00318"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-0.051</w:t>
            </w:r>
          </w:p>
        </w:tc>
      </w:tr>
      <w:tr w:rsidR="00ED02A4" w:rsidRPr="00D14720" w14:paraId="34B4DC6F" w14:textId="77777777" w:rsidTr="00367A87">
        <w:trPr>
          <w:trHeight w:val="300"/>
          <w:jc w:val="center"/>
        </w:trPr>
        <w:tc>
          <w:tcPr>
            <w:tcW w:w="1601" w:type="dxa"/>
            <w:tcBorders>
              <w:top w:val="nil"/>
              <w:left w:val="single" w:sz="8" w:space="0" w:color="auto"/>
              <w:right w:val="single" w:sz="8" w:space="0" w:color="auto"/>
            </w:tcBorders>
            <w:noWrap/>
            <w:tcMar>
              <w:top w:w="0" w:type="dxa"/>
              <w:left w:w="108" w:type="dxa"/>
              <w:bottom w:w="0" w:type="dxa"/>
              <w:right w:w="108" w:type="dxa"/>
            </w:tcMar>
            <w:hideMark/>
          </w:tcPr>
          <w:p w14:paraId="15C03321" w14:textId="77777777" w:rsidR="00ED02A4" w:rsidRPr="00D14720" w:rsidRDefault="00ED02A4" w:rsidP="00367A87">
            <w:pPr>
              <w:spacing w:after="0" w:line="240" w:lineRule="auto"/>
              <w:ind w:right="-32"/>
              <w:jc w:val="center"/>
              <w:rPr>
                <w:rFonts w:ascii="Calibri" w:eastAsia="Calibri" w:hAnsi="Calibri" w:cs="Times New Roman"/>
                <w:lang w:eastAsia="en-IE"/>
              </w:rPr>
            </w:pPr>
            <w:r w:rsidRPr="00D14720">
              <w:rPr>
                <w:rFonts w:ascii="Calibri" w:eastAsia="Calibri" w:hAnsi="Calibri" w:cs="Times New Roman"/>
                <w:lang w:eastAsia="en-IE"/>
              </w:rPr>
              <w:t>Pre 2000</w:t>
            </w:r>
          </w:p>
        </w:tc>
        <w:tc>
          <w:tcPr>
            <w:tcW w:w="1897" w:type="dxa"/>
            <w:tcBorders>
              <w:top w:val="nil"/>
              <w:left w:val="nil"/>
              <w:right w:val="single" w:sz="8" w:space="0" w:color="auto"/>
            </w:tcBorders>
            <w:noWrap/>
            <w:tcMar>
              <w:top w:w="0" w:type="dxa"/>
              <w:left w:w="108" w:type="dxa"/>
              <w:bottom w:w="0" w:type="dxa"/>
              <w:right w:w="108" w:type="dxa"/>
            </w:tcMar>
            <w:hideMark/>
          </w:tcPr>
          <w:p w14:paraId="09762486"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0.127</w:t>
            </w:r>
          </w:p>
        </w:tc>
        <w:tc>
          <w:tcPr>
            <w:tcW w:w="2287" w:type="dxa"/>
            <w:tcBorders>
              <w:top w:val="nil"/>
              <w:left w:val="single" w:sz="8" w:space="0" w:color="auto"/>
              <w:right w:val="single" w:sz="8" w:space="0" w:color="auto"/>
            </w:tcBorders>
            <w:noWrap/>
            <w:tcMar>
              <w:top w:w="0" w:type="dxa"/>
              <w:left w:w="108" w:type="dxa"/>
              <w:bottom w:w="0" w:type="dxa"/>
              <w:right w:w="108" w:type="dxa"/>
            </w:tcMar>
            <w:hideMark/>
          </w:tcPr>
          <w:p w14:paraId="1463F09D"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0.120</w:t>
            </w:r>
          </w:p>
        </w:tc>
        <w:tc>
          <w:tcPr>
            <w:tcW w:w="1978" w:type="dxa"/>
            <w:tcBorders>
              <w:top w:val="nil"/>
              <w:left w:val="single" w:sz="8" w:space="0" w:color="auto"/>
              <w:right w:val="single" w:sz="8" w:space="0" w:color="auto"/>
            </w:tcBorders>
            <w:noWrap/>
            <w:tcMar>
              <w:top w:w="0" w:type="dxa"/>
              <w:left w:w="108" w:type="dxa"/>
              <w:bottom w:w="0" w:type="dxa"/>
              <w:right w:w="108" w:type="dxa"/>
            </w:tcMar>
            <w:hideMark/>
          </w:tcPr>
          <w:p w14:paraId="591278E5"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-0.146</w:t>
            </w:r>
          </w:p>
        </w:tc>
      </w:tr>
      <w:tr w:rsidR="00ED02A4" w:rsidRPr="00D14720" w14:paraId="5EC8FCB1" w14:textId="77777777" w:rsidTr="00367A87">
        <w:trPr>
          <w:trHeight w:val="300"/>
          <w:jc w:val="center"/>
        </w:trPr>
        <w:tc>
          <w:tcPr>
            <w:tcW w:w="160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9794FBD" w14:textId="77777777" w:rsidR="00ED02A4" w:rsidRPr="00D14720" w:rsidRDefault="00ED02A4" w:rsidP="00367A87">
            <w:pPr>
              <w:spacing w:after="0" w:line="240" w:lineRule="auto"/>
              <w:ind w:right="-32"/>
              <w:jc w:val="center"/>
              <w:rPr>
                <w:rFonts w:ascii="Calibri" w:eastAsia="Calibri" w:hAnsi="Calibri" w:cs="Times New Roman"/>
                <w:lang w:eastAsia="en-IE"/>
              </w:rPr>
            </w:pPr>
            <w:r w:rsidRPr="00D14720">
              <w:rPr>
                <w:rFonts w:ascii="Calibri" w:eastAsia="Calibri" w:hAnsi="Calibri" w:cs="Times New Roman"/>
                <w:lang w:eastAsia="en-IE"/>
              </w:rPr>
              <w:t>Post 2000</w:t>
            </w:r>
          </w:p>
        </w:tc>
        <w:tc>
          <w:tcPr>
            <w:tcW w:w="1897" w:type="dxa"/>
            <w:tcBorders>
              <w:top w:val="nil"/>
              <w:left w:val="nil"/>
              <w:bottom w:val="single" w:sz="8" w:space="0" w:color="auto"/>
              <w:right w:val="single" w:sz="8" w:space="0" w:color="auto"/>
            </w:tcBorders>
            <w:noWrap/>
            <w:tcMar>
              <w:top w:w="0" w:type="dxa"/>
              <w:left w:w="108" w:type="dxa"/>
              <w:bottom w:w="0" w:type="dxa"/>
              <w:right w:w="108" w:type="dxa"/>
            </w:tcMar>
            <w:hideMark/>
          </w:tcPr>
          <w:p w14:paraId="5DF4CF17"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0.130</w:t>
            </w:r>
          </w:p>
        </w:tc>
        <w:tc>
          <w:tcPr>
            <w:tcW w:w="228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3B97F7F"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-0.127</w:t>
            </w:r>
          </w:p>
        </w:tc>
        <w:tc>
          <w:tcPr>
            <w:tcW w:w="19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E5CF251" w14:textId="77777777" w:rsidR="00ED02A4" w:rsidRPr="00D14720" w:rsidRDefault="00ED02A4" w:rsidP="00367A87">
            <w:pPr>
              <w:spacing w:after="0" w:line="240" w:lineRule="auto"/>
              <w:jc w:val="center"/>
              <w:rPr>
                <w:rFonts w:ascii="Calibri" w:eastAsia="Calibri" w:hAnsi="Calibri" w:cs="Times New Roman"/>
                <w:lang w:eastAsia="en-IE"/>
              </w:rPr>
            </w:pPr>
            <w:r w:rsidRPr="00D14720">
              <w:rPr>
                <w:rFonts w:ascii="Calibri" w:eastAsia="Calibri" w:hAnsi="Calibri" w:cs="Times New Roman"/>
                <w:lang w:eastAsia="en-IE"/>
              </w:rPr>
              <w:t>0.205</w:t>
            </w:r>
          </w:p>
        </w:tc>
      </w:tr>
    </w:tbl>
    <w:p w14:paraId="5AA2705B" w14:textId="77777777" w:rsidR="009468B1" w:rsidRDefault="009468B1" w:rsidP="00ED02A4">
      <w:pPr>
        <w:spacing w:line="240" w:lineRule="auto"/>
        <w:jc w:val="both"/>
      </w:pPr>
    </w:p>
    <w:p w14:paraId="5F930863" w14:textId="35D22A02" w:rsidR="00ED02A4" w:rsidRPr="00D14720" w:rsidRDefault="00ED02A4" w:rsidP="00ED02A4">
      <w:pPr>
        <w:spacing w:line="240" w:lineRule="auto"/>
        <w:jc w:val="both"/>
      </w:pPr>
      <w:r w:rsidRPr="00D14720">
        <w:t>Notes: This table shows the correlation coefficients between the diversification indexes for bear and bull returns (bear minus bull returns) and average returns (panel A), correlations between diversification indexes for high and low TED (high TED minus low TED) and mean TED (panel B), and correlations between diversification indexes for high and low VIX (high VIX minus low VIX) and mean VIX (panel C).  In each panel correlation coefficients are reported for the full period, a pre2000 period and a post2000 period.  The full period is 1986 to 2012 inclusive for all correlations except for the VIX (1990 to 2012) due to availability of this index from 1990 onwards. The differences between bear and bull returns use values above (bull) and below (bear) the median return.  The differences for high and low VIX values use above (high VIX) and below (low VIX) the median VIX values.  The differences for high and low TED spread values uses above (high TED) and below (low TED) the median TED values.  The diversification index is measured by the average R-squares from the multi-factor asset returns model fitted using daily data every year between 1986 and 2012 for all markets in the database.   The model fits asset returns within each year on global factors. The global factors are 16 principal components obtained from the pre1986 markets (Equity: Australia, Austria, Belgium, Canada, Denmark, France, Germany, Hong Kong, Ireland, Italy, Japan, Netherlands, Singapore, South Africa, Switzerland, UK, US, Brazil, Malaysia, Norway, South Korea, Spain, Sweden; Bond: Austria, Belgium, Canada, Denmark, France, Germany, Ireland, Japan, Netherlands, Sweden, Switzerland, UK, US, and REIT: Australia, Netherlands, UK, and US). A diversification value is obtained for each market assuming there are 50 valid daily returns per year.</w:t>
      </w:r>
    </w:p>
    <w:p w14:paraId="26B5A1FF" w14:textId="77777777" w:rsidR="00ED02A4" w:rsidRPr="00D14720" w:rsidRDefault="00ED02A4" w:rsidP="00ED02A4">
      <w:pPr>
        <w:rPr>
          <w:b/>
          <w:bCs/>
        </w:rPr>
      </w:pPr>
    </w:p>
    <w:p w14:paraId="211479EC" w14:textId="77777777" w:rsidR="00ED02A4" w:rsidRPr="00D14720" w:rsidRDefault="00ED02A4" w:rsidP="00ED02A4">
      <w:pPr>
        <w:rPr>
          <w:b/>
          <w:bCs/>
        </w:rPr>
      </w:pPr>
      <w:r w:rsidRPr="00D14720">
        <w:rPr>
          <w:b/>
          <w:bCs/>
        </w:rPr>
        <w:br w:type="page"/>
      </w:r>
    </w:p>
    <w:p w14:paraId="299614BF" w14:textId="1EC47165" w:rsidR="00ED02A4" w:rsidRPr="00D14720" w:rsidRDefault="00ED02A4" w:rsidP="00ED02A4">
      <w:pPr>
        <w:jc w:val="center"/>
        <w:rPr>
          <w:b/>
          <w:bCs/>
        </w:rPr>
      </w:pPr>
      <w:r w:rsidRPr="00D14720">
        <w:rPr>
          <w:b/>
          <w:bCs/>
        </w:rPr>
        <w:lastRenderedPageBreak/>
        <w:t xml:space="preserve">Appendix Table </w:t>
      </w:r>
      <w:r w:rsidR="000C6697">
        <w:rPr>
          <w:b/>
          <w:bCs/>
        </w:rPr>
        <w:t>3</w:t>
      </w:r>
    </w:p>
    <w:p w14:paraId="7DA6BE32" w14:textId="77777777" w:rsidR="00ED02A4" w:rsidRDefault="00ED02A4" w:rsidP="00ED02A4">
      <w:pPr>
        <w:jc w:val="center"/>
        <w:rPr>
          <w:b/>
          <w:bCs/>
        </w:rPr>
      </w:pPr>
      <w:r w:rsidRPr="00D14720">
        <w:rPr>
          <w:b/>
          <w:bCs/>
        </w:rPr>
        <w:t>Differences in World Diversification Indexes</w:t>
      </w:r>
    </w:p>
    <w:tbl>
      <w:tblPr>
        <w:tblW w:w="5051" w:type="dxa"/>
        <w:jc w:val="center"/>
        <w:tblLook w:val="04A0" w:firstRow="1" w:lastRow="0" w:firstColumn="1" w:lastColumn="0" w:noHBand="0" w:noVBand="1"/>
      </w:tblPr>
      <w:tblGrid>
        <w:gridCol w:w="2608"/>
        <w:gridCol w:w="968"/>
        <w:gridCol w:w="968"/>
        <w:gridCol w:w="968"/>
      </w:tblGrid>
      <w:tr w:rsidR="00ED02A4" w:rsidRPr="007F4DE4" w14:paraId="2D5296DF" w14:textId="77777777" w:rsidTr="00367A87">
        <w:trPr>
          <w:trHeight w:val="288"/>
          <w:jc w:val="center"/>
        </w:trPr>
        <w:tc>
          <w:tcPr>
            <w:tcW w:w="2325" w:type="dxa"/>
            <w:tcBorders>
              <w:top w:val="single" w:sz="8" w:space="0" w:color="auto"/>
              <w:left w:val="single" w:sz="8" w:space="0" w:color="auto"/>
              <w:bottom w:val="nil"/>
              <w:right w:val="nil"/>
            </w:tcBorders>
            <w:shd w:val="clear" w:color="auto" w:fill="auto"/>
            <w:noWrap/>
            <w:hideMark/>
          </w:tcPr>
          <w:p w14:paraId="00DB8A11" w14:textId="77777777" w:rsidR="00ED02A4" w:rsidRPr="007F4DE4" w:rsidRDefault="00ED02A4" w:rsidP="00367A87">
            <w:pPr>
              <w:spacing w:after="0" w:line="240" w:lineRule="auto"/>
              <w:jc w:val="center"/>
              <w:rPr>
                <w:rFonts w:ascii="Calibri" w:eastAsia="Times New Roman" w:hAnsi="Calibri" w:cs="Calibri"/>
                <w:color w:val="000000"/>
                <w:lang w:eastAsia="en-IE"/>
              </w:rPr>
            </w:pPr>
          </w:p>
        </w:tc>
        <w:tc>
          <w:tcPr>
            <w:tcW w:w="968" w:type="dxa"/>
            <w:tcBorders>
              <w:top w:val="single" w:sz="8" w:space="0" w:color="auto"/>
              <w:left w:val="nil"/>
              <w:bottom w:val="nil"/>
              <w:right w:val="nil"/>
            </w:tcBorders>
            <w:shd w:val="clear" w:color="auto" w:fill="auto"/>
            <w:noWrap/>
            <w:vAlign w:val="center"/>
            <w:hideMark/>
          </w:tcPr>
          <w:p w14:paraId="014C5212" w14:textId="77777777" w:rsidR="00ED02A4" w:rsidRPr="007F4DE4" w:rsidRDefault="00ED02A4" w:rsidP="00367A87">
            <w:pPr>
              <w:spacing w:after="0" w:line="240" w:lineRule="auto"/>
              <w:jc w:val="center"/>
              <w:rPr>
                <w:rFonts w:ascii="Calibri" w:eastAsia="Times New Roman" w:hAnsi="Calibri" w:cs="Calibri"/>
                <w:color w:val="000000"/>
                <w:lang w:eastAsia="en-IE"/>
              </w:rPr>
            </w:pPr>
            <w:r w:rsidRPr="007F4DE4">
              <w:rPr>
                <w:rFonts w:ascii="Calibri" w:eastAsia="Times New Roman" w:hAnsi="Calibri" w:cs="Calibri"/>
                <w:color w:val="000000"/>
                <w:lang w:eastAsia="en-IE"/>
              </w:rPr>
              <w:t>Equity</w:t>
            </w:r>
          </w:p>
        </w:tc>
        <w:tc>
          <w:tcPr>
            <w:tcW w:w="968" w:type="dxa"/>
            <w:tcBorders>
              <w:top w:val="single" w:sz="8" w:space="0" w:color="auto"/>
              <w:left w:val="nil"/>
              <w:bottom w:val="nil"/>
              <w:right w:val="nil"/>
            </w:tcBorders>
            <w:shd w:val="clear" w:color="auto" w:fill="auto"/>
            <w:noWrap/>
            <w:vAlign w:val="center"/>
            <w:hideMark/>
          </w:tcPr>
          <w:p w14:paraId="67F5303D" w14:textId="77777777" w:rsidR="00ED02A4" w:rsidRPr="007F4DE4" w:rsidRDefault="00ED02A4" w:rsidP="00367A87">
            <w:pPr>
              <w:spacing w:after="0" w:line="240" w:lineRule="auto"/>
              <w:jc w:val="center"/>
              <w:rPr>
                <w:rFonts w:ascii="Calibri" w:eastAsia="Times New Roman" w:hAnsi="Calibri" w:cs="Calibri"/>
                <w:color w:val="000000"/>
                <w:lang w:eastAsia="en-IE"/>
              </w:rPr>
            </w:pPr>
            <w:r w:rsidRPr="007F4DE4">
              <w:rPr>
                <w:rFonts w:ascii="Calibri" w:eastAsia="Times New Roman" w:hAnsi="Calibri" w:cs="Calibri"/>
                <w:color w:val="000000"/>
                <w:lang w:eastAsia="en-IE"/>
              </w:rPr>
              <w:t>Bonds</w:t>
            </w:r>
          </w:p>
        </w:tc>
        <w:tc>
          <w:tcPr>
            <w:tcW w:w="968" w:type="dxa"/>
            <w:tcBorders>
              <w:top w:val="single" w:sz="8" w:space="0" w:color="auto"/>
              <w:left w:val="nil"/>
              <w:bottom w:val="nil"/>
              <w:right w:val="single" w:sz="8" w:space="0" w:color="auto"/>
            </w:tcBorders>
            <w:shd w:val="clear" w:color="auto" w:fill="auto"/>
            <w:noWrap/>
            <w:vAlign w:val="center"/>
            <w:hideMark/>
          </w:tcPr>
          <w:p w14:paraId="4448863C" w14:textId="77777777" w:rsidR="00ED02A4" w:rsidRPr="007F4DE4" w:rsidRDefault="00ED02A4" w:rsidP="00367A87">
            <w:pPr>
              <w:spacing w:after="0" w:line="240" w:lineRule="auto"/>
              <w:jc w:val="center"/>
              <w:rPr>
                <w:rFonts w:ascii="Calibri" w:eastAsia="Times New Roman" w:hAnsi="Calibri" w:cs="Calibri"/>
                <w:color w:val="000000"/>
                <w:lang w:eastAsia="en-IE"/>
              </w:rPr>
            </w:pPr>
            <w:r w:rsidRPr="007F4DE4">
              <w:rPr>
                <w:rFonts w:ascii="Calibri" w:eastAsia="Times New Roman" w:hAnsi="Calibri" w:cs="Calibri"/>
                <w:color w:val="000000"/>
                <w:lang w:eastAsia="en-IE"/>
              </w:rPr>
              <w:t>REITs</w:t>
            </w:r>
          </w:p>
        </w:tc>
      </w:tr>
      <w:tr w:rsidR="00ED02A4" w:rsidRPr="007F4DE4" w14:paraId="308F7D77" w14:textId="77777777" w:rsidTr="00367A87">
        <w:trPr>
          <w:trHeight w:val="288"/>
          <w:jc w:val="center"/>
        </w:trPr>
        <w:tc>
          <w:tcPr>
            <w:tcW w:w="2608" w:type="dxa"/>
            <w:tcBorders>
              <w:top w:val="nil"/>
              <w:left w:val="single" w:sz="8" w:space="0" w:color="auto"/>
              <w:bottom w:val="nil"/>
              <w:right w:val="nil"/>
            </w:tcBorders>
            <w:shd w:val="clear" w:color="auto" w:fill="auto"/>
            <w:noWrap/>
            <w:vAlign w:val="center"/>
            <w:hideMark/>
          </w:tcPr>
          <w:p w14:paraId="5472B224" w14:textId="77777777" w:rsidR="00ED02A4" w:rsidRPr="007F4DE4" w:rsidRDefault="00ED02A4" w:rsidP="00367A87">
            <w:pPr>
              <w:spacing w:after="0" w:line="240" w:lineRule="auto"/>
              <w:jc w:val="center"/>
              <w:rPr>
                <w:rFonts w:ascii="Calibri" w:eastAsia="Times New Roman" w:hAnsi="Calibri" w:cs="Calibri"/>
                <w:color w:val="000000"/>
                <w:lang w:eastAsia="en-IE"/>
              </w:rPr>
            </w:pPr>
            <w:r w:rsidRPr="007F4DE4">
              <w:rPr>
                <w:rFonts w:ascii="Calibri" w:eastAsia="Times New Roman" w:hAnsi="Calibri" w:cs="Calibri"/>
                <w:color w:val="000000"/>
                <w:lang w:eastAsia="en-IE"/>
              </w:rPr>
              <w:t>Bear minus Bull Returns</w:t>
            </w:r>
          </w:p>
        </w:tc>
        <w:tc>
          <w:tcPr>
            <w:tcW w:w="968" w:type="dxa"/>
            <w:tcBorders>
              <w:top w:val="nil"/>
              <w:left w:val="nil"/>
              <w:bottom w:val="nil"/>
              <w:right w:val="nil"/>
            </w:tcBorders>
            <w:shd w:val="clear" w:color="auto" w:fill="auto"/>
            <w:noWrap/>
            <w:vAlign w:val="center"/>
            <w:hideMark/>
          </w:tcPr>
          <w:p w14:paraId="4F28F3B5" w14:textId="77777777" w:rsidR="00ED02A4" w:rsidRPr="007F4DE4" w:rsidRDefault="00ED02A4" w:rsidP="00367A87">
            <w:pPr>
              <w:spacing w:after="0" w:line="240" w:lineRule="auto"/>
              <w:jc w:val="center"/>
              <w:rPr>
                <w:rFonts w:ascii="Calibri" w:eastAsia="Times New Roman" w:hAnsi="Calibri" w:cs="Calibri"/>
                <w:color w:val="000000"/>
                <w:lang w:eastAsia="en-IE"/>
              </w:rPr>
            </w:pPr>
            <w:r w:rsidRPr="007F4DE4">
              <w:rPr>
                <w:rFonts w:ascii="Calibri" w:eastAsia="Times New Roman" w:hAnsi="Calibri" w:cs="Calibri"/>
                <w:color w:val="000000"/>
                <w:lang w:eastAsia="en-IE"/>
              </w:rPr>
              <w:t>5.868</w:t>
            </w:r>
          </w:p>
        </w:tc>
        <w:tc>
          <w:tcPr>
            <w:tcW w:w="968" w:type="dxa"/>
            <w:tcBorders>
              <w:top w:val="nil"/>
              <w:left w:val="nil"/>
              <w:bottom w:val="nil"/>
              <w:right w:val="nil"/>
            </w:tcBorders>
            <w:shd w:val="clear" w:color="auto" w:fill="auto"/>
            <w:noWrap/>
            <w:vAlign w:val="center"/>
            <w:hideMark/>
          </w:tcPr>
          <w:p w14:paraId="711A3E6B" w14:textId="77777777" w:rsidR="00ED02A4" w:rsidRPr="007F4DE4" w:rsidRDefault="00ED02A4" w:rsidP="00367A87">
            <w:pPr>
              <w:spacing w:after="0" w:line="240" w:lineRule="auto"/>
              <w:jc w:val="center"/>
              <w:rPr>
                <w:rFonts w:ascii="Calibri" w:eastAsia="Times New Roman" w:hAnsi="Calibri" w:cs="Calibri"/>
                <w:color w:val="000000"/>
                <w:lang w:eastAsia="en-IE"/>
              </w:rPr>
            </w:pPr>
            <w:r w:rsidRPr="007F4DE4">
              <w:rPr>
                <w:rFonts w:ascii="Calibri" w:eastAsia="Times New Roman" w:hAnsi="Calibri" w:cs="Calibri"/>
                <w:color w:val="000000"/>
                <w:lang w:eastAsia="en-IE"/>
              </w:rPr>
              <w:t>-1.454</w:t>
            </w:r>
          </w:p>
        </w:tc>
        <w:tc>
          <w:tcPr>
            <w:tcW w:w="968" w:type="dxa"/>
            <w:tcBorders>
              <w:top w:val="nil"/>
              <w:left w:val="nil"/>
              <w:bottom w:val="nil"/>
              <w:right w:val="single" w:sz="8" w:space="0" w:color="auto"/>
            </w:tcBorders>
            <w:shd w:val="clear" w:color="auto" w:fill="auto"/>
            <w:noWrap/>
            <w:vAlign w:val="center"/>
            <w:hideMark/>
          </w:tcPr>
          <w:p w14:paraId="16D97CA5" w14:textId="77777777" w:rsidR="00ED02A4" w:rsidRPr="007F4DE4" w:rsidRDefault="00ED02A4" w:rsidP="00367A87">
            <w:pPr>
              <w:spacing w:after="0" w:line="240" w:lineRule="auto"/>
              <w:jc w:val="center"/>
              <w:rPr>
                <w:rFonts w:ascii="Calibri" w:eastAsia="Times New Roman" w:hAnsi="Calibri" w:cs="Calibri"/>
                <w:color w:val="000000"/>
                <w:lang w:eastAsia="en-IE"/>
              </w:rPr>
            </w:pPr>
            <w:r w:rsidRPr="007F4DE4">
              <w:rPr>
                <w:rFonts w:ascii="Calibri" w:eastAsia="Times New Roman" w:hAnsi="Calibri" w:cs="Calibri"/>
                <w:color w:val="000000"/>
                <w:lang w:eastAsia="en-IE"/>
              </w:rPr>
              <w:t>2.408</w:t>
            </w:r>
          </w:p>
        </w:tc>
      </w:tr>
      <w:tr w:rsidR="00ED02A4" w:rsidRPr="007F4DE4" w14:paraId="26A60E03" w14:textId="77777777" w:rsidTr="00367A87">
        <w:trPr>
          <w:trHeight w:val="288"/>
          <w:jc w:val="center"/>
        </w:trPr>
        <w:tc>
          <w:tcPr>
            <w:tcW w:w="2608" w:type="dxa"/>
            <w:tcBorders>
              <w:top w:val="nil"/>
              <w:left w:val="single" w:sz="8" w:space="0" w:color="auto"/>
              <w:bottom w:val="nil"/>
              <w:right w:val="nil"/>
            </w:tcBorders>
            <w:shd w:val="clear" w:color="auto" w:fill="auto"/>
            <w:noWrap/>
            <w:vAlign w:val="center"/>
            <w:hideMark/>
          </w:tcPr>
          <w:p w14:paraId="0BCD0890" w14:textId="77777777" w:rsidR="00ED02A4" w:rsidRPr="007F4DE4" w:rsidRDefault="00ED02A4" w:rsidP="00367A87">
            <w:pPr>
              <w:spacing w:after="0" w:line="240" w:lineRule="auto"/>
              <w:jc w:val="center"/>
              <w:rPr>
                <w:rFonts w:ascii="Calibri" w:eastAsia="Times New Roman" w:hAnsi="Calibri" w:cs="Calibri"/>
                <w:b/>
                <w:bCs/>
                <w:i/>
                <w:iCs/>
                <w:color w:val="000000"/>
                <w:lang w:eastAsia="en-IE"/>
              </w:rPr>
            </w:pPr>
          </w:p>
        </w:tc>
        <w:tc>
          <w:tcPr>
            <w:tcW w:w="968" w:type="dxa"/>
            <w:tcBorders>
              <w:top w:val="nil"/>
              <w:left w:val="nil"/>
              <w:bottom w:val="nil"/>
              <w:right w:val="nil"/>
            </w:tcBorders>
            <w:shd w:val="clear" w:color="auto" w:fill="auto"/>
            <w:noWrap/>
            <w:vAlign w:val="center"/>
            <w:hideMark/>
          </w:tcPr>
          <w:p w14:paraId="53CE36FB" w14:textId="6BC10509" w:rsidR="00ED02A4" w:rsidRPr="007F4DE4" w:rsidRDefault="00ED02A4" w:rsidP="00367A87">
            <w:pPr>
              <w:spacing w:after="0" w:line="240" w:lineRule="auto"/>
              <w:jc w:val="center"/>
              <w:rPr>
                <w:rFonts w:ascii="Calibri" w:eastAsia="Times New Roman" w:hAnsi="Calibri" w:cs="Calibri"/>
                <w:b/>
                <w:bCs/>
                <w:i/>
                <w:iCs/>
                <w:color w:val="000000"/>
                <w:lang w:eastAsia="en-IE"/>
              </w:rPr>
            </w:pPr>
            <w:r w:rsidRPr="007F4DE4">
              <w:rPr>
                <w:rFonts w:ascii="Calibri" w:eastAsia="Times New Roman" w:hAnsi="Calibri" w:cs="Calibri"/>
                <w:b/>
                <w:bCs/>
                <w:i/>
                <w:iCs/>
                <w:color w:val="000000"/>
                <w:lang w:eastAsia="en-IE"/>
              </w:rPr>
              <w:t>5.29</w:t>
            </w:r>
            <w:r w:rsidR="00405332">
              <w:rPr>
                <w:rFonts w:ascii="Calibri" w:eastAsia="Times New Roman" w:hAnsi="Calibri" w:cs="Calibri"/>
                <w:b/>
                <w:bCs/>
                <w:i/>
                <w:iCs/>
                <w:color w:val="000000"/>
                <w:lang w:eastAsia="en-IE"/>
              </w:rPr>
              <w:t>0</w:t>
            </w:r>
          </w:p>
        </w:tc>
        <w:tc>
          <w:tcPr>
            <w:tcW w:w="968" w:type="dxa"/>
            <w:tcBorders>
              <w:top w:val="nil"/>
              <w:left w:val="nil"/>
              <w:bottom w:val="nil"/>
              <w:right w:val="nil"/>
            </w:tcBorders>
            <w:shd w:val="clear" w:color="auto" w:fill="auto"/>
            <w:noWrap/>
            <w:vAlign w:val="center"/>
            <w:hideMark/>
          </w:tcPr>
          <w:p w14:paraId="29201DA4" w14:textId="77777777" w:rsidR="00ED02A4" w:rsidRPr="007F4DE4" w:rsidRDefault="00ED02A4" w:rsidP="00367A87">
            <w:pPr>
              <w:spacing w:after="0" w:line="240" w:lineRule="auto"/>
              <w:jc w:val="center"/>
              <w:rPr>
                <w:rFonts w:ascii="Calibri" w:eastAsia="Times New Roman" w:hAnsi="Calibri" w:cs="Calibri"/>
                <w:b/>
                <w:bCs/>
                <w:i/>
                <w:iCs/>
                <w:color w:val="000000"/>
                <w:lang w:eastAsia="en-IE"/>
              </w:rPr>
            </w:pPr>
            <w:r w:rsidRPr="007F4DE4">
              <w:rPr>
                <w:rFonts w:ascii="Calibri" w:eastAsia="Times New Roman" w:hAnsi="Calibri" w:cs="Calibri"/>
                <w:b/>
                <w:bCs/>
                <w:i/>
                <w:iCs/>
                <w:color w:val="000000"/>
                <w:lang w:eastAsia="en-IE"/>
              </w:rPr>
              <w:t>-1.137</w:t>
            </w:r>
          </w:p>
        </w:tc>
        <w:tc>
          <w:tcPr>
            <w:tcW w:w="968" w:type="dxa"/>
            <w:tcBorders>
              <w:top w:val="nil"/>
              <w:left w:val="nil"/>
              <w:bottom w:val="nil"/>
              <w:right w:val="single" w:sz="8" w:space="0" w:color="auto"/>
            </w:tcBorders>
            <w:shd w:val="clear" w:color="auto" w:fill="auto"/>
            <w:noWrap/>
            <w:vAlign w:val="center"/>
            <w:hideMark/>
          </w:tcPr>
          <w:p w14:paraId="501DE9FA" w14:textId="77777777" w:rsidR="00ED02A4" w:rsidRPr="007F4DE4" w:rsidRDefault="00ED02A4" w:rsidP="00367A87">
            <w:pPr>
              <w:spacing w:after="0" w:line="240" w:lineRule="auto"/>
              <w:jc w:val="center"/>
              <w:rPr>
                <w:rFonts w:ascii="Calibri" w:eastAsia="Times New Roman" w:hAnsi="Calibri" w:cs="Calibri"/>
                <w:b/>
                <w:bCs/>
                <w:i/>
                <w:iCs/>
                <w:color w:val="000000"/>
                <w:lang w:eastAsia="en-IE"/>
              </w:rPr>
            </w:pPr>
            <w:r w:rsidRPr="007F4DE4">
              <w:rPr>
                <w:rFonts w:ascii="Calibri" w:eastAsia="Times New Roman" w:hAnsi="Calibri" w:cs="Calibri"/>
                <w:b/>
                <w:bCs/>
                <w:i/>
                <w:iCs/>
                <w:color w:val="000000"/>
                <w:lang w:eastAsia="en-IE"/>
              </w:rPr>
              <w:t>1.711</w:t>
            </w:r>
          </w:p>
        </w:tc>
      </w:tr>
      <w:tr w:rsidR="00ED02A4" w:rsidRPr="007F4DE4" w14:paraId="51196F0E" w14:textId="77777777" w:rsidTr="00367A87">
        <w:trPr>
          <w:trHeight w:val="288"/>
          <w:jc w:val="center"/>
        </w:trPr>
        <w:tc>
          <w:tcPr>
            <w:tcW w:w="2608" w:type="dxa"/>
            <w:tcBorders>
              <w:top w:val="nil"/>
              <w:left w:val="single" w:sz="8" w:space="0" w:color="auto"/>
              <w:bottom w:val="nil"/>
              <w:right w:val="nil"/>
            </w:tcBorders>
            <w:shd w:val="clear" w:color="auto" w:fill="auto"/>
            <w:noWrap/>
            <w:vAlign w:val="center"/>
            <w:hideMark/>
          </w:tcPr>
          <w:p w14:paraId="4B745C09" w14:textId="77777777" w:rsidR="00ED02A4" w:rsidRPr="007F4DE4" w:rsidRDefault="00ED02A4" w:rsidP="00367A87">
            <w:pPr>
              <w:spacing w:after="0" w:line="240" w:lineRule="auto"/>
              <w:jc w:val="center"/>
              <w:rPr>
                <w:rFonts w:ascii="Calibri" w:eastAsia="Times New Roman" w:hAnsi="Calibri" w:cs="Calibri"/>
                <w:color w:val="000000"/>
                <w:lang w:eastAsia="en-IE"/>
              </w:rPr>
            </w:pPr>
            <w:r w:rsidRPr="007F4DE4">
              <w:rPr>
                <w:rFonts w:ascii="Calibri" w:eastAsia="Times New Roman" w:hAnsi="Calibri" w:cs="Calibri"/>
                <w:color w:val="000000"/>
                <w:lang w:eastAsia="en-IE"/>
              </w:rPr>
              <w:t>High minus Low VIX</w:t>
            </w:r>
          </w:p>
        </w:tc>
        <w:tc>
          <w:tcPr>
            <w:tcW w:w="968" w:type="dxa"/>
            <w:tcBorders>
              <w:top w:val="nil"/>
              <w:left w:val="nil"/>
              <w:bottom w:val="nil"/>
              <w:right w:val="nil"/>
            </w:tcBorders>
            <w:shd w:val="clear" w:color="auto" w:fill="auto"/>
            <w:noWrap/>
            <w:vAlign w:val="center"/>
            <w:hideMark/>
          </w:tcPr>
          <w:p w14:paraId="49FBA208" w14:textId="77777777" w:rsidR="00ED02A4" w:rsidRPr="007F4DE4" w:rsidRDefault="00ED02A4" w:rsidP="00367A87">
            <w:pPr>
              <w:spacing w:after="0" w:line="240" w:lineRule="auto"/>
              <w:jc w:val="center"/>
              <w:rPr>
                <w:rFonts w:ascii="Calibri" w:eastAsia="Times New Roman" w:hAnsi="Calibri" w:cs="Calibri"/>
                <w:color w:val="000000"/>
                <w:lang w:eastAsia="en-IE"/>
              </w:rPr>
            </w:pPr>
            <w:r w:rsidRPr="007F4DE4">
              <w:rPr>
                <w:rFonts w:ascii="Calibri" w:eastAsia="Times New Roman" w:hAnsi="Calibri" w:cs="Calibri"/>
                <w:color w:val="000000"/>
                <w:lang w:eastAsia="en-IE"/>
              </w:rPr>
              <w:t>-0.815</w:t>
            </w:r>
          </w:p>
        </w:tc>
        <w:tc>
          <w:tcPr>
            <w:tcW w:w="968" w:type="dxa"/>
            <w:tcBorders>
              <w:top w:val="nil"/>
              <w:left w:val="nil"/>
              <w:bottom w:val="nil"/>
              <w:right w:val="nil"/>
            </w:tcBorders>
            <w:shd w:val="clear" w:color="auto" w:fill="auto"/>
            <w:noWrap/>
            <w:vAlign w:val="center"/>
            <w:hideMark/>
          </w:tcPr>
          <w:p w14:paraId="5583E1CD" w14:textId="77777777" w:rsidR="00ED02A4" w:rsidRPr="007F4DE4" w:rsidRDefault="00ED02A4" w:rsidP="00367A87">
            <w:pPr>
              <w:spacing w:after="0" w:line="240" w:lineRule="auto"/>
              <w:jc w:val="center"/>
              <w:rPr>
                <w:rFonts w:ascii="Calibri" w:eastAsia="Times New Roman" w:hAnsi="Calibri" w:cs="Calibri"/>
                <w:color w:val="000000"/>
                <w:lang w:eastAsia="en-IE"/>
              </w:rPr>
            </w:pPr>
            <w:r w:rsidRPr="007F4DE4">
              <w:rPr>
                <w:rFonts w:ascii="Calibri" w:eastAsia="Times New Roman" w:hAnsi="Calibri" w:cs="Calibri"/>
                <w:color w:val="000000"/>
                <w:lang w:eastAsia="en-IE"/>
              </w:rPr>
              <w:t>-0.351</w:t>
            </w:r>
          </w:p>
        </w:tc>
        <w:tc>
          <w:tcPr>
            <w:tcW w:w="968" w:type="dxa"/>
            <w:tcBorders>
              <w:top w:val="nil"/>
              <w:left w:val="nil"/>
              <w:bottom w:val="nil"/>
              <w:right w:val="single" w:sz="8" w:space="0" w:color="auto"/>
            </w:tcBorders>
            <w:shd w:val="clear" w:color="auto" w:fill="auto"/>
            <w:noWrap/>
            <w:vAlign w:val="center"/>
            <w:hideMark/>
          </w:tcPr>
          <w:p w14:paraId="3F7A4798" w14:textId="41EE8674" w:rsidR="00ED02A4" w:rsidRPr="007F4DE4" w:rsidRDefault="00ED02A4" w:rsidP="00367A87">
            <w:pPr>
              <w:spacing w:after="0" w:line="240" w:lineRule="auto"/>
              <w:jc w:val="center"/>
              <w:rPr>
                <w:rFonts w:ascii="Calibri" w:eastAsia="Times New Roman" w:hAnsi="Calibri" w:cs="Calibri"/>
                <w:color w:val="000000"/>
                <w:lang w:eastAsia="en-IE"/>
              </w:rPr>
            </w:pPr>
            <w:r w:rsidRPr="007F4DE4">
              <w:rPr>
                <w:rFonts w:ascii="Calibri" w:eastAsia="Times New Roman" w:hAnsi="Calibri" w:cs="Calibri"/>
                <w:color w:val="000000"/>
                <w:lang w:eastAsia="en-IE"/>
              </w:rPr>
              <w:t>0.07</w:t>
            </w:r>
            <w:r w:rsidR="00405332">
              <w:rPr>
                <w:rFonts w:ascii="Calibri" w:eastAsia="Times New Roman" w:hAnsi="Calibri" w:cs="Calibri"/>
                <w:color w:val="000000"/>
                <w:lang w:eastAsia="en-IE"/>
              </w:rPr>
              <w:t>0</w:t>
            </w:r>
          </w:p>
        </w:tc>
      </w:tr>
      <w:tr w:rsidR="00ED02A4" w:rsidRPr="007F4DE4" w14:paraId="2E6C7726" w14:textId="77777777" w:rsidTr="00367A87">
        <w:trPr>
          <w:trHeight w:val="288"/>
          <w:jc w:val="center"/>
        </w:trPr>
        <w:tc>
          <w:tcPr>
            <w:tcW w:w="2608" w:type="dxa"/>
            <w:tcBorders>
              <w:top w:val="nil"/>
              <w:left w:val="single" w:sz="8" w:space="0" w:color="auto"/>
              <w:bottom w:val="nil"/>
              <w:right w:val="nil"/>
            </w:tcBorders>
            <w:shd w:val="clear" w:color="auto" w:fill="auto"/>
            <w:noWrap/>
            <w:vAlign w:val="center"/>
            <w:hideMark/>
          </w:tcPr>
          <w:p w14:paraId="57C647F2" w14:textId="77777777" w:rsidR="00ED02A4" w:rsidRPr="007F4DE4" w:rsidRDefault="00ED02A4" w:rsidP="00367A87">
            <w:pPr>
              <w:spacing w:after="0" w:line="240" w:lineRule="auto"/>
              <w:jc w:val="center"/>
              <w:rPr>
                <w:rFonts w:ascii="Calibri" w:eastAsia="Times New Roman" w:hAnsi="Calibri" w:cs="Calibri"/>
                <w:b/>
                <w:bCs/>
                <w:i/>
                <w:iCs/>
                <w:color w:val="000000"/>
                <w:lang w:eastAsia="en-IE"/>
              </w:rPr>
            </w:pPr>
          </w:p>
        </w:tc>
        <w:tc>
          <w:tcPr>
            <w:tcW w:w="968" w:type="dxa"/>
            <w:tcBorders>
              <w:top w:val="nil"/>
              <w:left w:val="nil"/>
              <w:bottom w:val="nil"/>
              <w:right w:val="nil"/>
            </w:tcBorders>
            <w:shd w:val="clear" w:color="auto" w:fill="auto"/>
            <w:noWrap/>
            <w:vAlign w:val="center"/>
            <w:hideMark/>
          </w:tcPr>
          <w:p w14:paraId="6CC30346" w14:textId="77777777" w:rsidR="00ED02A4" w:rsidRPr="007F4DE4" w:rsidRDefault="00ED02A4" w:rsidP="00367A87">
            <w:pPr>
              <w:spacing w:after="0" w:line="240" w:lineRule="auto"/>
              <w:jc w:val="center"/>
              <w:rPr>
                <w:rFonts w:ascii="Calibri" w:eastAsia="Times New Roman" w:hAnsi="Calibri" w:cs="Calibri"/>
                <w:b/>
                <w:bCs/>
                <w:i/>
                <w:iCs/>
                <w:color w:val="000000"/>
                <w:lang w:eastAsia="en-IE"/>
              </w:rPr>
            </w:pPr>
            <w:r w:rsidRPr="007F4DE4">
              <w:rPr>
                <w:rFonts w:ascii="Calibri" w:eastAsia="Times New Roman" w:hAnsi="Calibri" w:cs="Calibri"/>
                <w:b/>
                <w:bCs/>
                <w:i/>
                <w:iCs/>
                <w:color w:val="000000"/>
                <w:lang w:eastAsia="en-IE"/>
              </w:rPr>
              <w:t>-1.017</w:t>
            </w:r>
          </w:p>
        </w:tc>
        <w:tc>
          <w:tcPr>
            <w:tcW w:w="968" w:type="dxa"/>
            <w:tcBorders>
              <w:top w:val="nil"/>
              <w:left w:val="nil"/>
              <w:bottom w:val="nil"/>
              <w:right w:val="nil"/>
            </w:tcBorders>
            <w:shd w:val="clear" w:color="auto" w:fill="auto"/>
            <w:noWrap/>
            <w:vAlign w:val="center"/>
            <w:hideMark/>
          </w:tcPr>
          <w:p w14:paraId="10619802" w14:textId="77777777" w:rsidR="00ED02A4" w:rsidRPr="007F4DE4" w:rsidRDefault="00ED02A4" w:rsidP="00367A87">
            <w:pPr>
              <w:spacing w:after="0" w:line="240" w:lineRule="auto"/>
              <w:jc w:val="center"/>
              <w:rPr>
                <w:rFonts w:ascii="Calibri" w:eastAsia="Times New Roman" w:hAnsi="Calibri" w:cs="Calibri"/>
                <w:b/>
                <w:bCs/>
                <w:i/>
                <w:iCs/>
                <w:color w:val="000000"/>
                <w:lang w:eastAsia="en-IE"/>
              </w:rPr>
            </w:pPr>
            <w:r w:rsidRPr="007F4DE4">
              <w:rPr>
                <w:rFonts w:ascii="Calibri" w:eastAsia="Times New Roman" w:hAnsi="Calibri" w:cs="Calibri"/>
                <w:b/>
                <w:bCs/>
                <w:i/>
                <w:iCs/>
                <w:color w:val="000000"/>
                <w:lang w:eastAsia="en-IE"/>
              </w:rPr>
              <w:t>-0.321</w:t>
            </w:r>
          </w:p>
        </w:tc>
        <w:tc>
          <w:tcPr>
            <w:tcW w:w="968" w:type="dxa"/>
            <w:tcBorders>
              <w:top w:val="nil"/>
              <w:left w:val="nil"/>
              <w:bottom w:val="nil"/>
              <w:right w:val="single" w:sz="8" w:space="0" w:color="auto"/>
            </w:tcBorders>
            <w:shd w:val="clear" w:color="auto" w:fill="auto"/>
            <w:noWrap/>
            <w:vAlign w:val="center"/>
            <w:hideMark/>
          </w:tcPr>
          <w:p w14:paraId="0B1136B5" w14:textId="77777777" w:rsidR="00ED02A4" w:rsidRPr="007F4DE4" w:rsidRDefault="00ED02A4" w:rsidP="00367A87">
            <w:pPr>
              <w:spacing w:after="0" w:line="240" w:lineRule="auto"/>
              <w:jc w:val="center"/>
              <w:rPr>
                <w:rFonts w:ascii="Calibri" w:eastAsia="Times New Roman" w:hAnsi="Calibri" w:cs="Calibri"/>
                <w:b/>
                <w:bCs/>
                <w:i/>
                <w:iCs/>
                <w:color w:val="000000"/>
                <w:lang w:eastAsia="en-IE"/>
              </w:rPr>
            </w:pPr>
            <w:r w:rsidRPr="007F4DE4">
              <w:rPr>
                <w:rFonts w:ascii="Calibri" w:eastAsia="Times New Roman" w:hAnsi="Calibri" w:cs="Calibri"/>
                <w:b/>
                <w:bCs/>
                <w:i/>
                <w:iCs/>
                <w:color w:val="000000"/>
                <w:lang w:eastAsia="en-IE"/>
              </w:rPr>
              <w:t>0.052</w:t>
            </w:r>
          </w:p>
        </w:tc>
      </w:tr>
      <w:tr w:rsidR="00ED02A4" w:rsidRPr="007F4DE4" w14:paraId="4390D93D" w14:textId="77777777" w:rsidTr="00367A87">
        <w:trPr>
          <w:trHeight w:val="288"/>
          <w:jc w:val="center"/>
        </w:trPr>
        <w:tc>
          <w:tcPr>
            <w:tcW w:w="2608" w:type="dxa"/>
            <w:tcBorders>
              <w:top w:val="nil"/>
              <w:left w:val="single" w:sz="8" w:space="0" w:color="auto"/>
              <w:bottom w:val="nil"/>
              <w:right w:val="nil"/>
            </w:tcBorders>
            <w:shd w:val="clear" w:color="auto" w:fill="auto"/>
            <w:noWrap/>
            <w:vAlign w:val="center"/>
            <w:hideMark/>
          </w:tcPr>
          <w:p w14:paraId="1223CBE4" w14:textId="77777777" w:rsidR="00ED02A4" w:rsidRPr="007F4DE4" w:rsidRDefault="00ED02A4" w:rsidP="00367A87">
            <w:pPr>
              <w:spacing w:after="0" w:line="240" w:lineRule="auto"/>
              <w:jc w:val="center"/>
              <w:rPr>
                <w:rFonts w:ascii="Calibri" w:eastAsia="Times New Roman" w:hAnsi="Calibri" w:cs="Calibri"/>
                <w:color w:val="000000"/>
                <w:lang w:eastAsia="en-IE"/>
              </w:rPr>
            </w:pPr>
            <w:r w:rsidRPr="007F4DE4">
              <w:rPr>
                <w:rFonts w:ascii="Calibri" w:eastAsia="Times New Roman" w:hAnsi="Calibri" w:cs="Calibri"/>
                <w:color w:val="000000"/>
                <w:lang w:eastAsia="en-IE"/>
              </w:rPr>
              <w:t>High minus Low Ted</w:t>
            </w:r>
          </w:p>
        </w:tc>
        <w:tc>
          <w:tcPr>
            <w:tcW w:w="968" w:type="dxa"/>
            <w:tcBorders>
              <w:top w:val="nil"/>
              <w:left w:val="nil"/>
              <w:bottom w:val="nil"/>
              <w:right w:val="nil"/>
            </w:tcBorders>
            <w:shd w:val="clear" w:color="auto" w:fill="auto"/>
            <w:noWrap/>
            <w:vAlign w:val="center"/>
            <w:hideMark/>
          </w:tcPr>
          <w:p w14:paraId="0251B091" w14:textId="66EB229A" w:rsidR="00ED02A4" w:rsidRPr="007F4DE4" w:rsidRDefault="00ED02A4" w:rsidP="00367A87">
            <w:pPr>
              <w:spacing w:after="0" w:line="240" w:lineRule="auto"/>
              <w:jc w:val="center"/>
              <w:rPr>
                <w:rFonts w:ascii="Calibri" w:eastAsia="Times New Roman" w:hAnsi="Calibri" w:cs="Calibri"/>
                <w:color w:val="000000"/>
                <w:lang w:eastAsia="en-IE"/>
              </w:rPr>
            </w:pPr>
            <w:r w:rsidRPr="007F4DE4">
              <w:rPr>
                <w:rFonts w:ascii="Calibri" w:eastAsia="Times New Roman" w:hAnsi="Calibri" w:cs="Calibri"/>
                <w:color w:val="000000"/>
                <w:lang w:eastAsia="en-IE"/>
              </w:rPr>
              <w:t>1.28</w:t>
            </w:r>
            <w:r w:rsidR="00405332">
              <w:rPr>
                <w:rFonts w:ascii="Calibri" w:eastAsia="Times New Roman" w:hAnsi="Calibri" w:cs="Calibri"/>
                <w:color w:val="000000"/>
                <w:lang w:eastAsia="en-IE"/>
              </w:rPr>
              <w:t>0</w:t>
            </w:r>
          </w:p>
        </w:tc>
        <w:tc>
          <w:tcPr>
            <w:tcW w:w="968" w:type="dxa"/>
            <w:tcBorders>
              <w:top w:val="nil"/>
              <w:left w:val="nil"/>
              <w:bottom w:val="nil"/>
              <w:right w:val="nil"/>
            </w:tcBorders>
            <w:shd w:val="clear" w:color="auto" w:fill="auto"/>
            <w:noWrap/>
            <w:vAlign w:val="center"/>
            <w:hideMark/>
          </w:tcPr>
          <w:p w14:paraId="12EF49C6" w14:textId="153F8C1A" w:rsidR="00ED02A4" w:rsidRPr="007F4DE4" w:rsidRDefault="00ED02A4" w:rsidP="00367A87">
            <w:pPr>
              <w:spacing w:after="0" w:line="240" w:lineRule="auto"/>
              <w:jc w:val="center"/>
              <w:rPr>
                <w:rFonts w:ascii="Calibri" w:eastAsia="Times New Roman" w:hAnsi="Calibri" w:cs="Calibri"/>
                <w:color w:val="000000"/>
                <w:lang w:eastAsia="en-IE"/>
              </w:rPr>
            </w:pPr>
            <w:r w:rsidRPr="007F4DE4">
              <w:rPr>
                <w:rFonts w:ascii="Calibri" w:eastAsia="Times New Roman" w:hAnsi="Calibri" w:cs="Calibri"/>
                <w:color w:val="000000"/>
                <w:lang w:eastAsia="en-IE"/>
              </w:rPr>
              <w:t>-2.8</w:t>
            </w:r>
            <w:r w:rsidR="00405332">
              <w:rPr>
                <w:rFonts w:ascii="Calibri" w:eastAsia="Times New Roman" w:hAnsi="Calibri" w:cs="Calibri"/>
                <w:color w:val="000000"/>
                <w:lang w:eastAsia="en-IE"/>
              </w:rPr>
              <w:t>00</w:t>
            </w:r>
          </w:p>
        </w:tc>
        <w:tc>
          <w:tcPr>
            <w:tcW w:w="968" w:type="dxa"/>
            <w:tcBorders>
              <w:top w:val="nil"/>
              <w:left w:val="nil"/>
              <w:bottom w:val="nil"/>
              <w:right w:val="single" w:sz="8" w:space="0" w:color="auto"/>
            </w:tcBorders>
            <w:shd w:val="clear" w:color="auto" w:fill="auto"/>
            <w:noWrap/>
            <w:vAlign w:val="center"/>
            <w:hideMark/>
          </w:tcPr>
          <w:p w14:paraId="00EDF306" w14:textId="77777777" w:rsidR="00ED02A4" w:rsidRPr="007F4DE4" w:rsidRDefault="00ED02A4" w:rsidP="00367A87">
            <w:pPr>
              <w:spacing w:after="0" w:line="240" w:lineRule="auto"/>
              <w:jc w:val="center"/>
              <w:rPr>
                <w:rFonts w:ascii="Calibri" w:eastAsia="Times New Roman" w:hAnsi="Calibri" w:cs="Calibri"/>
                <w:color w:val="000000"/>
                <w:lang w:eastAsia="en-IE"/>
              </w:rPr>
            </w:pPr>
            <w:r w:rsidRPr="007F4DE4">
              <w:rPr>
                <w:rFonts w:ascii="Calibri" w:eastAsia="Times New Roman" w:hAnsi="Calibri" w:cs="Calibri"/>
                <w:color w:val="000000"/>
                <w:lang w:eastAsia="en-IE"/>
              </w:rPr>
              <w:t>-2.234</w:t>
            </w:r>
          </w:p>
        </w:tc>
      </w:tr>
      <w:tr w:rsidR="00ED02A4" w:rsidRPr="007F4DE4" w14:paraId="22B75FD3" w14:textId="77777777" w:rsidTr="00367A87">
        <w:trPr>
          <w:trHeight w:val="300"/>
          <w:jc w:val="center"/>
        </w:trPr>
        <w:tc>
          <w:tcPr>
            <w:tcW w:w="2608" w:type="dxa"/>
            <w:tcBorders>
              <w:top w:val="nil"/>
              <w:left w:val="single" w:sz="8" w:space="0" w:color="auto"/>
              <w:bottom w:val="single" w:sz="8" w:space="0" w:color="auto"/>
              <w:right w:val="nil"/>
            </w:tcBorders>
            <w:shd w:val="clear" w:color="auto" w:fill="auto"/>
            <w:noWrap/>
            <w:vAlign w:val="center"/>
            <w:hideMark/>
          </w:tcPr>
          <w:p w14:paraId="26EACB82" w14:textId="77777777" w:rsidR="00ED02A4" w:rsidRPr="007F4DE4" w:rsidRDefault="00ED02A4" w:rsidP="00367A87">
            <w:pPr>
              <w:spacing w:after="0" w:line="240" w:lineRule="auto"/>
              <w:jc w:val="center"/>
              <w:rPr>
                <w:rFonts w:ascii="Calibri" w:eastAsia="Times New Roman" w:hAnsi="Calibri" w:cs="Calibri"/>
                <w:b/>
                <w:bCs/>
                <w:i/>
                <w:iCs/>
                <w:color w:val="000000"/>
                <w:lang w:eastAsia="en-IE"/>
              </w:rPr>
            </w:pPr>
          </w:p>
        </w:tc>
        <w:tc>
          <w:tcPr>
            <w:tcW w:w="968" w:type="dxa"/>
            <w:tcBorders>
              <w:top w:val="nil"/>
              <w:left w:val="nil"/>
              <w:bottom w:val="single" w:sz="8" w:space="0" w:color="auto"/>
              <w:right w:val="nil"/>
            </w:tcBorders>
            <w:shd w:val="clear" w:color="auto" w:fill="auto"/>
            <w:noWrap/>
            <w:vAlign w:val="center"/>
            <w:hideMark/>
          </w:tcPr>
          <w:p w14:paraId="188E1112" w14:textId="77777777" w:rsidR="00ED02A4" w:rsidRPr="007F4DE4" w:rsidRDefault="00ED02A4" w:rsidP="00367A87">
            <w:pPr>
              <w:spacing w:after="0" w:line="240" w:lineRule="auto"/>
              <w:jc w:val="center"/>
              <w:rPr>
                <w:rFonts w:ascii="Calibri" w:eastAsia="Times New Roman" w:hAnsi="Calibri" w:cs="Calibri"/>
                <w:b/>
                <w:bCs/>
                <w:i/>
                <w:iCs/>
                <w:color w:val="000000"/>
                <w:lang w:eastAsia="en-IE"/>
              </w:rPr>
            </w:pPr>
            <w:r w:rsidRPr="007F4DE4">
              <w:rPr>
                <w:rFonts w:ascii="Calibri" w:eastAsia="Times New Roman" w:hAnsi="Calibri" w:cs="Calibri"/>
                <w:b/>
                <w:bCs/>
                <w:i/>
                <w:iCs/>
                <w:color w:val="000000"/>
                <w:lang w:eastAsia="en-IE"/>
              </w:rPr>
              <w:t>0.937</w:t>
            </w:r>
          </w:p>
        </w:tc>
        <w:tc>
          <w:tcPr>
            <w:tcW w:w="968" w:type="dxa"/>
            <w:tcBorders>
              <w:top w:val="nil"/>
              <w:left w:val="nil"/>
              <w:bottom w:val="single" w:sz="8" w:space="0" w:color="auto"/>
              <w:right w:val="nil"/>
            </w:tcBorders>
            <w:shd w:val="clear" w:color="auto" w:fill="auto"/>
            <w:noWrap/>
            <w:vAlign w:val="center"/>
            <w:hideMark/>
          </w:tcPr>
          <w:p w14:paraId="1D31A706" w14:textId="77777777" w:rsidR="00ED02A4" w:rsidRPr="007F4DE4" w:rsidRDefault="00ED02A4" w:rsidP="00367A87">
            <w:pPr>
              <w:spacing w:after="0" w:line="240" w:lineRule="auto"/>
              <w:jc w:val="center"/>
              <w:rPr>
                <w:rFonts w:ascii="Calibri" w:eastAsia="Times New Roman" w:hAnsi="Calibri" w:cs="Calibri"/>
                <w:b/>
                <w:bCs/>
                <w:i/>
                <w:iCs/>
                <w:color w:val="000000"/>
                <w:lang w:eastAsia="en-IE"/>
              </w:rPr>
            </w:pPr>
            <w:r w:rsidRPr="007F4DE4">
              <w:rPr>
                <w:rFonts w:ascii="Calibri" w:eastAsia="Times New Roman" w:hAnsi="Calibri" w:cs="Calibri"/>
                <w:b/>
                <w:bCs/>
                <w:i/>
                <w:iCs/>
                <w:color w:val="000000"/>
                <w:lang w:eastAsia="en-IE"/>
              </w:rPr>
              <w:t>-2.748</w:t>
            </w:r>
          </w:p>
        </w:tc>
        <w:tc>
          <w:tcPr>
            <w:tcW w:w="968" w:type="dxa"/>
            <w:tcBorders>
              <w:top w:val="nil"/>
              <w:left w:val="nil"/>
              <w:bottom w:val="single" w:sz="8" w:space="0" w:color="auto"/>
              <w:right w:val="single" w:sz="8" w:space="0" w:color="auto"/>
            </w:tcBorders>
            <w:shd w:val="clear" w:color="auto" w:fill="auto"/>
            <w:noWrap/>
            <w:vAlign w:val="center"/>
            <w:hideMark/>
          </w:tcPr>
          <w:p w14:paraId="14E14F99" w14:textId="77777777" w:rsidR="00ED02A4" w:rsidRPr="007F4DE4" w:rsidRDefault="00ED02A4" w:rsidP="00367A87">
            <w:pPr>
              <w:spacing w:after="0" w:line="240" w:lineRule="auto"/>
              <w:jc w:val="center"/>
              <w:rPr>
                <w:rFonts w:ascii="Calibri" w:eastAsia="Times New Roman" w:hAnsi="Calibri" w:cs="Calibri"/>
                <w:b/>
                <w:bCs/>
                <w:i/>
                <w:iCs/>
                <w:color w:val="000000"/>
                <w:lang w:eastAsia="en-IE"/>
              </w:rPr>
            </w:pPr>
            <w:r w:rsidRPr="007F4DE4">
              <w:rPr>
                <w:rFonts w:ascii="Calibri" w:eastAsia="Times New Roman" w:hAnsi="Calibri" w:cs="Calibri"/>
                <w:b/>
                <w:bCs/>
                <w:i/>
                <w:iCs/>
                <w:color w:val="000000"/>
                <w:lang w:eastAsia="en-IE"/>
              </w:rPr>
              <w:t>-1.501</w:t>
            </w:r>
          </w:p>
        </w:tc>
      </w:tr>
    </w:tbl>
    <w:p w14:paraId="6FE3E0D0" w14:textId="77777777" w:rsidR="00ED02A4" w:rsidRDefault="00ED02A4" w:rsidP="00ED02A4">
      <w:pPr>
        <w:jc w:val="right"/>
        <w:rPr>
          <w:b/>
          <w:bCs/>
        </w:rPr>
      </w:pPr>
    </w:p>
    <w:p w14:paraId="1434907D" w14:textId="77777777" w:rsidR="00ED02A4" w:rsidRPr="00D14720" w:rsidRDefault="00ED02A4" w:rsidP="00ED02A4">
      <w:pPr>
        <w:spacing w:line="240" w:lineRule="auto"/>
        <w:jc w:val="both"/>
      </w:pPr>
      <w:r w:rsidRPr="00D14720">
        <w:t xml:space="preserve">Notes: The table shows the mean difference between diversifications indexes stratified by bear minus bull returns, high minus low VIX and high minus low TED spreads.  These are followed by t-statistics </w:t>
      </w:r>
      <w:r w:rsidRPr="00EF40AB">
        <w:t>(in bold and italics)</w:t>
      </w:r>
      <w:r>
        <w:t xml:space="preserve"> </w:t>
      </w:r>
      <w:r w:rsidRPr="00D14720">
        <w:t>of testing whether the differences are significantly different from zero.  This table uses the average diversification indexes for each asset class between 1986 and 2012. The difference in diversification between bear and bull returns uses values above (bull) and below (bear) the median return.  The difference in diversification for high and low VIX values uses above (high VIX) and below (low VIX) the median VIX values.  The difference in diversification for high and low TED spread values uses above (high TED) and below (low TED) the median TED values.</w:t>
      </w:r>
      <w:r>
        <w:t xml:space="preserve"> </w:t>
      </w:r>
      <w:r w:rsidRPr="00D14720">
        <w:t>The diversification index is measured by the average R-squares from the multi-factor asset returns model fitted using daily data every year between 1986 and 2012 for all markets in the database.   The model fits asset returns within each year on global factors. The global factors are 16 principal components obtained from the pre1986 markets (Equity: Australia, Austria, Belgium, Canada, Denmark, France, Germany, Hong Kong, Ireland, Italy, Japan, Netherlands, Singapore, South Africa, Switzerland, UK, US, Brazil, Malaysia, Norway, South Korea, Spain, Sweden; Bond: Austria, Belgium, Canada, Denmark, France, Germany, Ireland, Japan, Netherlands, Sweden, Switzerland, UK, US, and REIT: Australia, Netherlands, UK, and US). A diversification value is obtained for each market assuming there are 50 valid daily returns per year.</w:t>
      </w:r>
    </w:p>
    <w:p w14:paraId="3F97C7BA" w14:textId="77777777" w:rsidR="00ED02A4" w:rsidRDefault="00ED02A4" w:rsidP="00ED02A4">
      <w:r>
        <w:br w:type="page"/>
      </w:r>
    </w:p>
    <w:p w14:paraId="3CD60CE0" w14:textId="713EE39D" w:rsidR="00ED02A4" w:rsidRPr="001D5400" w:rsidRDefault="00ED02A4" w:rsidP="00ED02A4">
      <w:pPr>
        <w:spacing w:after="0" w:line="240" w:lineRule="auto"/>
        <w:jc w:val="center"/>
        <w:rPr>
          <w:rFonts w:ascii="Calibri" w:eastAsia="Times New Roman" w:hAnsi="Calibri" w:cs="Times New Roman"/>
          <w:b/>
          <w:bCs/>
          <w:color w:val="000000"/>
          <w:sz w:val="24"/>
          <w:szCs w:val="24"/>
          <w:lang w:eastAsia="en-IE"/>
        </w:rPr>
      </w:pPr>
      <w:r>
        <w:rPr>
          <w:rFonts w:ascii="Calibri" w:eastAsia="Times New Roman" w:hAnsi="Calibri" w:cs="Times New Roman"/>
          <w:b/>
          <w:bCs/>
          <w:color w:val="000000"/>
          <w:sz w:val="24"/>
          <w:szCs w:val="24"/>
          <w:lang w:eastAsia="en-IE"/>
        </w:rPr>
        <w:lastRenderedPageBreak/>
        <w:t xml:space="preserve">Appendix </w:t>
      </w:r>
      <w:r w:rsidRPr="001D5400">
        <w:rPr>
          <w:rFonts w:ascii="Calibri" w:eastAsia="Times New Roman" w:hAnsi="Calibri" w:cs="Times New Roman"/>
          <w:b/>
          <w:bCs/>
          <w:color w:val="000000"/>
          <w:sz w:val="24"/>
          <w:szCs w:val="24"/>
          <w:lang w:eastAsia="en-IE"/>
        </w:rPr>
        <w:t xml:space="preserve">Table </w:t>
      </w:r>
      <w:r w:rsidR="000C6697">
        <w:rPr>
          <w:rFonts w:ascii="Calibri" w:eastAsia="Times New Roman" w:hAnsi="Calibri" w:cs="Times New Roman"/>
          <w:b/>
          <w:bCs/>
          <w:color w:val="000000"/>
          <w:sz w:val="24"/>
          <w:szCs w:val="24"/>
          <w:lang w:eastAsia="en-IE"/>
        </w:rPr>
        <w:t>4</w:t>
      </w:r>
    </w:p>
    <w:p w14:paraId="7AB8D333" w14:textId="77777777" w:rsidR="00ED02A4" w:rsidRDefault="00ED02A4" w:rsidP="00ED02A4">
      <w:pPr>
        <w:jc w:val="center"/>
        <w:rPr>
          <w:rFonts w:ascii="Calibri" w:eastAsia="Times New Roman" w:hAnsi="Calibri" w:cs="Times New Roman"/>
          <w:b/>
          <w:bCs/>
          <w:color w:val="000000"/>
          <w:sz w:val="24"/>
          <w:szCs w:val="24"/>
          <w:lang w:eastAsia="en-IE"/>
        </w:rPr>
      </w:pPr>
      <w:r>
        <w:rPr>
          <w:rFonts w:ascii="Calibri" w:eastAsia="Times New Roman" w:hAnsi="Calibri" w:cs="Times New Roman"/>
          <w:b/>
          <w:bCs/>
          <w:color w:val="000000"/>
          <w:sz w:val="24"/>
          <w:szCs w:val="24"/>
          <w:lang w:eastAsia="en-IE"/>
        </w:rPr>
        <w:t xml:space="preserve">Balanced </w:t>
      </w:r>
      <w:r w:rsidRPr="001D5400">
        <w:rPr>
          <w:rFonts w:ascii="Calibri" w:eastAsia="Times New Roman" w:hAnsi="Calibri" w:cs="Times New Roman"/>
          <w:b/>
          <w:bCs/>
          <w:color w:val="000000"/>
          <w:sz w:val="24"/>
          <w:szCs w:val="24"/>
          <w:lang w:eastAsia="en-IE"/>
        </w:rPr>
        <w:t>Panel Regression Analysis of Diversification Indexes</w:t>
      </w:r>
    </w:p>
    <w:tbl>
      <w:tblPr>
        <w:tblW w:w="9901" w:type="dxa"/>
        <w:tblInd w:w="103" w:type="dxa"/>
        <w:tblLook w:val="04A0" w:firstRow="1" w:lastRow="0" w:firstColumn="1" w:lastColumn="0" w:noHBand="0" w:noVBand="1"/>
      </w:tblPr>
      <w:tblGrid>
        <w:gridCol w:w="1235"/>
        <w:gridCol w:w="963"/>
        <w:gridCol w:w="963"/>
        <w:gridCol w:w="963"/>
        <w:gridCol w:w="963"/>
        <w:gridCol w:w="963"/>
        <w:gridCol w:w="963"/>
        <w:gridCol w:w="895"/>
        <w:gridCol w:w="993"/>
        <w:gridCol w:w="1000"/>
      </w:tblGrid>
      <w:tr w:rsidR="00ED02A4" w:rsidRPr="00570794" w14:paraId="4B049807" w14:textId="77777777" w:rsidTr="00380104">
        <w:trPr>
          <w:trHeight w:val="288"/>
        </w:trPr>
        <w:tc>
          <w:tcPr>
            <w:tcW w:w="1235" w:type="dxa"/>
            <w:tcBorders>
              <w:top w:val="single" w:sz="4" w:space="0" w:color="auto"/>
              <w:left w:val="single" w:sz="4" w:space="0" w:color="auto"/>
              <w:bottom w:val="nil"/>
              <w:right w:val="nil"/>
            </w:tcBorders>
            <w:shd w:val="clear" w:color="auto" w:fill="auto"/>
            <w:noWrap/>
            <w:vAlign w:val="bottom"/>
            <w:hideMark/>
          </w:tcPr>
          <w:p w14:paraId="1F8B45F6"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 </w:t>
            </w:r>
          </w:p>
        </w:tc>
        <w:tc>
          <w:tcPr>
            <w:tcW w:w="2889" w:type="dxa"/>
            <w:gridSpan w:val="3"/>
            <w:tcBorders>
              <w:top w:val="single" w:sz="4" w:space="0" w:color="auto"/>
              <w:left w:val="nil"/>
              <w:bottom w:val="nil"/>
              <w:right w:val="nil"/>
            </w:tcBorders>
            <w:shd w:val="clear" w:color="auto" w:fill="auto"/>
            <w:noWrap/>
            <w:vAlign w:val="center"/>
            <w:hideMark/>
          </w:tcPr>
          <w:p w14:paraId="3D07C090" w14:textId="77777777" w:rsidR="00ED02A4" w:rsidRPr="00570794" w:rsidRDefault="00ED02A4" w:rsidP="00367A87">
            <w:pPr>
              <w:spacing w:after="0" w:line="240" w:lineRule="auto"/>
              <w:jc w:val="center"/>
              <w:rPr>
                <w:rFonts w:ascii="Calibri" w:eastAsia="Times New Roman" w:hAnsi="Calibri" w:cs="Calibri"/>
                <w:color w:val="000000"/>
                <w:lang w:eastAsia="en-IE"/>
              </w:rPr>
            </w:pPr>
            <w:r w:rsidRPr="00570794">
              <w:rPr>
                <w:rFonts w:ascii="Calibri" w:eastAsia="Times New Roman" w:hAnsi="Calibri" w:cs="Calibri"/>
                <w:color w:val="000000"/>
                <w:lang w:eastAsia="en-IE"/>
              </w:rPr>
              <w:t>NO Developmental Factor</w:t>
            </w:r>
          </w:p>
        </w:tc>
        <w:tc>
          <w:tcPr>
            <w:tcW w:w="2889" w:type="dxa"/>
            <w:gridSpan w:val="3"/>
            <w:tcBorders>
              <w:top w:val="single" w:sz="4" w:space="0" w:color="auto"/>
              <w:left w:val="nil"/>
              <w:bottom w:val="nil"/>
              <w:right w:val="nil"/>
            </w:tcBorders>
            <w:shd w:val="clear" w:color="auto" w:fill="auto"/>
            <w:noWrap/>
            <w:vAlign w:val="center"/>
            <w:hideMark/>
          </w:tcPr>
          <w:p w14:paraId="6D73381D" w14:textId="77777777" w:rsidR="00ED02A4" w:rsidRPr="00570794" w:rsidRDefault="00ED02A4" w:rsidP="00367A87">
            <w:pPr>
              <w:spacing w:after="0" w:line="240" w:lineRule="auto"/>
              <w:jc w:val="center"/>
              <w:rPr>
                <w:rFonts w:ascii="Calibri" w:eastAsia="Times New Roman" w:hAnsi="Calibri" w:cs="Calibri"/>
                <w:color w:val="000000"/>
                <w:lang w:eastAsia="en-IE"/>
              </w:rPr>
            </w:pPr>
            <w:r w:rsidRPr="00570794">
              <w:rPr>
                <w:rFonts w:ascii="Calibri" w:eastAsia="Times New Roman" w:hAnsi="Calibri" w:cs="Calibri"/>
                <w:color w:val="000000"/>
                <w:lang w:eastAsia="en-IE"/>
              </w:rPr>
              <w:t>INTERNET as Developmental Factor</w:t>
            </w:r>
          </w:p>
        </w:tc>
        <w:tc>
          <w:tcPr>
            <w:tcW w:w="2888" w:type="dxa"/>
            <w:gridSpan w:val="3"/>
            <w:tcBorders>
              <w:top w:val="single" w:sz="4" w:space="0" w:color="auto"/>
              <w:left w:val="nil"/>
              <w:bottom w:val="nil"/>
              <w:right w:val="single" w:sz="4" w:space="0" w:color="000000"/>
            </w:tcBorders>
            <w:shd w:val="clear" w:color="auto" w:fill="auto"/>
            <w:noWrap/>
            <w:vAlign w:val="center"/>
            <w:hideMark/>
          </w:tcPr>
          <w:p w14:paraId="783CAEA3"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1st PC as Developmental Factor</w:t>
            </w:r>
          </w:p>
        </w:tc>
      </w:tr>
      <w:tr w:rsidR="00ED02A4" w:rsidRPr="00570794" w14:paraId="6CBE2D6F"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0A492547"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 </w:t>
            </w:r>
          </w:p>
        </w:tc>
        <w:tc>
          <w:tcPr>
            <w:tcW w:w="963" w:type="dxa"/>
            <w:tcBorders>
              <w:top w:val="nil"/>
              <w:left w:val="nil"/>
              <w:bottom w:val="nil"/>
              <w:right w:val="nil"/>
            </w:tcBorders>
            <w:shd w:val="clear" w:color="auto" w:fill="auto"/>
            <w:noWrap/>
            <w:vAlign w:val="bottom"/>
            <w:hideMark/>
          </w:tcPr>
          <w:p w14:paraId="3327DB60"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Equity</w:t>
            </w:r>
          </w:p>
        </w:tc>
        <w:tc>
          <w:tcPr>
            <w:tcW w:w="963" w:type="dxa"/>
            <w:tcBorders>
              <w:top w:val="nil"/>
              <w:left w:val="nil"/>
              <w:bottom w:val="nil"/>
              <w:right w:val="nil"/>
            </w:tcBorders>
            <w:shd w:val="clear" w:color="auto" w:fill="auto"/>
            <w:noWrap/>
            <w:vAlign w:val="bottom"/>
            <w:hideMark/>
          </w:tcPr>
          <w:p w14:paraId="1B17CFC3"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 xml:space="preserve">Bond </w:t>
            </w:r>
          </w:p>
        </w:tc>
        <w:tc>
          <w:tcPr>
            <w:tcW w:w="963" w:type="dxa"/>
            <w:tcBorders>
              <w:top w:val="nil"/>
              <w:left w:val="nil"/>
              <w:bottom w:val="nil"/>
              <w:right w:val="nil"/>
            </w:tcBorders>
            <w:shd w:val="clear" w:color="auto" w:fill="auto"/>
            <w:noWrap/>
            <w:vAlign w:val="bottom"/>
            <w:hideMark/>
          </w:tcPr>
          <w:p w14:paraId="7B8A362A"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REIT</w:t>
            </w:r>
          </w:p>
        </w:tc>
        <w:tc>
          <w:tcPr>
            <w:tcW w:w="963" w:type="dxa"/>
            <w:tcBorders>
              <w:top w:val="nil"/>
              <w:left w:val="nil"/>
              <w:bottom w:val="nil"/>
              <w:right w:val="nil"/>
            </w:tcBorders>
            <w:shd w:val="clear" w:color="auto" w:fill="auto"/>
            <w:noWrap/>
            <w:vAlign w:val="bottom"/>
            <w:hideMark/>
          </w:tcPr>
          <w:p w14:paraId="004CF0A8"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Equity</w:t>
            </w:r>
          </w:p>
        </w:tc>
        <w:tc>
          <w:tcPr>
            <w:tcW w:w="963" w:type="dxa"/>
            <w:tcBorders>
              <w:top w:val="nil"/>
              <w:left w:val="nil"/>
              <w:bottom w:val="nil"/>
              <w:right w:val="nil"/>
            </w:tcBorders>
            <w:shd w:val="clear" w:color="auto" w:fill="auto"/>
            <w:noWrap/>
            <w:vAlign w:val="bottom"/>
            <w:hideMark/>
          </w:tcPr>
          <w:p w14:paraId="22B91933"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 xml:space="preserve">Bond </w:t>
            </w:r>
          </w:p>
        </w:tc>
        <w:tc>
          <w:tcPr>
            <w:tcW w:w="963" w:type="dxa"/>
            <w:tcBorders>
              <w:top w:val="nil"/>
              <w:left w:val="nil"/>
              <w:bottom w:val="nil"/>
              <w:right w:val="nil"/>
            </w:tcBorders>
            <w:shd w:val="clear" w:color="auto" w:fill="auto"/>
            <w:noWrap/>
            <w:vAlign w:val="bottom"/>
            <w:hideMark/>
          </w:tcPr>
          <w:p w14:paraId="32088DE6"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REIT</w:t>
            </w:r>
          </w:p>
        </w:tc>
        <w:tc>
          <w:tcPr>
            <w:tcW w:w="895" w:type="dxa"/>
            <w:tcBorders>
              <w:top w:val="nil"/>
              <w:left w:val="nil"/>
              <w:bottom w:val="nil"/>
              <w:right w:val="nil"/>
            </w:tcBorders>
            <w:shd w:val="clear" w:color="auto" w:fill="auto"/>
            <w:noWrap/>
            <w:vAlign w:val="bottom"/>
            <w:hideMark/>
          </w:tcPr>
          <w:p w14:paraId="0D3886A7"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Equity</w:t>
            </w:r>
          </w:p>
        </w:tc>
        <w:tc>
          <w:tcPr>
            <w:tcW w:w="993" w:type="dxa"/>
            <w:tcBorders>
              <w:top w:val="nil"/>
              <w:left w:val="nil"/>
              <w:bottom w:val="nil"/>
              <w:right w:val="nil"/>
            </w:tcBorders>
            <w:shd w:val="clear" w:color="auto" w:fill="auto"/>
            <w:noWrap/>
            <w:vAlign w:val="bottom"/>
            <w:hideMark/>
          </w:tcPr>
          <w:p w14:paraId="4C925CD4"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 xml:space="preserve">Bond </w:t>
            </w:r>
          </w:p>
        </w:tc>
        <w:tc>
          <w:tcPr>
            <w:tcW w:w="1000" w:type="dxa"/>
            <w:tcBorders>
              <w:top w:val="nil"/>
              <w:left w:val="nil"/>
              <w:bottom w:val="nil"/>
              <w:right w:val="single" w:sz="4" w:space="0" w:color="auto"/>
            </w:tcBorders>
            <w:shd w:val="clear" w:color="auto" w:fill="auto"/>
            <w:noWrap/>
            <w:vAlign w:val="bottom"/>
            <w:hideMark/>
          </w:tcPr>
          <w:p w14:paraId="260018A5"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REIT</w:t>
            </w:r>
          </w:p>
        </w:tc>
      </w:tr>
      <w:tr w:rsidR="00ED02A4" w:rsidRPr="00570794" w14:paraId="7A8A7020"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56E1DDB4"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TED</w:t>
            </w:r>
          </w:p>
        </w:tc>
        <w:tc>
          <w:tcPr>
            <w:tcW w:w="963" w:type="dxa"/>
            <w:tcBorders>
              <w:top w:val="nil"/>
              <w:left w:val="nil"/>
              <w:bottom w:val="nil"/>
              <w:right w:val="nil"/>
            </w:tcBorders>
            <w:shd w:val="clear" w:color="auto" w:fill="auto"/>
            <w:noWrap/>
            <w:vAlign w:val="bottom"/>
            <w:hideMark/>
          </w:tcPr>
          <w:p w14:paraId="32032F43"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-24.238</w:t>
            </w:r>
          </w:p>
        </w:tc>
        <w:tc>
          <w:tcPr>
            <w:tcW w:w="963" w:type="dxa"/>
            <w:tcBorders>
              <w:top w:val="nil"/>
              <w:left w:val="nil"/>
              <w:bottom w:val="nil"/>
              <w:right w:val="nil"/>
            </w:tcBorders>
            <w:shd w:val="clear" w:color="auto" w:fill="auto"/>
            <w:noWrap/>
            <w:vAlign w:val="bottom"/>
            <w:hideMark/>
          </w:tcPr>
          <w:p w14:paraId="3F38F442"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-23.912</w:t>
            </w:r>
          </w:p>
        </w:tc>
        <w:tc>
          <w:tcPr>
            <w:tcW w:w="963" w:type="dxa"/>
            <w:tcBorders>
              <w:top w:val="nil"/>
              <w:left w:val="nil"/>
              <w:bottom w:val="nil"/>
              <w:right w:val="nil"/>
            </w:tcBorders>
            <w:shd w:val="clear" w:color="auto" w:fill="auto"/>
            <w:noWrap/>
            <w:vAlign w:val="bottom"/>
            <w:hideMark/>
          </w:tcPr>
          <w:p w14:paraId="06FF566E"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-33.118</w:t>
            </w:r>
          </w:p>
        </w:tc>
        <w:tc>
          <w:tcPr>
            <w:tcW w:w="963" w:type="dxa"/>
            <w:tcBorders>
              <w:top w:val="nil"/>
              <w:left w:val="nil"/>
              <w:bottom w:val="nil"/>
              <w:right w:val="nil"/>
            </w:tcBorders>
            <w:shd w:val="clear" w:color="auto" w:fill="auto"/>
            <w:noWrap/>
            <w:vAlign w:val="bottom"/>
            <w:hideMark/>
          </w:tcPr>
          <w:p w14:paraId="0CA37442"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-6.748</w:t>
            </w:r>
          </w:p>
        </w:tc>
        <w:tc>
          <w:tcPr>
            <w:tcW w:w="963" w:type="dxa"/>
            <w:tcBorders>
              <w:top w:val="nil"/>
              <w:left w:val="nil"/>
              <w:bottom w:val="nil"/>
              <w:right w:val="nil"/>
            </w:tcBorders>
            <w:shd w:val="clear" w:color="auto" w:fill="auto"/>
            <w:noWrap/>
            <w:vAlign w:val="bottom"/>
            <w:hideMark/>
          </w:tcPr>
          <w:p w14:paraId="75AFC796"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-18.698</w:t>
            </w:r>
          </w:p>
        </w:tc>
        <w:tc>
          <w:tcPr>
            <w:tcW w:w="963" w:type="dxa"/>
            <w:tcBorders>
              <w:top w:val="nil"/>
              <w:left w:val="nil"/>
              <w:bottom w:val="nil"/>
              <w:right w:val="nil"/>
            </w:tcBorders>
            <w:shd w:val="clear" w:color="auto" w:fill="auto"/>
            <w:noWrap/>
            <w:vAlign w:val="bottom"/>
            <w:hideMark/>
          </w:tcPr>
          <w:p w14:paraId="7388CDDC"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-11.665</w:t>
            </w:r>
          </w:p>
        </w:tc>
        <w:tc>
          <w:tcPr>
            <w:tcW w:w="895" w:type="dxa"/>
            <w:tcBorders>
              <w:top w:val="nil"/>
              <w:left w:val="nil"/>
              <w:bottom w:val="nil"/>
              <w:right w:val="nil"/>
            </w:tcBorders>
            <w:shd w:val="clear" w:color="auto" w:fill="auto"/>
            <w:noWrap/>
            <w:vAlign w:val="bottom"/>
            <w:hideMark/>
          </w:tcPr>
          <w:p w14:paraId="624E613D"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-6.406</w:t>
            </w:r>
          </w:p>
        </w:tc>
        <w:tc>
          <w:tcPr>
            <w:tcW w:w="993" w:type="dxa"/>
            <w:tcBorders>
              <w:top w:val="nil"/>
              <w:left w:val="nil"/>
              <w:bottom w:val="nil"/>
              <w:right w:val="nil"/>
            </w:tcBorders>
            <w:shd w:val="clear" w:color="auto" w:fill="auto"/>
            <w:noWrap/>
            <w:vAlign w:val="bottom"/>
            <w:hideMark/>
          </w:tcPr>
          <w:p w14:paraId="73F545C9"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-20.822</w:t>
            </w:r>
          </w:p>
        </w:tc>
        <w:tc>
          <w:tcPr>
            <w:tcW w:w="1000" w:type="dxa"/>
            <w:tcBorders>
              <w:top w:val="nil"/>
              <w:left w:val="nil"/>
              <w:bottom w:val="nil"/>
              <w:right w:val="single" w:sz="4" w:space="0" w:color="auto"/>
            </w:tcBorders>
            <w:shd w:val="clear" w:color="auto" w:fill="auto"/>
            <w:noWrap/>
            <w:vAlign w:val="bottom"/>
            <w:hideMark/>
          </w:tcPr>
          <w:p w14:paraId="23832E0D"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-18.252</w:t>
            </w:r>
          </w:p>
        </w:tc>
      </w:tr>
      <w:tr w:rsidR="00ED02A4" w:rsidRPr="00570794" w14:paraId="403DBE1E"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2BFC7FCD" w14:textId="77777777" w:rsidR="00ED02A4" w:rsidRPr="00570794" w:rsidRDefault="00ED02A4" w:rsidP="00367A87">
            <w:pPr>
              <w:spacing w:after="0" w:line="240" w:lineRule="auto"/>
              <w:rPr>
                <w:rFonts w:ascii="Calibri" w:eastAsia="Times New Roman" w:hAnsi="Calibri" w:cs="Calibri"/>
                <w:b/>
                <w:bCs/>
                <w:color w:val="000000"/>
                <w:lang w:eastAsia="en-IE"/>
              </w:rPr>
            </w:pPr>
            <w:r w:rsidRPr="00570794">
              <w:rPr>
                <w:rFonts w:ascii="Calibri" w:eastAsia="Times New Roman" w:hAnsi="Calibri" w:cs="Calibri"/>
                <w:b/>
                <w:bCs/>
                <w:color w:val="000000"/>
                <w:lang w:eastAsia="en-IE"/>
              </w:rPr>
              <w:t> </w:t>
            </w:r>
          </w:p>
        </w:tc>
        <w:tc>
          <w:tcPr>
            <w:tcW w:w="963" w:type="dxa"/>
            <w:tcBorders>
              <w:top w:val="nil"/>
              <w:left w:val="nil"/>
              <w:bottom w:val="nil"/>
              <w:right w:val="nil"/>
            </w:tcBorders>
            <w:shd w:val="clear" w:color="auto" w:fill="auto"/>
            <w:noWrap/>
            <w:vAlign w:val="bottom"/>
            <w:hideMark/>
          </w:tcPr>
          <w:p w14:paraId="10BF9ED6"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223D3689"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2161E17D"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43144955"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0.023</w:t>
            </w:r>
          </w:p>
        </w:tc>
        <w:tc>
          <w:tcPr>
            <w:tcW w:w="963" w:type="dxa"/>
            <w:tcBorders>
              <w:top w:val="nil"/>
              <w:left w:val="nil"/>
              <w:bottom w:val="nil"/>
              <w:right w:val="nil"/>
            </w:tcBorders>
            <w:shd w:val="clear" w:color="auto" w:fill="auto"/>
            <w:noWrap/>
            <w:vAlign w:val="bottom"/>
            <w:hideMark/>
          </w:tcPr>
          <w:p w14:paraId="7C4E224F"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5C872822"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0.184</w:t>
            </w:r>
          </w:p>
        </w:tc>
        <w:tc>
          <w:tcPr>
            <w:tcW w:w="895" w:type="dxa"/>
            <w:tcBorders>
              <w:top w:val="nil"/>
              <w:left w:val="nil"/>
              <w:bottom w:val="nil"/>
              <w:right w:val="nil"/>
            </w:tcBorders>
            <w:shd w:val="clear" w:color="auto" w:fill="auto"/>
            <w:noWrap/>
            <w:vAlign w:val="bottom"/>
            <w:hideMark/>
          </w:tcPr>
          <w:p w14:paraId="481B8EB9"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0.129</w:t>
            </w:r>
          </w:p>
        </w:tc>
        <w:tc>
          <w:tcPr>
            <w:tcW w:w="993" w:type="dxa"/>
            <w:tcBorders>
              <w:top w:val="nil"/>
              <w:left w:val="nil"/>
              <w:bottom w:val="nil"/>
              <w:right w:val="nil"/>
            </w:tcBorders>
            <w:shd w:val="clear" w:color="auto" w:fill="auto"/>
            <w:noWrap/>
            <w:vAlign w:val="bottom"/>
            <w:hideMark/>
          </w:tcPr>
          <w:p w14:paraId="643F1809"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1000" w:type="dxa"/>
            <w:tcBorders>
              <w:top w:val="nil"/>
              <w:left w:val="nil"/>
              <w:bottom w:val="nil"/>
              <w:right w:val="single" w:sz="4" w:space="0" w:color="auto"/>
            </w:tcBorders>
            <w:shd w:val="clear" w:color="auto" w:fill="auto"/>
            <w:noWrap/>
            <w:vAlign w:val="bottom"/>
            <w:hideMark/>
          </w:tcPr>
          <w:p w14:paraId="638A0063"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0.023</w:t>
            </w:r>
          </w:p>
        </w:tc>
      </w:tr>
      <w:tr w:rsidR="00ED02A4" w:rsidRPr="00570794" w14:paraId="1C0011BA"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1BB34ACF"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VIX</w:t>
            </w:r>
          </w:p>
        </w:tc>
        <w:tc>
          <w:tcPr>
            <w:tcW w:w="963" w:type="dxa"/>
            <w:tcBorders>
              <w:top w:val="nil"/>
              <w:left w:val="nil"/>
              <w:bottom w:val="nil"/>
              <w:right w:val="nil"/>
            </w:tcBorders>
            <w:shd w:val="clear" w:color="auto" w:fill="auto"/>
            <w:noWrap/>
            <w:vAlign w:val="bottom"/>
            <w:hideMark/>
          </w:tcPr>
          <w:p w14:paraId="4849ACBC"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0.906</w:t>
            </w:r>
          </w:p>
        </w:tc>
        <w:tc>
          <w:tcPr>
            <w:tcW w:w="963" w:type="dxa"/>
            <w:tcBorders>
              <w:top w:val="nil"/>
              <w:left w:val="nil"/>
              <w:bottom w:val="nil"/>
              <w:right w:val="nil"/>
            </w:tcBorders>
            <w:shd w:val="clear" w:color="auto" w:fill="auto"/>
            <w:noWrap/>
            <w:vAlign w:val="bottom"/>
            <w:hideMark/>
          </w:tcPr>
          <w:p w14:paraId="4D74715A"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1.830</w:t>
            </w:r>
          </w:p>
        </w:tc>
        <w:tc>
          <w:tcPr>
            <w:tcW w:w="963" w:type="dxa"/>
            <w:tcBorders>
              <w:top w:val="nil"/>
              <w:left w:val="nil"/>
              <w:bottom w:val="nil"/>
              <w:right w:val="nil"/>
            </w:tcBorders>
            <w:shd w:val="clear" w:color="auto" w:fill="auto"/>
            <w:noWrap/>
            <w:vAlign w:val="bottom"/>
            <w:hideMark/>
          </w:tcPr>
          <w:p w14:paraId="072D675C"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1.122</w:t>
            </w:r>
          </w:p>
        </w:tc>
        <w:tc>
          <w:tcPr>
            <w:tcW w:w="963" w:type="dxa"/>
            <w:tcBorders>
              <w:top w:val="nil"/>
              <w:left w:val="nil"/>
              <w:bottom w:val="nil"/>
              <w:right w:val="nil"/>
            </w:tcBorders>
            <w:shd w:val="clear" w:color="auto" w:fill="auto"/>
            <w:noWrap/>
            <w:vAlign w:val="bottom"/>
            <w:hideMark/>
          </w:tcPr>
          <w:p w14:paraId="73E2E9D8"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-0.242</w:t>
            </w:r>
          </w:p>
        </w:tc>
        <w:tc>
          <w:tcPr>
            <w:tcW w:w="963" w:type="dxa"/>
            <w:tcBorders>
              <w:top w:val="nil"/>
              <w:left w:val="nil"/>
              <w:bottom w:val="nil"/>
              <w:right w:val="nil"/>
            </w:tcBorders>
            <w:shd w:val="clear" w:color="auto" w:fill="auto"/>
            <w:noWrap/>
            <w:vAlign w:val="bottom"/>
            <w:hideMark/>
          </w:tcPr>
          <w:p w14:paraId="6331F0DD"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1.531</w:t>
            </w:r>
          </w:p>
        </w:tc>
        <w:tc>
          <w:tcPr>
            <w:tcW w:w="963" w:type="dxa"/>
            <w:tcBorders>
              <w:top w:val="nil"/>
              <w:left w:val="nil"/>
              <w:bottom w:val="nil"/>
              <w:right w:val="nil"/>
            </w:tcBorders>
            <w:shd w:val="clear" w:color="auto" w:fill="auto"/>
            <w:noWrap/>
            <w:vAlign w:val="bottom"/>
            <w:hideMark/>
          </w:tcPr>
          <w:p w14:paraId="0DF22F9F"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-0.172</w:t>
            </w:r>
          </w:p>
        </w:tc>
        <w:tc>
          <w:tcPr>
            <w:tcW w:w="895" w:type="dxa"/>
            <w:tcBorders>
              <w:top w:val="nil"/>
              <w:left w:val="nil"/>
              <w:bottom w:val="nil"/>
              <w:right w:val="nil"/>
            </w:tcBorders>
            <w:shd w:val="clear" w:color="auto" w:fill="auto"/>
            <w:noWrap/>
            <w:vAlign w:val="bottom"/>
            <w:hideMark/>
          </w:tcPr>
          <w:p w14:paraId="1F19985E"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-0.059</w:t>
            </w:r>
          </w:p>
        </w:tc>
        <w:tc>
          <w:tcPr>
            <w:tcW w:w="993" w:type="dxa"/>
            <w:tcBorders>
              <w:top w:val="nil"/>
              <w:left w:val="nil"/>
              <w:bottom w:val="nil"/>
              <w:right w:val="nil"/>
            </w:tcBorders>
            <w:shd w:val="clear" w:color="auto" w:fill="auto"/>
            <w:noWrap/>
            <w:vAlign w:val="bottom"/>
            <w:hideMark/>
          </w:tcPr>
          <w:p w14:paraId="33F70B11"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1.465</w:t>
            </w:r>
          </w:p>
        </w:tc>
        <w:tc>
          <w:tcPr>
            <w:tcW w:w="1000" w:type="dxa"/>
            <w:tcBorders>
              <w:top w:val="nil"/>
              <w:left w:val="nil"/>
              <w:bottom w:val="nil"/>
              <w:right w:val="single" w:sz="4" w:space="0" w:color="auto"/>
            </w:tcBorders>
            <w:shd w:val="clear" w:color="auto" w:fill="auto"/>
            <w:noWrap/>
            <w:vAlign w:val="bottom"/>
            <w:hideMark/>
          </w:tcPr>
          <w:p w14:paraId="27705881"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0.258</w:t>
            </w:r>
          </w:p>
        </w:tc>
      </w:tr>
      <w:tr w:rsidR="00ED02A4" w:rsidRPr="00570794" w14:paraId="1AC5969C"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49B4BD46"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35CE02D1"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3B4EE457"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5C9AC455"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386ACBD8"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0.089</w:t>
            </w:r>
          </w:p>
        </w:tc>
        <w:tc>
          <w:tcPr>
            <w:tcW w:w="963" w:type="dxa"/>
            <w:tcBorders>
              <w:top w:val="nil"/>
              <w:left w:val="nil"/>
              <w:bottom w:val="nil"/>
              <w:right w:val="nil"/>
            </w:tcBorders>
            <w:shd w:val="clear" w:color="auto" w:fill="auto"/>
            <w:noWrap/>
            <w:vAlign w:val="bottom"/>
            <w:hideMark/>
          </w:tcPr>
          <w:p w14:paraId="741AE493"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46BFC3B4"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0.673</w:t>
            </w:r>
          </w:p>
        </w:tc>
        <w:tc>
          <w:tcPr>
            <w:tcW w:w="895" w:type="dxa"/>
            <w:tcBorders>
              <w:top w:val="nil"/>
              <w:left w:val="nil"/>
              <w:bottom w:val="nil"/>
              <w:right w:val="nil"/>
            </w:tcBorders>
            <w:shd w:val="clear" w:color="auto" w:fill="auto"/>
            <w:noWrap/>
            <w:vAlign w:val="bottom"/>
            <w:hideMark/>
          </w:tcPr>
          <w:p w14:paraId="45C3A43C"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0.784</w:t>
            </w:r>
          </w:p>
        </w:tc>
        <w:tc>
          <w:tcPr>
            <w:tcW w:w="993" w:type="dxa"/>
            <w:tcBorders>
              <w:top w:val="nil"/>
              <w:left w:val="nil"/>
              <w:bottom w:val="nil"/>
              <w:right w:val="nil"/>
            </w:tcBorders>
            <w:shd w:val="clear" w:color="auto" w:fill="auto"/>
            <w:noWrap/>
            <w:vAlign w:val="bottom"/>
            <w:hideMark/>
          </w:tcPr>
          <w:p w14:paraId="7D807573"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1000" w:type="dxa"/>
            <w:tcBorders>
              <w:top w:val="nil"/>
              <w:left w:val="nil"/>
              <w:bottom w:val="nil"/>
              <w:right w:val="single" w:sz="4" w:space="0" w:color="auto"/>
            </w:tcBorders>
            <w:shd w:val="clear" w:color="auto" w:fill="auto"/>
            <w:noWrap/>
            <w:vAlign w:val="bottom"/>
            <w:hideMark/>
          </w:tcPr>
          <w:p w14:paraId="4426ACF2"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0.395</w:t>
            </w:r>
          </w:p>
        </w:tc>
      </w:tr>
      <w:tr w:rsidR="00ED02A4" w:rsidRPr="00570794" w14:paraId="3BC43813"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292F9838"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SENT</w:t>
            </w:r>
          </w:p>
        </w:tc>
        <w:tc>
          <w:tcPr>
            <w:tcW w:w="963" w:type="dxa"/>
            <w:tcBorders>
              <w:top w:val="nil"/>
              <w:left w:val="nil"/>
              <w:bottom w:val="nil"/>
              <w:right w:val="nil"/>
            </w:tcBorders>
            <w:shd w:val="clear" w:color="auto" w:fill="auto"/>
            <w:noWrap/>
            <w:vAlign w:val="bottom"/>
            <w:hideMark/>
          </w:tcPr>
          <w:p w14:paraId="21EF6301"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1.521</w:t>
            </w:r>
          </w:p>
        </w:tc>
        <w:tc>
          <w:tcPr>
            <w:tcW w:w="963" w:type="dxa"/>
            <w:tcBorders>
              <w:top w:val="nil"/>
              <w:left w:val="nil"/>
              <w:bottom w:val="nil"/>
              <w:right w:val="nil"/>
            </w:tcBorders>
            <w:shd w:val="clear" w:color="auto" w:fill="auto"/>
            <w:noWrap/>
            <w:vAlign w:val="bottom"/>
            <w:hideMark/>
          </w:tcPr>
          <w:p w14:paraId="77B5DBDA"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-1.653</w:t>
            </w:r>
          </w:p>
        </w:tc>
        <w:tc>
          <w:tcPr>
            <w:tcW w:w="963" w:type="dxa"/>
            <w:tcBorders>
              <w:top w:val="nil"/>
              <w:left w:val="nil"/>
              <w:bottom w:val="nil"/>
              <w:right w:val="nil"/>
            </w:tcBorders>
            <w:shd w:val="clear" w:color="auto" w:fill="auto"/>
            <w:noWrap/>
            <w:vAlign w:val="bottom"/>
            <w:hideMark/>
          </w:tcPr>
          <w:p w14:paraId="16C026C5"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1.242</w:t>
            </w:r>
          </w:p>
        </w:tc>
        <w:tc>
          <w:tcPr>
            <w:tcW w:w="963" w:type="dxa"/>
            <w:tcBorders>
              <w:top w:val="nil"/>
              <w:left w:val="nil"/>
              <w:bottom w:val="nil"/>
              <w:right w:val="nil"/>
            </w:tcBorders>
            <w:shd w:val="clear" w:color="auto" w:fill="auto"/>
            <w:noWrap/>
            <w:vAlign w:val="bottom"/>
            <w:hideMark/>
          </w:tcPr>
          <w:p w14:paraId="649C0EAF"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2.757</w:t>
            </w:r>
          </w:p>
        </w:tc>
        <w:tc>
          <w:tcPr>
            <w:tcW w:w="963" w:type="dxa"/>
            <w:tcBorders>
              <w:top w:val="nil"/>
              <w:left w:val="nil"/>
              <w:bottom w:val="nil"/>
              <w:right w:val="nil"/>
            </w:tcBorders>
            <w:shd w:val="clear" w:color="auto" w:fill="auto"/>
            <w:noWrap/>
            <w:vAlign w:val="bottom"/>
            <w:hideMark/>
          </w:tcPr>
          <w:p w14:paraId="51EC357A"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-1.584</w:t>
            </w:r>
          </w:p>
        </w:tc>
        <w:tc>
          <w:tcPr>
            <w:tcW w:w="963" w:type="dxa"/>
            <w:tcBorders>
              <w:top w:val="nil"/>
              <w:left w:val="nil"/>
              <w:bottom w:val="nil"/>
              <w:right w:val="nil"/>
            </w:tcBorders>
            <w:shd w:val="clear" w:color="auto" w:fill="auto"/>
            <w:noWrap/>
            <w:vAlign w:val="bottom"/>
            <w:hideMark/>
          </w:tcPr>
          <w:p w14:paraId="6DCC645B"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2.862</w:t>
            </w:r>
          </w:p>
        </w:tc>
        <w:tc>
          <w:tcPr>
            <w:tcW w:w="895" w:type="dxa"/>
            <w:tcBorders>
              <w:top w:val="nil"/>
              <w:left w:val="nil"/>
              <w:bottom w:val="nil"/>
              <w:right w:val="nil"/>
            </w:tcBorders>
            <w:shd w:val="clear" w:color="auto" w:fill="auto"/>
            <w:noWrap/>
            <w:vAlign w:val="bottom"/>
            <w:hideMark/>
          </w:tcPr>
          <w:p w14:paraId="5532EB7F"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3.902</w:t>
            </w:r>
          </w:p>
        </w:tc>
        <w:tc>
          <w:tcPr>
            <w:tcW w:w="993" w:type="dxa"/>
            <w:tcBorders>
              <w:top w:val="nil"/>
              <w:left w:val="nil"/>
              <w:bottom w:val="nil"/>
              <w:right w:val="nil"/>
            </w:tcBorders>
            <w:shd w:val="clear" w:color="auto" w:fill="auto"/>
            <w:noWrap/>
            <w:vAlign w:val="bottom"/>
            <w:hideMark/>
          </w:tcPr>
          <w:p w14:paraId="1D814B51"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-1.918</w:t>
            </w:r>
          </w:p>
        </w:tc>
        <w:tc>
          <w:tcPr>
            <w:tcW w:w="1000" w:type="dxa"/>
            <w:tcBorders>
              <w:top w:val="nil"/>
              <w:left w:val="nil"/>
              <w:bottom w:val="nil"/>
              <w:right w:val="single" w:sz="4" w:space="0" w:color="auto"/>
            </w:tcBorders>
            <w:shd w:val="clear" w:color="auto" w:fill="auto"/>
            <w:noWrap/>
            <w:vAlign w:val="bottom"/>
            <w:hideMark/>
          </w:tcPr>
          <w:p w14:paraId="043336A6"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0.286</w:t>
            </w:r>
          </w:p>
        </w:tc>
      </w:tr>
      <w:tr w:rsidR="00ED02A4" w:rsidRPr="00570794" w14:paraId="4D8BF1B4"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71A80C76"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56F309B8"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0.036</w:t>
            </w:r>
          </w:p>
        </w:tc>
        <w:tc>
          <w:tcPr>
            <w:tcW w:w="963" w:type="dxa"/>
            <w:tcBorders>
              <w:top w:val="nil"/>
              <w:left w:val="nil"/>
              <w:bottom w:val="nil"/>
              <w:right w:val="nil"/>
            </w:tcBorders>
            <w:shd w:val="clear" w:color="auto" w:fill="auto"/>
            <w:noWrap/>
            <w:vAlign w:val="bottom"/>
            <w:hideMark/>
          </w:tcPr>
          <w:p w14:paraId="44C8C59D"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0.012</w:t>
            </w:r>
          </w:p>
        </w:tc>
        <w:tc>
          <w:tcPr>
            <w:tcW w:w="963" w:type="dxa"/>
            <w:tcBorders>
              <w:top w:val="nil"/>
              <w:left w:val="nil"/>
              <w:bottom w:val="nil"/>
              <w:right w:val="nil"/>
            </w:tcBorders>
            <w:shd w:val="clear" w:color="auto" w:fill="auto"/>
            <w:noWrap/>
            <w:vAlign w:val="bottom"/>
            <w:hideMark/>
          </w:tcPr>
          <w:p w14:paraId="6551F5D8"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0.224</w:t>
            </w:r>
          </w:p>
        </w:tc>
        <w:tc>
          <w:tcPr>
            <w:tcW w:w="963" w:type="dxa"/>
            <w:tcBorders>
              <w:top w:val="nil"/>
              <w:left w:val="nil"/>
              <w:bottom w:val="nil"/>
              <w:right w:val="nil"/>
            </w:tcBorders>
            <w:shd w:val="clear" w:color="auto" w:fill="auto"/>
            <w:noWrap/>
            <w:vAlign w:val="bottom"/>
            <w:hideMark/>
          </w:tcPr>
          <w:p w14:paraId="14514932"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0.007</w:t>
            </w:r>
          </w:p>
        </w:tc>
        <w:tc>
          <w:tcPr>
            <w:tcW w:w="963" w:type="dxa"/>
            <w:tcBorders>
              <w:top w:val="nil"/>
              <w:left w:val="nil"/>
              <w:bottom w:val="nil"/>
              <w:right w:val="nil"/>
            </w:tcBorders>
            <w:shd w:val="clear" w:color="auto" w:fill="auto"/>
            <w:noWrap/>
            <w:vAlign w:val="bottom"/>
            <w:hideMark/>
          </w:tcPr>
          <w:p w14:paraId="0D71C1F5"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0.018</w:t>
            </w:r>
          </w:p>
        </w:tc>
        <w:tc>
          <w:tcPr>
            <w:tcW w:w="963" w:type="dxa"/>
            <w:tcBorders>
              <w:top w:val="nil"/>
              <w:left w:val="nil"/>
              <w:bottom w:val="nil"/>
              <w:right w:val="nil"/>
            </w:tcBorders>
            <w:shd w:val="clear" w:color="auto" w:fill="auto"/>
            <w:noWrap/>
            <w:vAlign w:val="bottom"/>
            <w:hideMark/>
          </w:tcPr>
          <w:p w14:paraId="602A8FB8"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0.106</w:t>
            </w:r>
          </w:p>
        </w:tc>
        <w:tc>
          <w:tcPr>
            <w:tcW w:w="895" w:type="dxa"/>
            <w:tcBorders>
              <w:top w:val="nil"/>
              <w:left w:val="nil"/>
              <w:bottom w:val="nil"/>
              <w:right w:val="nil"/>
            </w:tcBorders>
            <w:shd w:val="clear" w:color="auto" w:fill="auto"/>
            <w:noWrap/>
            <w:vAlign w:val="bottom"/>
            <w:hideMark/>
          </w:tcPr>
          <w:p w14:paraId="5BD87D21"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0.014</w:t>
            </w:r>
          </w:p>
        </w:tc>
        <w:tc>
          <w:tcPr>
            <w:tcW w:w="993" w:type="dxa"/>
            <w:tcBorders>
              <w:top w:val="nil"/>
              <w:left w:val="nil"/>
              <w:bottom w:val="nil"/>
              <w:right w:val="nil"/>
            </w:tcBorders>
            <w:shd w:val="clear" w:color="auto" w:fill="auto"/>
            <w:noWrap/>
            <w:vAlign w:val="bottom"/>
            <w:hideMark/>
          </w:tcPr>
          <w:p w14:paraId="1B453B6C"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0.021</w:t>
            </w:r>
          </w:p>
        </w:tc>
        <w:tc>
          <w:tcPr>
            <w:tcW w:w="1000" w:type="dxa"/>
            <w:tcBorders>
              <w:top w:val="nil"/>
              <w:left w:val="nil"/>
              <w:bottom w:val="nil"/>
              <w:right w:val="single" w:sz="4" w:space="0" w:color="auto"/>
            </w:tcBorders>
            <w:shd w:val="clear" w:color="auto" w:fill="auto"/>
            <w:noWrap/>
            <w:vAlign w:val="bottom"/>
            <w:hideMark/>
          </w:tcPr>
          <w:p w14:paraId="4A056F4E"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0.858</w:t>
            </w:r>
          </w:p>
        </w:tc>
      </w:tr>
      <w:tr w:rsidR="00ED02A4" w:rsidRPr="00570794" w14:paraId="782B5314"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0CC47596"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FEDFUNDS</w:t>
            </w:r>
          </w:p>
        </w:tc>
        <w:tc>
          <w:tcPr>
            <w:tcW w:w="963" w:type="dxa"/>
            <w:tcBorders>
              <w:top w:val="nil"/>
              <w:left w:val="nil"/>
              <w:bottom w:val="nil"/>
              <w:right w:val="nil"/>
            </w:tcBorders>
            <w:shd w:val="clear" w:color="auto" w:fill="auto"/>
            <w:noWrap/>
            <w:vAlign w:val="bottom"/>
            <w:hideMark/>
          </w:tcPr>
          <w:p w14:paraId="67DFC43F"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2.803</w:t>
            </w:r>
          </w:p>
        </w:tc>
        <w:tc>
          <w:tcPr>
            <w:tcW w:w="963" w:type="dxa"/>
            <w:tcBorders>
              <w:top w:val="nil"/>
              <w:left w:val="nil"/>
              <w:bottom w:val="nil"/>
              <w:right w:val="nil"/>
            </w:tcBorders>
            <w:shd w:val="clear" w:color="auto" w:fill="auto"/>
            <w:noWrap/>
            <w:vAlign w:val="bottom"/>
            <w:hideMark/>
          </w:tcPr>
          <w:p w14:paraId="0E788D0A"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4.211</w:t>
            </w:r>
          </w:p>
        </w:tc>
        <w:tc>
          <w:tcPr>
            <w:tcW w:w="963" w:type="dxa"/>
            <w:tcBorders>
              <w:top w:val="nil"/>
              <w:left w:val="nil"/>
              <w:bottom w:val="nil"/>
              <w:right w:val="nil"/>
            </w:tcBorders>
            <w:shd w:val="clear" w:color="auto" w:fill="auto"/>
            <w:noWrap/>
            <w:vAlign w:val="bottom"/>
            <w:hideMark/>
          </w:tcPr>
          <w:p w14:paraId="41C77E8B"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3.042</w:t>
            </w:r>
          </w:p>
        </w:tc>
        <w:tc>
          <w:tcPr>
            <w:tcW w:w="963" w:type="dxa"/>
            <w:tcBorders>
              <w:top w:val="nil"/>
              <w:left w:val="nil"/>
              <w:bottom w:val="nil"/>
              <w:right w:val="nil"/>
            </w:tcBorders>
            <w:shd w:val="clear" w:color="auto" w:fill="auto"/>
            <w:noWrap/>
            <w:vAlign w:val="bottom"/>
            <w:hideMark/>
          </w:tcPr>
          <w:p w14:paraId="1D4E6008"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-1.369</w:t>
            </w:r>
          </w:p>
        </w:tc>
        <w:tc>
          <w:tcPr>
            <w:tcW w:w="963" w:type="dxa"/>
            <w:tcBorders>
              <w:top w:val="nil"/>
              <w:left w:val="nil"/>
              <w:bottom w:val="nil"/>
              <w:right w:val="nil"/>
            </w:tcBorders>
            <w:shd w:val="clear" w:color="auto" w:fill="auto"/>
            <w:noWrap/>
            <w:vAlign w:val="bottom"/>
            <w:hideMark/>
          </w:tcPr>
          <w:p w14:paraId="62C6DBF6"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3.009</w:t>
            </w:r>
          </w:p>
        </w:tc>
        <w:tc>
          <w:tcPr>
            <w:tcW w:w="963" w:type="dxa"/>
            <w:tcBorders>
              <w:top w:val="nil"/>
              <w:left w:val="nil"/>
              <w:bottom w:val="nil"/>
              <w:right w:val="nil"/>
            </w:tcBorders>
            <w:shd w:val="clear" w:color="auto" w:fill="auto"/>
            <w:noWrap/>
            <w:vAlign w:val="bottom"/>
            <w:hideMark/>
          </w:tcPr>
          <w:p w14:paraId="01F14A08"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-3.143</w:t>
            </w:r>
          </w:p>
        </w:tc>
        <w:tc>
          <w:tcPr>
            <w:tcW w:w="895" w:type="dxa"/>
            <w:tcBorders>
              <w:top w:val="nil"/>
              <w:left w:val="nil"/>
              <w:bottom w:val="nil"/>
              <w:right w:val="nil"/>
            </w:tcBorders>
            <w:shd w:val="clear" w:color="auto" w:fill="auto"/>
            <w:noWrap/>
            <w:vAlign w:val="bottom"/>
            <w:hideMark/>
          </w:tcPr>
          <w:p w14:paraId="20B1CA55"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-0.027</w:t>
            </w:r>
          </w:p>
        </w:tc>
        <w:tc>
          <w:tcPr>
            <w:tcW w:w="993" w:type="dxa"/>
            <w:tcBorders>
              <w:top w:val="nil"/>
              <w:left w:val="nil"/>
              <w:bottom w:val="nil"/>
              <w:right w:val="nil"/>
            </w:tcBorders>
            <w:shd w:val="clear" w:color="auto" w:fill="auto"/>
            <w:noWrap/>
            <w:vAlign w:val="bottom"/>
            <w:hideMark/>
          </w:tcPr>
          <w:p w14:paraId="5FABE5E9"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3.103</w:t>
            </w:r>
          </w:p>
        </w:tc>
        <w:tc>
          <w:tcPr>
            <w:tcW w:w="1000" w:type="dxa"/>
            <w:tcBorders>
              <w:top w:val="nil"/>
              <w:left w:val="nil"/>
              <w:bottom w:val="nil"/>
              <w:right w:val="single" w:sz="4" w:space="0" w:color="auto"/>
            </w:tcBorders>
            <w:shd w:val="clear" w:color="auto" w:fill="auto"/>
            <w:noWrap/>
            <w:vAlign w:val="bottom"/>
            <w:hideMark/>
          </w:tcPr>
          <w:p w14:paraId="60A013FA"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0.225</w:t>
            </w:r>
          </w:p>
        </w:tc>
      </w:tr>
      <w:tr w:rsidR="00ED02A4" w:rsidRPr="00570794" w14:paraId="28BD5C0E"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311F30BC"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149D698D"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75E7041C"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3A95A7B9"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0.001</w:t>
            </w:r>
          </w:p>
        </w:tc>
        <w:tc>
          <w:tcPr>
            <w:tcW w:w="963" w:type="dxa"/>
            <w:tcBorders>
              <w:top w:val="nil"/>
              <w:left w:val="nil"/>
              <w:bottom w:val="nil"/>
              <w:right w:val="nil"/>
            </w:tcBorders>
            <w:shd w:val="clear" w:color="auto" w:fill="auto"/>
            <w:noWrap/>
            <w:vAlign w:val="bottom"/>
            <w:hideMark/>
          </w:tcPr>
          <w:p w14:paraId="1A50404C"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0.013</w:t>
            </w:r>
          </w:p>
        </w:tc>
        <w:tc>
          <w:tcPr>
            <w:tcW w:w="963" w:type="dxa"/>
            <w:tcBorders>
              <w:top w:val="nil"/>
              <w:left w:val="nil"/>
              <w:bottom w:val="nil"/>
              <w:right w:val="nil"/>
            </w:tcBorders>
            <w:shd w:val="clear" w:color="auto" w:fill="auto"/>
            <w:noWrap/>
            <w:vAlign w:val="bottom"/>
            <w:hideMark/>
          </w:tcPr>
          <w:p w14:paraId="13BF6028"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2FD88904"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0.057</w:t>
            </w:r>
          </w:p>
        </w:tc>
        <w:tc>
          <w:tcPr>
            <w:tcW w:w="895" w:type="dxa"/>
            <w:tcBorders>
              <w:top w:val="nil"/>
              <w:left w:val="nil"/>
              <w:bottom w:val="nil"/>
              <w:right w:val="nil"/>
            </w:tcBorders>
            <w:shd w:val="clear" w:color="auto" w:fill="auto"/>
            <w:noWrap/>
            <w:vAlign w:val="bottom"/>
            <w:hideMark/>
          </w:tcPr>
          <w:p w14:paraId="210D37EB"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0.974</w:t>
            </w:r>
          </w:p>
        </w:tc>
        <w:tc>
          <w:tcPr>
            <w:tcW w:w="993" w:type="dxa"/>
            <w:tcBorders>
              <w:top w:val="nil"/>
              <w:left w:val="nil"/>
              <w:bottom w:val="nil"/>
              <w:right w:val="nil"/>
            </w:tcBorders>
            <w:shd w:val="clear" w:color="auto" w:fill="auto"/>
            <w:noWrap/>
            <w:vAlign w:val="bottom"/>
            <w:hideMark/>
          </w:tcPr>
          <w:p w14:paraId="13270791"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1000" w:type="dxa"/>
            <w:tcBorders>
              <w:top w:val="nil"/>
              <w:left w:val="nil"/>
              <w:bottom w:val="nil"/>
              <w:right w:val="single" w:sz="4" w:space="0" w:color="auto"/>
            </w:tcBorders>
            <w:shd w:val="clear" w:color="auto" w:fill="auto"/>
            <w:noWrap/>
            <w:vAlign w:val="bottom"/>
            <w:hideMark/>
          </w:tcPr>
          <w:p w14:paraId="5B5A0D4E"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0.833</w:t>
            </w:r>
          </w:p>
        </w:tc>
      </w:tr>
      <w:tr w:rsidR="00ED02A4" w:rsidRPr="00570794" w14:paraId="2D418530"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03813C16"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Euro</w:t>
            </w:r>
          </w:p>
        </w:tc>
        <w:tc>
          <w:tcPr>
            <w:tcW w:w="963" w:type="dxa"/>
            <w:tcBorders>
              <w:top w:val="nil"/>
              <w:left w:val="nil"/>
              <w:bottom w:val="nil"/>
              <w:right w:val="nil"/>
            </w:tcBorders>
            <w:shd w:val="clear" w:color="auto" w:fill="auto"/>
            <w:noWrap/>
            <w:vAlign w:val="bottom"/>
            <w:hideMark/>
          </w:tcPr>
          <w:p w14:paraId="0FEAD7E9"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-25.074</w:t>
            </w:r>
          </w:p>
        </w:tc>
        <w:tc>
          <w:tcPr>
            <w:tcW w:w="963" w:type="dxa"/>
            <w:tcBorders>
              <w:top w:val="nil"/>
              <w:left w:val="nil"/>
              <w:bottom w:val="nil"/>
              <w:right w:val="nil"/>
            </w:tcBorders>
            <w:shd w:val="clear" w:color="auto" w:fill="auto"/>
            <w:noWrap/>
            <w:vAlign w:val="bottom"/>
            <w:hideMark/>
          </w:tcPr>
          <w:p w14:paraId="3F69B6CC"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-31.221</w:t>
            </w:r>
          </w:p>
        </w:tc>
        <w:tc>
          <w:tcPr>
            <w:tcW w:w="963" w:type="dxa"/>
            <w:tcBorders>
              <w:top w:val="nil"/>
              <w:left w:val="nil"/>
              <w:bottom w:val="nil"/>
              <w:right w:val="nil"/>
            </w:tcBorders>
            <w:shd w:val="clear" w:color="auto" w:fill="auto"/>
            <w:noWrap/>
            <w:vAlign w:val="bottom"/>
            <w:hideMark/>
          </w:tcPr>
          <w:p w14:paraId="55968FF1"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-37.902</w:t>
            </w:r>
          </w:p>
        </w:tc>
        <w:tc>
          <w:tcPr>
            <w:tcW w:w="963" w:type="dxa"/>
            <w:tcBorders>
              <w:top w:val="nil"/>
              <w:left w:val="nil"/>
              <w:bottom w:val="nil"/>
              <w:right w:val="nil"/>
            </w:tcBorders>
            <w:shd w:val="clear" w:color="auto" w:fill="auto"/>
            <w:noWrap/>
            <w:vAlign w:val="bottom"/>
            <w:hideMark/>
          </w:tcPr>
          <w:p w14:paraId="0C1CF69B"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-10.964</w:t>
            </w:r>
          </w:p>
        </w:tc>
        <w:tc>
          <w:tcPr>
            <w:tcW w:w="963" w:type="dxa"/>
            <w:tcBorders>
              <w:top w:val="nil"/>
              <w:left w:val="nil"/>
              <w:bottom w:val="nil"/>
              <w:right w:val="nil"/>
            </w:tcBorders>
            <w:shd w:val="clear" w:color="auto" w:fill="auto"/>
            <w:noWrap/>
            <w:vAlign w:val="bottom"/>
            <w:hideMark/>
          </w:tcPr>
          <w:p w14:paraId="4E2D5AEB"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-26.939</w:t>
            </w:r>
          </w:p>
        </w:tc>
        <w:tc>
          <w:tcPr>
            <w:tcW w:w="963" w:type="dxa"/>
            <w:tcBorders>
              <w:top w:val="nil"/>
              <w:left w:val="nil"/>
              <w:bottom w:val="nil"/>
              <w:right w:val="nil"/>
            </w:tcBorders>
            <w:shd w:val="clear" w:color="auto" w:fill="auto"/>
            <w:noWrap/>
            <w:vAlign w:val="bottom"/>
            <w:hideMark/>
          </w:tcPr>
          <w:p w14:paraId="3D05D591"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-22.683</w:t>
            </w:r>
          </w:p>
        </w:tc>
        <w:tc>
          <w:tcPr>
            <w:tcW w:w="895" w:type="dxa"/>
            <w:tcBorders>
              <w:top w:val="nil"/>
              <w:left w:val="nil"/>
              <w:bottom w:val="nil"/>
              <w:right w:val="nil"/>
            </w:tcBorders>
            <w:shd w:val="clear" w:color="auto" w:fill="auto"/>
            <w:noWrap/>
            <w:vAlign w:val="bottom"/>
            <w:hideMark/>
          </w:tcPr>
          <w:p w14:paraId="23DF009B"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-7.247</w:t>
            </w:r>
          </w:p>
        </w:tc>
        <w:tc>
          <w:tcPr>
            <w:tcW w:w="993" w:type="dxa"/>
            <w:tcBorders>
              <w:top w:val="nil"/>
              <w:left w:val="nil"/>
              <w:bottom w:val="nil"/>
              <w:right w:val="nil"/>
            </w:tcBorders>
            <w:shd w:val="clear" w:color="auto" w:fill="auto"/>
            <w:noWrap/>
            <w:vAlign w:val="bottom"/>
            <w:hideMark/>
          </w:tcPr>
          <w:p w14:paraId="3D27077C"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-23.213</w:t>
            </w:r>
          </w:p>
        </w:tc>
        <w:tc>
          <w:tcPr>
            <w:tcW w:w="1000" w:type="dxa"/>
            <w:tcBorders>
              <w:top w:val="nil"/>
              <w:left w:val="nil"/>
              <w:bottom w:val="nil"/>
              <w:right w:val="single" w:sz="4" w:space="0" w:color="auto"/>
            </w:tcBorders>
            <w:shd w:val="clear" w:color="auto" w:fill="auto"/>
            <w:noWrap/>
            <w:vAlign w:val="bottom"/>
            <w:hideMark/>
          </w:tcPr>
          <w:p w14:paraId="1D56FD56"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-20.734</w:t>
            </w:r>
          </w:p>
        </w:tc>
      </w:tr>
      <w:tr w:rsidR="00ED02A4" w:rsidRPr="00570794" w14:paraId="6B025966"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459F5E13"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0DE8DE5D"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39A758FF"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640E05DA"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09036686"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0.002</w:t>
            </w:r>
          </w:p>
        </w:tc>
        <w:tc>
          <w:tcPr>
            <w:tcW w:w="963" w:type="dxa"/>
            <w:tcBorders>
              <w:top w:val="nil"/>
              <w:left w:val="nil"/>
              <w:bottom w:val="nil"/>
              <w:right w:val="nil"/>
            </w:tcBorders>
            <w:shd w:val="clear" w:color="auto" w:fill="auto"/>
            <w:noWrap/>
            <w:vAlign w:val="bottom"/>
            <w:hideMark/>
          </w:tcPr>
          <w:p w14:paraId="6280CC7D"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0231BEE4"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0.001</w:t>
            </w:r>
          </w:p>
        </w:tc>
        <w:tc>
          <w:tcPr>
            <w:tcW w:w="895" w:type="dxa"/>
            <w:tcBorders>
              <w:top w:val="nil"/>
              <w:left w:val="nil"/>
              <w:bottom w:val="nil"/>
              <w:right w:val="nil"/>
            </w:tcBorders>
            <w:shd w:val="clear" w:color="auto" w:fill="auto"/>
            <w:noWrap/>
            <w:vAlign w:val="bottom"/>
            <w:hideMark/>
          </w:tcPr>
          <w:p w14:paraId="4974DE62"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0.205</w:t>
            </w:r>
          </w:p>
        </w:tc>
        <w:tc>
          <w:tcPr>
            <w:tcW w:w="993" w:type="dxa"/>
            <w:tcBorders>
              <w:top w:val="nil"/>
              <w:left w:val="nil"/>
              <w:bottom w:val="nil"/>
              <w:right w:val="nil"/>
            </w:tcBorders>
            <w:shd w:val="clear" w:color="auto" w:fill="auto"/>
            <w:noWrap/>
            <w:vAlign w:val="bottom"/>
            <w:hideMark/>
          </w:tcPr>
          <w:p w14:paraId="2384403B"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1000" w:type="dxa"/>
            <w:tcBorders>
              <w:top w:val="nil"/>
              <w:left w:val="nil"/>
              <w:bottom w:val="nil"/>
              <w:right w:val="single" w:sz="4" w:space="0" w:color="auto"/>
            </w:tcBorders>
            <w:shd w:val="clear" w:color="auto" w:fill="auto"/>
            <w:noWrap/>
            <w:vAlign w:val="bottom"/>
            <w:hideMark/>
          </w:tcPr>
          <w:p w14:paraId="23A0CDC2"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0.001</w:t>
            </w:r>
          </w:p>
        </w:tc>
      </w:tr>
      <w:tr w:rsidR="00ED02A4" w:rsidRPr="00570794" w14:paraId="2C93F617"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542C9AA9"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ECONOMIC</w:t>
            </w:r>
          </w:p>
        </w:tc>
        <w:tc>
          <w:tcPr>
            <w:tcW w:w="963" w:type="dxa"/>
            <w:tcBorders>
              <w:top w:val="nil"/>
              <w:left w:val="nil"/>
              <w:bottom w:val="nil"/>
              <w:right w:val="nil"/>
            </w:tcBorders>
            <w:shd w:val="clear" w:color="auto" w:fill="auto"/>
            <w:noWrap/>
            <w:vAlign w:val="bottom"/>
            <w:hideMark/>
          </w:tcPr>
          <w:p w14:paraId="4E3621EE"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-1.309</w:t>
            </w:r>
          </w:p>
        </w:tc>
        <w:tc>
          <w:tcPr>
            <w:tcW w:w="963" w:type="dxa"/>
            <w:tcBorders>
              <w:top w:val="nil"/>
              <w:left w:val="nil"/>
              <w:bottom w:val="nil"/>
              <w:right w:val="nil"/>
            </w:tcBorders>
            <w:shd w:val="clear" w:color="auto" w:fill="auto"/>
            <w:noWrap/>
            <w:vAlign w:val="bottom"/>
            <w:hideMark/>
          </w:tcPr>
          <w:p w14:paraId="0DC08DD1"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-0.370</w:t>
            </w:r>
          </w:p>
        </w:tc>
        <w:tc>
          <w:tcPr>
            <w:tcW w:w="963" w:type="dxa"/>
            <w:tcBorders>
              <w:top w:val="nil"/>
              <w:left w:val="nil"/>
              <w:bottom w:val="nil"/>
              <w:right w:val="nil"/>
            </w:tcBorders>
            <w:shd w:val="clear" w:color="auto" w:fill="auto"/>
            <w:noWrap/>
            <w:vAlign w:val="bottom"/>
            <w:hideMark/>
          </w:tcPr>
          <w:p w14:paraId="2F0D430C"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-0.530</w:t>
            </w:r>
          </w:p>
        </w:tc>
        <w:tc>
          <w:tcPr>
            <w:tcW w:w="963" w:type="dxa"/>
            <w:tcBorders>
              <w:top w:val="nil"/>
              <w:left w:val="nil"/>
              <w:bottom w:val="nil"/>
              <w:right w:val="nil"/>
            </w:tcBorders>
            <w:shd w:val="clear" w:color="auto" w:fill="auto"/>
            <w:noWrap/>
            <w:vAlign w:val="bottom"/>
            <w:hideMark/>
          </w:tcPr>
          <w:p w14:paraId="2AD1FF13"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-0.130</w:t>
            </w:r>
          </w:p>
        </w:tc>
        <w:tc>
          <w:tcPr>
            <w:tcW w:w="963" w:type="dxa"/>
            <w:tcBorders>
              <w:top w:val="nil"/>
              <w:left w:val="nil"/>
              <w:bottom w:val="nil"/>
              <w:right w:val="nil"/>
            </w:tcBorders>
            <w:shd w:val="clear" w:color="auto" w:fill="auto"/>
            <w:noWrap/>
            <w:vAlign w:val="bottom"/>
            <w:hideMark/>
          </w:tcPr>
          <w:p w14:paraId="55333BF7"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0.038</w:t>
            </w:r>
          </w:p>
        </w:tc>
        <w:tc>
          <w:tcPr>
            <w:tcW w:w="963" w:type="dxa"/>
            <w:tcBorders>
              <w:top w:val="nil"/>
              <w:left w:val="nil"/>
              <w:bottom w:val="nil"/>
              <w:right w:val="nil"/>
            </w:tcBorders>
            <w:shd w:val="clear" w:color="auto" w:fill="auto"/>
            <w:noWrap/>
            <w:vAlign w:val="bottom"/>
            <w:hideMark/>
          </w:tcPr>
          <w:p w14:paraId="2990582F"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1.350</w:t>
            </w:r>
          </w:p>
        </w:tc>
        <w:tc>
          <w:tcPr>
            <w:tcW w:w="895" w:type="dxa"/>
            <w:tcBorders>
              <w:top w:val="nil"/>
              <w:left w:val="nil"/>
              <w:bottom w:val="nil"/>
              <w:right w:val="nil"/>
            </w:tcBorders>
            <w:shd w:val="clear" w:color="auto" w:fill="auto"/>
            <w:noWrap/>
            <w:vAlign w:val="bottom"/>
            <w:hideMark/>
          </w:tcPr>
          <w:p w14:paraId="2193DAAB"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-0.165</w:t>
            </w:r>
          </w:p>
        </w:tc>
        <w:tc>
          <w:tcPr>
            <w:tcW w:w="993" w:type="dxa"/>
            <w:tcBorders>
              <w:top w:val="nil"/>
              <w:left w:val="nil"/>
              <w:bottom w:val="nil"/>
              <w:right w:val="nil"/>
            </w:tcBorders>
            <w:shd w:val="clear" w:color="auto" w:fill="auto"/>
            <w:noWrap/>
            <w:vAlign w:val="bottom"/>
            <w:hideMark/>
          </w:tcPr>
          <w:p w14:paraId="4038928F"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0.144</w:t>
            </w:r>
          </w:p>
        </w:tc>
        <w:tc>
          <w:tcPr>
            <w:tcW w:w="1000" w:type="dxa"/>
            <w:tcBorders>
              <w:top w:val="nil"/>
              <w:left w:val="nil"/>
              <w:bottom w:val="nil"/>
              <w:right w:val="single" w:sz="4" w:space="0" w:color="auto"/>
            </w:tcBorders>
            <w:shd w:val="clear" w:color="auto" w:fill="auto"/>
            <w:noWrap/>
            <w:vAlign w:val="bottom"/>
            <w:hideMark/>
          </w:tcPr>
          <w:p w14:paraId="555B59E1"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1.179</w:t>
            </w:r>
          </w:p>
        </w:tc>
      </w:tr>
      <w:tr w:rsidR="00ED02A4" w:rsidRPr="00570794" w14:paraId="11EBB39F"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435492AB"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1E8B7A72"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67E53676"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0.085</w:t>
            </w:r>
          </w:p>
        </w:tc>
        <w:tc>
          <w:tcPr>
            <w:tcW w:w="963" w:type="dxa"/>
            <w:tcBorders>
              <w:top w:val="nil"/>
              <w:left w:val="nil"/>
              <w:bottom w:val="nil"/>
              <w:right w:val="nil"/>
            </w:tcBorders>
            <w:shd w:val="clear" w:color="auto" w:fill="auto"/>
            <w:noWrap/>
            <w:vAlign w:val="bottom"/>
            <w:hideMark/>
          </w:tcPr>
          <w:p w14:paraId="5F673EE8"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0.304</w:t>
            </w:r>
          </w:p>
        </w:tc>
        <w:tc>
          <w:tcPr>
            <w:tcW w:w="963" w:type="dxa"/>
            <w:tcBorders>
              <w:top w:val="nil"/>
              <w:left w:val="nil"/>
              <w:bottom w:val="nil"/>
              <w:right w:val="nil"/>
            </w:tcBorders>
            <w:shd w:val="clear" w:color="auto" w:fill="auto"/>
            <w:noWrap/>
            <w:vAlign w:val="bottom"/>
            <w:hideMark/>
          </w:tcPr>
          <w:p w14:paraId="16E535A8"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0.542</w:t>
            </w:r>
          </w:p>
        </w:tc>
        <w:tc>
          <w:tcPr>
            <w:tcW w:w="963" w:type="dxa"/>
            <w:tcBorders>
              <w:top w:val="nil"/>
              <w:left w:val="nil"/>
              <w:bottom w:val="nil"/>
              <w:right w:val="nil"/>
            </w:tcBorders>
            <w:shd w:val="clear" w:color="auto" w:fill="auto"/>
            <w:noWrap/>
            <w:vAlign w:val="bottom"/>
            <w:hideMark/>
          </w:tcPr>
          <w:p w14:paraId="72482CAB"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0.905</w:t>
            </w:r>
          </w:p>
        </w:tc>
        <w:tc>
          <w:tcPr>
            <w:tcW w:w="963" w:type="dxa"/>
            <w:tcBorders>
              <w:top w:val="nil"/>
              <w:left w:val="nil"/>
              <w:bottom w:val="nil"/>
              <w:right w:val="nil"/>
            </w:tcBorders>
            <w:shd w:val="clear" w:color="auto" w:fill="auto"/>
            <w:noWrap/>
            <w:vAlign w:val="bottom"/>
            <w:hideMark/>
          </w:tcPr>
          <w:p w14:paraId="55E696A1"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0.069</w:t>
            </w:r>
          </w:p>
        </w:tc>
        <w:tc>
          <w:tcPr>
            <w:tcW w:w="895" w:type="dxa"/>
            <w:tcBorders>
              <w:top w:val="nil"/>
              <w:left w:val="nil"/>
              <w:bottom w:val="nil"/>
              <w:right w:val="nil"/>
            </w:tcBorders>
            <w:shd w:val="clear" w:color="auto" w:fill="auto"/>
            <w:noWrap/>
            <w:vAlign w:val="bottom"/>
            <w:hideMark/>
          </w:tcPr>
          <w:p w14:paraId="0A2D77BB"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0.609</w:t>
            </w:r>
          </w:p>
        </w:tc>
        <w:tc>
          <w:tcPr>
            <w:tcW w:w="993" w:type="dxa"/>
            <w:tcBorders>
              <w:top w:val="nil"/>
              <w:left w:val="nil"/>
              <w:bottom w:val="nil"/>
              <w:right w:val="nil"/>
            </w:tcBorders>
            <w:shd w:val="clear" w:color="auto" w:fill="auto"/>
            <w:noWrap/>
            <w:vAlign w:val="bottom"/>
            <w:hideMark/>
          </w:tcPr>
          <w:p w14:paraId="0D57013A"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0.649</w:t>
            </w:r>
          </w:p>
        </w:tc>
        <w:tc>
          <w:tcPr>
            <w:tcW w:w="1000" w:type="dxa"/>
            <w:tcBorders>
              <w:top w:val="nil"/>
              <w:left w:val="nil"/>
              <w:bottom w:val="nil"/>
              <w:right w:val="single" w:sz="4" w:space="0" w:color="auto"/>
            </w:tcBorders>
            <w:shd w:val="clear" w:color="auto" w:fill="auto"/>
            <w:noWrap/>
            <w:vAlign w:val="bottom"/>
            <w:hideMark/>
          </w:tcPr>
          <w:p w14:paraId="5DD6BBB3"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0.145</w:t>
            </w:r>
          </w:p>
        </w:tc>
      </w:tr>
      <w:tr w:rsidR="00ED02A4" w:rsidRPr="00570794" w14:paraId="7B1C0048"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1A569C54"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FINANCIAL</w:t>
            </w:r>
          </w:p>
        </w:tc>
        <w:tc>
          <w:tcPr>
            <w:tcW w:w="963" w:type="dxa"/>
            <w:tcBorders>
              <w:top w:val="nil"/>
              <w:left w:val="nil"/>
              <w:bottom w:val="nil"/>
              <w:right w:val="nil"/>
            </w:tcBorders>
            <w:shd w:val="clear" w:color="auto" w:fill="auto"/>
            <w:noWrap/>
            <w:vAlign w:val="bottom"/>
            <w:hideMark/>
          </w:tcPr>
          <w:p w14:paraId="07B7F386"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0.748</w:t>
            </w:r>
          </w:p>
        </w:tc>
        <w:tc>
          <w:tcPr>
            <w:tcW w:w="963" w:type="dxa"/>
            <w:tcBorders>
              <w:top w:val="nil"/>
              <w:left w:val="nil"/>
              <w:bottom w:val="nil"/>
              <w:right w:val="nil"/>
            </w:tcBorders>
            <w:shd w:val="clear" w:color="auto" w:fill="auto"/>
            <w:noWrap/>
            <w:vAlign w:val="bottom"/>
            <w:hideMark/>
          </w:tcPr>
          <w:p w14:paraId="37060737"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-0.227</w:t>
            </w:r>
          </w:p>
        </w:tc>
        <w:tc>
          <w:tcPr>
            <w:tcW w:w="963" w:type="dxa"/>
            <w:tcBorders>
              <w:top w:val="nil"/>
              <w:left w:val="nil"/>
              <w:bottom w:val="nil"/>
              <w:right w:val="nil"/>
            </w:tcBorders>
            <w:shd w:val="clear" w:color="auto" w:fill="auto"/>
            <w:noWrap/>
            <w:vAlign w:val="bottom"/>
            <w:hideMark/>
          </w:tcPr>
          <w:p w14:paraId="7D4F90E9"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-2.087</w:t>
            </w:r>
          </w:p>
        </w:tc>
        <w:tc>
          <w:tcPr>
            <w:tcW w:w="963" w:type="dxa"/>
            <w:tcBorders>
              <w:top w:val="nil"/>
              <w:left w:val="nil"/>
              <w:bottom w:val="nil"/>
              <w:right w:val="nil"/>
            </w:tcBorders>
            <w:shd w:val="clear" w:color="auto" w:fill="auto"/>
            <w:noWrap/>
            <w:vAlign w:val="bottom"/>
            <w:hideMark/>
          </w:tcPr>
          <w:p w14:paraId="707722DE"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-0.564</w:t>
            </w:r>
          </w:p>
        </w:tc>
        <w:tc>
          <w:tcPr>
            <w:tcW w:w="963" w:type="dxa"/>
            <w:tcBorders>
              <w:top w:val="nil"/>
              <w:left w:val="nil"/>
              <w:bottom w:val="nil"/>
              <w:right w:val="nil"/>
            </w:tcBorders>
            <w:shd w:val="clear" w:color="auto" w:fill="auto"/>
            <w:noWrap/>
            <w:vAlign w:val="bottom"/>
            <w:hideMark/>
          </w:tcPr>
          <w:p w14:paraId="258191F7"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-0.482</w:t>
            </w:r>
          </w:p>
        </w:tc>
        <w:tc>
          <w:tcPr>
            <w:tcW w:w="963" w:type="dxa"/>
            <w:tcBorders>
              <w:top w:val="nil"/>
              <w:left w:val="nil"/>
              <w:bottom w:val="nil"/>
              <w:right w:val="nil"/>
            </w:tcBorders>
            <w:shd w:val="clear" w:color="auto" w:fill="auto"/>
            <w:noWrap/>
            <w:vAlign w:val="bottom"/>
            <w:hideMark/>
          </w:tcPr>
          <w:p w14:paraId="76C9792F"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-1.970</w:t>
            </w:r>
          </w:p>
        </w:tc>
        <w:tc>
          <w:tcPr>
            <w:tcW w:w="895" w:type="dxa"/>
            <w:tcBorders>
              <w:top w:val="nil"/>
              <w:left w:val="nil"/>
              <w:bottom w:val="nil"/>
              <w:right w:val="nil"/>
            </w:tcBorders>
            <w:shd w:val="clear" w:color="auto" w:fill="auto"/>
            <w:noWrap/>
            <w:vAlign w:val="bottom"/>
            <w:hideMark/>
          </w:tcPr>
          <w:p w14:paraId="2A3AF2B7"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-0.654</w:t>
            </w:r>
          </w:p>
        </w:tc>
        <w:tc>
          <w:tcPr>
            <w:tcW w:w="993" w:type="dxa"/>
            <w:tcBorders>
              <w:top w:val="nil"/>
              <w:left w:val="nil"/>
              <w:bottom w:val="nil"/>
              <w:right w:val="nil"/>
            </w:tcBorders>
            <w:shd w:val="clear" w:color="auto" w:fill="auto"/>
            <w:noWrap/>
            <w:vAlign w:val="bottom"/>
            <w:hideMark/>
          </w:tcPr>
          <w:p w14:paraId="327E2CE0"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-0.822</w:t>
            </w:r>
          </w:p>
        </w:tc>
        <w:tc>
          <w:tcPr>
            <w:tcW w:w="1000" w:type="dxa"/>
            <w:tcBorders>
              <w:top w:val="nil"/>
              <w:left w:val="nil"/>
              <w:bottom w:val="nil"/>
              <w:right w:val="single" w:sz="4" w:space="0" w:color="auto"/>
            </w:tcBorders>
            <w:shd w:val="clear" w:color="auto" w:fill="auto"/>
            <w:noWrap/>
            <w:vAlign w:val="bottom"/>
            <w:hideMark/>
          </w:tcPr>
          <w:p w14:paraId="2D8C5169"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-2.418</w:t>
            </w:r>
          </w:p>
        </w:tc>
      </w:tr>
      <w:tr w:rsidR="00ED02A4" w:rsidRPr="00570794" w14:paraId="6B62EF0E"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7C43D3DF"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51240CAB"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0.032</w:t>
            </w:r>
          </w:p>
        </w:tc>
        <w:tc>
          <w:tcPr>
            <w:tcW w:w="963" w:type="dxa"/>
            <w:tcBorders>
              <w:top w:val="nil"/>
              <w:left w:val="nil"/>
              <w:bottom w:val="nil"/>
              <w:right w:val="nil"/>
            </w:tcBorders>
            <w:shd w:val="clear" w:color="auto" w:fill="auto"/>
            <w:noWrap/>
            <w:vAlign w:val="bottom"/>
            <w:hideMark/>
          </w:tcPr>
          <w:p w14:paraId="6F06E34B"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0.562</w:t>
            </w:r>
          </w:p>
        </w:tc>
        <w:tc>
          <w:tcPr>
            <w:tcW w:w="963" w:type="dxa"/>
            <w:tcBorders>
              <w:top w:val="nil"/>
              <w:left w:val="nil"/>
              <w:bottom w:val="nil"/>
              <w:right w:val="nil"/>
            </w:tcBorders>
            <w:shd w:val="clear" w:color="auto" w:fill="auto"/>
            <w:noWrap/>
            <w:vAlign w:val="bottom"/>
            <w:hideMark/>
          </w:tcPr>
          <w:p w14:paraId="764AB904"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0.008</w:t>
            </w:r>
          </w:p>
        </w:tc>
        <w:tc>
          <w:tcPr>
            <w:tcW w:w="963" w:type="dxa"/>
            <w:tcBorders>
              <w:top w:val="nil"/>
              <w:left w:val="nil"/>
              <w:bottom w:val="nil"/>
              <w:right w:val="nil"/>
            </w:tcBorders>
            <w:shd w:val="clear" w:color="auto" w:fill="auto"/>
            <w:noWrap/>
            <w:vAlign w:val="bottom"/>
            <w:hideMark/>
          </w:tcPr>
          <w:p w14:paraId="2BA8C990"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0.104</w:t>
            </w:r>
          </w:p>
        </w:tc>
        <w:tc>
          <w:tcPr>
            <w:tcW w:w="963" w:type="dxa"/>
            <w:tcBorders>
              <w:top w:val="nil"/>
              <w:left w:val="nil"/>
              <w:bottom w:val="nil"/>
              <w:right w:val="nil"/>
            </w:tcBorders>
            <w:shd w:val="clear" w:color="auto" w:fill="auto"/>
            <w:noWrap/>
            <w:vAlign w:val="bottom"/>
            <w:hideMark/>
          </w:tcPr>
          <w:p w14:paraId="05495D93"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0.244</w:t>
            </w:r>
          </w:p>
        </w:tc>
        <w:tc>
          <w:tcPr>
            <w:tcW w:w="963" w:type="dxa"/>
            <w:tcBorders>
              <w:top w:val="nil"/>
              <w:left w:val="nil"/>
              <w:bottom w:val="nil"/>
              <w:right w:val="nil"/>
            </w:tcBorders>
            <w:shd w:val="clear" w:color="auto" w:fill="auto"/>
            <w:noWrap/>
            <w:vAlign w:val="bottom"/>
            <w:hideMark/>
          </w:tcPr>
          <w:p w14:paraId="6A979615"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0.096</w:t>
            </w:r>
          </w:p>
        </w:tc>
        <w:tc>
          <w:tcPr>
            <w:tcW w:w="895" w:type="dxa"/>
            <w:tcBorders>
              <w:top w:val="nil"/>
              <w:left w:val="nil"/>
              <w:bottom w:val="nil"/>
              <w:right w:val="nil"/>
            </w:tcBorders>
            <w:shd w:val="clear" w:color="auto" w:fill="auto"/>
            <w:noWrap/>
            <w:vAlign w:val="bottom"/>
            <w:hideMark/>
          </w:tcPr>
          <w:p w14:paraId="5465A0FC"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0.514</w:t>
            </w:r>
          </w:p>
        </w:tc>
        <w:tc>
          <w:tcPr>
            <w:tcW w:w="993" w:type="dxa"/>
            <w:tcBorders>
              <w:top w:val="nil"/>
              <w:left w:val="nil"/>
              <w:bottom w:val="nil"/>
              <w:right w:val="nil"/>
            </w:tcBorders>
            <w:shd w:val="clear" w:color="auto" w:fill="auto"/>
            <w:noWrap/>
            <w:vAlign w:val="bottom"/>
            <w:hideMark/>
          </w:tcPr>
          <w:p w14:paraId="59DDB8F7"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0.103</w:t>
            </w:r>
          </w:p>
        </w:tc>
        <w:tc>
          <w:tcPr>
            <w:tcW w:w="1000" w:type="dxa"/>
            <w:tcBorders>
              <w:top w:val="nil"/>
              <w:left w:val="nil"/>
              <w:bottom w:val="nil"/>
              <w:right w:val="single" w:sz="4" w:space="0" w:color="auto"/>
            </w:tcBorders>
            <w:shd w:val="clear" w:color="auto" w:fill="auto"/>
            <w:noWrap/>
            <w:vAlign w:val="bottom"/>
            <w:hideMark/>
          </w:tcPr>
          <w:p w14:paraId="2A0DB845"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0.002</w:t>
            </w:r>
          </w:p>
        </w:tc>
      </w:tr>
      <w:tr w:rsidR="00ED02A4" w:rsidRPr="00570794" w14:paraId="3ABF34CB"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4D79CA92"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POLITICAL</w:t>
            </w:r>
          </w:p>
        </w:tc>
        <w:tc>
          <w:tcPr>
            <w:tcW w:w="963" w:type="dxa"/>
            <w:tcBorders>
              <w:top w:val="nil"/>
              <w:left w:val="nil"/>
              <w:bottom w:val="nil"/>
              <w:right w:val="nil"/>
            </w:tcBorders>
            <w:shd w:val="clear" w:color="auto" w:fill="auto"/>
            <w:noWrap/>
            <w:vAlign w:val="bottom"/>
            <w:hideMark/>
          </w:tcPr>
          <w:p w14:paraId="545D1ED3"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-0.310</w:t>
            </w:r>
          </w:p>
        </w:tc>
        <w:tc>
          <w:tcPr>
            <w:tcW w:w="963" w:type="dxa"/>
            <w:tcBorders>
              <w:top w:val="nil"/>
              <w:left w:val="nil"/>
              <w:bottom w:val="nil"/>
              <w:right w:val="nil"/>
            </w:tcBorders>
            <w:shd w:val="clear" w:color="auto" w:fill="auto"/>
            <w:noWrap/>
            <w:vAlign w:val="bottom"/>
            <w:hideMark/>
          </w:tcPr>
          <w:p w14:paraId="1374720D"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-0.177</w:t>
            </w:r>
          </w:p>
        </w:tc>
        <w:tc>
          <w:tcPr>
            <w:tcW w:w="963" w:type="dxa"/>
            <w:tcBorders>
              <w:top w:val="nil"/>
              <w:left w:val="nil"/>
              <w:bottom w:val="nil"/>
              <w:right w:val="nil"/>
            </w:tcBorders>
            <w:shd w:val="clear" w:color="auto" w:fill="auto"/>
            <w:noWrap/>
            <w:vAlign w:val="bottom"/>
            <w:hideMark/>
          </w:tcPr>
          <w:p w14:paraId="754817B0"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0.430</w:t>
            </w:r>
          </w:p>
        </w:tc>
        <w:tc>
          <w:tcPr>
            <w:tcW w:w="963" w:type="dxa"/>
            <w:tcBorders>
              <w:top w:val="nil"/>
              <w:left w:val="nil"/>
              <w:bottom w:val="nil"/>
              <w:right w:val="nil"/>
            </w:tcBorders>
            <w:shd w:val="clear" w:color="auto" w:fill="auto"/>
            <w:noWrap/>
            <w:vAlign w:val="bottom"/>
            <w:hideMark/>
          </w:tcPr>
          <w:p w14:paraId="69C1B944"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-0.399</w:t>
            </w:r>
          </w:p>
        </w:tc>
        <w:tc>
          <w:tcPr>
            <w:tcW w:w="963" w:type="dxa"/>
            <w:tcBorders>
              <w:top w:val="nil"/>
              <w:left w:val="nil"/>
              <w:bottom w:val="nil"/>
              <w:right w:val="nil"/>
            </w:tcBorders>
            <w:shd w:val="clear" w:color="auto" w:fill="auto"/>
            <w:noWrap/>
            <w:vAlign w:val="bottom"/>
            <w:hideMark/>
          </w:tcPr>
          <w:p w14:paraId="47ED48FC"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-0.102</w:t>
            </w:r>
          </w:p>
        </w:tc>
        <w:tc>
          <w:tcPr>
            <w:tcW w:w="963" w:type="dxa"/>
            <w:tcBorders>
              <w:top w:val="nil"/>
              <w:left w:val="nil"/>
              <w:bottom w:val="nil"/>
              <w:right w:val="nil"/>
            </w:tcBorders>
            <w:shd w:val="clear" w:color="auto" w:fill="auto"/>
            <w:noWrap/>
            <w:vAlign w:val="bottom"/>
            <w:hideMark/>
          </w:tcPr>
          <w:p w14:paraId="7515B8DF"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0.141</w:t>
            </w:r>
          </w:p>
        </w:tc>
        <w:tc>
          <w:tcPr>
            <w:tcW w:w="895" w:type="dxa"/>
            <w:tcBorders>
              <w:top w:val="nil"/>
              <w:left w:val="nil"/>
              <w:bottom w:val="nil"/>
              <w:right w:val="nil"/>
            </w:tcBorders>
            <w:shd w:val="clear" w:color="auto" w:fill="auto"/>
            <w:noWrap/>
            <w:vAlign w:val="bottom"/>
            <w:hideMark/>
          </w:tcPr>
          <w:p w14:paraId="5D622E3C"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-1.031</w:t>
            </w:r>
          </w:p>
        </w:tc>
        <w:tc>
          <w:tcPr>
            <w:tcW w:w="993" w:type="dxa"/>
            <w:tcBorders>
              <w:top w:val="nil"/>
              <w:left w:val="nil"/>
              <w:bottom w:val="nil"/>
              <w:right w:val="nil"/>
            </w:tcBorders>
            <w:shd w:val="clear" w:color="auto" w:fill="auto"/>
            <w:noWrap/>
            <w:vAlign w:val="bottom"/>
            <w:hideMark/>
          </w:tcPr>
          <w:p w14:paraId="1A948AF1"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-0.256</w:t>
            </w:r>
          </w:p>
        </w:tc>
        <w:tc>
          <w:tcPr>
            <w:tcW w:w="1000" w:type="dxa"/>
            <w:tcBorders>
              <w:top w:val="nil"/>
              <w:left w:val="nil"/>
              <w:bottom w:val="nil"/>
              <w:right w:val="single" w:sz="4" w:space="0" w:color="auto"/>
            </w:tcBorders>
            <w:shd w:val="clear" w:color="auto" w:fill="auto"/>
            <w:noWrap/>
            <w:vAlign w:val="bottom"/>
            <w:hideMark/>
          </w:tcPr>
          <w:p w14:paraId="4FA2FC8B"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-0.057</w:t>
            </w:r>
          </w:p>
        </w:tc>
      </w:tr>
      <w:tr w:rsidR="00ED02A4" w:rsidRPr="00570794" w14:paraId="24D3AC32"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5459107C"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77DA3C7C"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0.132</w:t>
            </w:r>
          </w:p>
        </w:tc>
        <w:tc>
          <w:tcPr>
            <w:tcW w:w="963" w:type="dxa"/>
            <w:tcBorders>
              <w:top w:val="nil"/>
              <w:left w:val="nil"/>
              <w:bottom w:val="nil"/>
              <w:right w:val="nil"/>
            </w:tcBorders>
            <w:shd w:val="clear" w:color="auto" w:fill="auto"/>
            <w:noWrap/>
            <w:vAlign w:val="bottom"/>
            <w:hideMark/>
          </w:tcPr>
          <w:p w14:paraId="0A4F6047"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0.406</w:t>
            </w:r>
          </w:p>
        </w:tc>
        <w:tc>
          <w:tcPr>
            <w:tcW w:w="963" w:type="dxa"/>
            <w:tcBorders>
              <w:top w:val="nil"/>
              <w:left w:val="nil"/>
              <w:bottom w:val="nil"/>
              <w:right w:val="nil"/>
            </w:tcBorders>
            <w:shd w:val="clear" w:color="auto" w:fill="auto"/>
            <w:noWrap/>
            <w:vAlign w:val="bottom"/>
            <w:hideMark/>
          </w:tcPr>
          <w:p w14:paraId="222D479B"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0.386</w:t>
            </w:r>
          </w:p>
        </w:tc>
        <w:tc>
          <w:tcPr>
            <w:tcW w:w="963" w:type="dxa"/>
            <w:tcBorders>
              <w:top w:val="nil"/>
              <w:left w:val="nil"/>
              <w:bottom w:val="nil"/>
              <w:right w:val="nil"/>
            </w:tcBorders>
            <w:shd w:val="clear" w:color="auto" w:fill="auto"/>
            <w:noWrap/>
            <w:vAlign w:val="bottom"/>
            <w:hideMark/>
          </w:tcPr>
          <w:p w14:paraId="3E20C78C"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0.015</w:t>
            </w:r>
          </w:p>
        </w:tc>
        <w:tc>
          <w:tcPr>
            <w:tcW w:w="963" w:type="dxa"/>
            <w:tcBorders>
              <w:top w:val="nil"/>
              <w:left w:val="nil"/>
              <w:bottom w:val="nil"/>
              <w:right w:val="nil"/>
            </w:tcBorders>
            <w:shd w:val="clear" w:color="auto" w:fill="auto"/>
            <w:noWrap/>
            <w:vAlign w:val="bottom"/>
            <w:hideMark/>
          </w:tcPr>
          <w:p w14:paraId="0A940F38"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0.627</w:t>
            </w:r>
          </w:p>
        </w:tc>
        <w:tc>
          <w:tcPr>
            <w:tcW w:w="963" w:type="dxa"/>
            <w:tcBorders>
              <w:top w:val="nil"/>
              <w:left w:val="nil"/>
              <w:bottom w:val="nil"/>
              <w:right w:val="nil"/>
            </w:tcBorders>
            <w:shd w:val="clear" w:color="auto" w:fill="auto"/>
            <w:noWrap/>
            <w:vAlign w:val="bottom"/>
            <w:hideMark/>
          </w:tcPr>
          <w:p w14:paraId="6D188426"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0.783</w:t>
            </w:r>
          </w:p>
        </w:tc>
        <w:tc>
          <w:tcPr>
            <w:tcW w:w="895" w:type="dxa"/>
            <w:tcBorders>
              <w:top w:val="nil"/>
              <w:left w:val="nil"/>
              <w:bottom w:val="nil"/>
              <w:right w:val="nil"/>
            </w:tcBorders>
            <w:shd w:val="clear" w:color="auto" w:fill="auto"/>
            <w:noWrap/>
            <w:vAlign w:val="bottom"/>
            <w:hideMark/>
          </w:tcPr>
          <w:p w14:paraId="60929778"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0.009</w:t>
            </w:r>
          </w:p>
        </w:tc>
        <w:tc>
          <w:tcPr>
            <w:tcW w:w="993" w:type="dxa"/>
            <w:tcBorders>
              <w:top w:val="nil"/>
              <w:left w:val="nil"/>
              <w:bottom w:val="nil"/>
              <w:right w:val="nil"/>
            </w:tcBorders>
            <w:shd w:val="clear" w:color="auto" w:fill="auto"/>
            <w:noWrap/>
            <w:vAlign w:val="bottom"/>
            <w:hideMark/>
          </w:tcPr>
          <w:p w14:paraId="72C9C58F"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0.341</w:t>
            </w:r>
          </w:p>
        </w:tc>
        <w:tc>
          <w:tcPr>
            <w:tcW w:w="1000" w:type="dxa"/>
            <w:tcBorders>
              <w:top w:val="nil"/>
              <w:left w:val="nil"/>
              <w:bottom w:val="nil"/>
              <w:right w:val="single" w:sz="4" w:space="0" w:color="auto"/>
            </w:tcBorders>
            <w:shd w:val="clear" w:color="auto" w:fill="auto"/>
            <w:noWrap/>
            <w:vAlign w:val="bottom"/>
            <w:hideMark/>
          </w:tcPr>
          <w:p w14:paraId="41ACFF87"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0.911</w:t>
            </w:r>
          </w:p>
        </w:tc>
      </w:tr>
      <w:tr w:rsidR="00ED02A4" w:rsidRPr="00570794" w14:paraId="1D5B7F86"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6781BEF2"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LIQUIDITY</w:t>
            </w:r>
          </w:p>
        </w:tc>
        <w:tc>
          <w:tcPr>
            <w:tcW w:w="963" w:type="dxa"/>
            <w:tcBorders>
              <w:top w:val="nil"/>
              <w:left w:val="nil"/>
              <w:bottom w:val="nil"/>
              <w:right w:val="nil"/>
            </w:tcBorders>
            <w:shd w:val="clear" w:color="auto" w:fill="auto"/>
            <w:noWrap/>
            <w:vAlign w:val="bottom"/>
            <w:hideMark/>
          </w:tcPr>
          <w:p w14:paraId="7787405F"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23.641</w:t>
            </w:r>
          </w:p>
        </w:tc>
        <w:tc>
          <w:tcPr>
            <w:tcW w:w="963" w:type="dxa"/>
            <w:tcBorders>
              <w:top w:val="nil"/>
              <w:left w:val="nil"/>
              <w:bottom w:val="nil"/>
              <w:right w:val="nil"/>
            </w:tcBorders>
            <w:shd w:val="clear" w:color="auto" w:fill="auto"/>
            <w:noWrap/>
            <w:vAlign w:val="bottom"/>
            <w:hideMark/>
          </w:tcPr>
          <w:p w14:paraId="1ABD8363"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6.032</w:t>
            </w:r>
          </w:p>
        </w:tc>
        <w:tc>
          <w:tcPr>
            <w:tcW w:w="963" w:type="dxa"/>
            <w:tcBorders>
              <w:top w:val="nil"/>
              <w:left w:val="nil"/>
              <w:bottom w:val="nil"/>
              <w:right w:val="nil"/>
            </w:tcBorders>
            <w:shd w:val="clear" w:color="auto" w:fill="auto"/>
            <w:noWrap/>
            <w:vAlign w:val="bottom"/>
            <w:hideMark/>
          </w:tcPr>
          <w:p w14:paraId="73661EA4"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21.263</w:t>
            </w:r>
          </w:p>
        </w:tc>
        <w:tc>
          <w:tcPr>
            <w:tcW w:w="963" w:type="dxa"/>
            <w:tcBorders>
              <w:top w:val="nil"/>
              <w:left w:val="nil"/>
              <w:bottom w:val="nil"/>
              <w:right w:val="nil"/>
            </w:tcBorders>
            <w:shd w:val="clear" w:color="auto" w:fill="auto"/>
            <w:noWrap/>
            <w:vAlign w:val="bottom"/>
            <w:hideMark/>
          </w:tcPr>
          <w:p w14:paraId="2FB263D4"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36.291</w:t>
            </w:r>
          </w:p>
        </w:tc>
        <w:tc>
          <w:tcPr>
            <w:tcW w:w="963" w:type="dxa"/>
            <w:tcBorders>
              <w:top w:val="nil"/>
              <w:left w:val="nil"/>
              <w:bottom w:val="nil"/>
              <w:right w:val="nil"/>
            </w:tcBorders>
            <w:shd w:val="clear" w:color="auto" w:fill="auto"/>
            <w:noWrap/>
            <w:vAlign w:val="bottom"/>
            <w:hideMark/>
          </w:tcPr>
          <w:p w14:paraId="69AC8538"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11.219</w:t>
            </w:r>
          </w:p>
        </w:tc>
        <w:tc>
          <w:tcPr>
            <w:tcW w:w="963" w:type="dxa"/>
            <w:tcBorders>
              <w:top w:val="nil"/>
              <w:left w:val="nil"/>
              <w:bottom w:val="nil"/>
              <w:right w:val="nil"/>
            </w:tcBorders>
            <w:shd w:val="clear" w:color="auto" w:fill="auto"/>
            <w:noWrap/>
            <w:vAlign w:val="bottom"/>
            <w:hideMark/>
          </w:tcPr>
          <w:p w14:paraId="1A7FA0F2"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9.991</w:t>
            </w:r>
          </w:p>
        </w:tc>
        <w:tc>
          <w:tcPr>
            <w:tcW w:w="895" w:type="dxa"/>
            <w:tcBorders>
              <w:top w:val="nil"/>
              <w:left w:val="nil"/>
              <w:bottom w:val="nil"/>
              <w:right w:val="nil"/>
            </w:tcBorders>
            <w:shd w:val="clear" w:color="auto" w:fill="auto"/>
            <w:noWrap/>
            <w:vAlign w:val="bottom"/>
            <w:hideMark/>
          </w:tcPr>
          <w:p w14:paraId="2D4E1119"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72.881</w:t>
            </w:r>
          </w:p>
        </w:tc>
        <w:tc>
          <w:tcPr>
            <w:tcW w:w="993" w:type="dxa"/>
            <w:tcBorders>
              <w:top w:val="nil"/>
              <w:left w:val="nil"/>
              <w:bottom w:val="nil"/>
              <w:right w:val="nil"/>
            </w:tcBorders>
            <w:shd w:val="clear" w:color="auto" w:fill="auto"/>
            <w:noWrap/>
            <w:vAlign w:val="bottom"/>
            <w:hideMark/>
          </w:tcPr>
          <w:p w14:paraId="26F2B3DD"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-0.537</w:t>
            </w:r>
          </w:p>
        </w:tc>
        <w:tc>
          <w:tcPr>
            <w:tcW w:w="1000" w:type="dxa"/>
            <w:tcBorders>
              <w:top w:val="nil"/>
              <w:left w:val="nil"/>
              <w:bottom w:val="nil"/>
              <w:right w:val="single" w:sz="4" w:space="0" w:color="auto"/>
            </w:tcBorders>
            <w:shd w:val="clear" w:color="auto" w:fill="auto"/>
            <w:noWrap/>
            <w:vAlign w:val="bottom"/>
            <w:hideMark/>
          </w:tcPr>
          <w:p w14:paraId="47EAFF93"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89.458</w:t>
            </w:r>
          </w:p>
        </w:tc>
      </w:tr>
      <w:tr w:rsidR="00ED02A4" w:rsidRPr="00570794" w14:paraId="1CD6E754"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5A37F857"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303F1871"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0.002</w:t>
            </w:r>
          </w:p>
        </w:tc>
        <w:tc>
          <w:tcPr>
            <w:tcW w:w="963" w:type="dxa"/>
            <w:tcBorders>
              <w:top w:val="nil"/>
              <w:left w:val="nil"/>
              <w:bottom w:val="nil"/>
              <w:right w:val="nil"/>
            </w:tcBorders>
            <w:shd w:val="clear" w:color="auto" w:fill="auto"/>
            <w:noWrap/>
            <w:vAlign w:val="bottom"/>
            <w:hideMark/>
          </w:tcPr>
          <w:p w14:paraId="7F998409"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0.632</w:t>
            </w:r>
          </w:p>
        </w:tc>
        <w:tc>
          <w:tcPr>
            <w:tcW w:w="963" w:type="dxa"/>
            <w:tcBorders>
              <w:top w:val="nil"/>
              <w:left w:val="nil"/>
              <w:bottom w:val="nil"/>
              <w:right w:val="nil"/>
            </w:tcBorders>
            <w:shd w:val="clear" w:color="auto" w:fill="auto"/>
            <w:noWrap/>
            <w:vAlign w:val="bottom"/>
            <w:hideMark/>
          </w:tcPr>
          <w:p w14:paraId="3F6B3712"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0.059</w:t>
            </w:r>
          </w:p>
        </w:tc>
        <w:tc>
          <w:tcPr>
            <w:tcW w:w="963" w:type="dxa"/>
            <w:tcBorders>
              <w:top w:val="nil"/>
              <w:left w:val="nil"/>
              <w:bottom w:val="nil"/>
              <w:right w:val="nil"/>
            </w:tcBorders>
            <w:shd w:val="clear" w:color="auto" w:fill="auto"/>
            <w:noWrap/>
            <w:vAlign w:val="bottom"/>
            <w:hideMark/>
          </w:tcPr>
          <w:p w14:paraId="0F2C734D"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0.001</w:t>
            </w:r>
          </w:p>
        </w:tc>
        <w:tc>
          <w:tcPr>
            <w:tcW w:w="963" w:type="dxa"/>
            <w:tcBorders>
              <w:top w:val="nil"/>
              <w:left w:val="nil"/>
              <w:bottom w:val="nil"/>
              <w:right w:val="nil"/>
            </w:tcBorders>
            <w:shd w:val="clear" w:color="auto" w:fill="auto"/>
            <w:noWrap/>
            <w:vAlign w:val="bottom"/>
            <w:hideMark/>
          </w:tcPr>
          <w:p w14:paraId="37500892"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0.528</w:t>
            </w:r>
          </w:p>
        </w:tc>
        <w:tc>
          <w:tcPr>
            <w:tcW w:w="963" w:type="dxa"/>
            <w:tcBorders>
              <w:top w:val="nil"/>
              <w:left w:val="nil"/>
              <w:bottom w:val="nil"/>
              <w:right w:val="nil"/>
            </w:tcBorders>
            <w:shd w:val="clear" w:color="auto" w:fill="auto"/>
            <w:noWrap/>
            <w:vAlign w:val="bottom"/>
            <w:hideMark/>
          </w:tcPr>
          <w:p w14:paraId="14659A57"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0.792</w:t>
            </w:r>
          </w:p>
        </w:tc>
        <w:tc>
          <w:tcPr>
            <w:tcW w:w="895" w:type="dxa"/>
            <w:tcBorders>
              <w:top w:val="nil"/>
              <w:left w:val="nil"/>
              <w:bottom w:val="nil"/>
              <w:right w:val="nil"/>
            </w:tcBorders>
            <w:shd w:val="clear" w:color="auto" w:fill="auto"/>
            <w:noWrap/>
            <w:vAlign w:val="bottom"/>
            <w:hideMark/>
          </w:tcPr>
          <w:p w14:paraId="18DEB228"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0.005</w:t>
            </w:r>
          </w:p>
        </w:tc>
        <w:tc>
          <w:tcPr>
            <w:tcW w:w="993" w:type="dxa"/>
            <w:tcBorders>
              <w:top w:val="nil"/>
              <w:left w:val="nil"/>
              <w:bottom w:val="nil"/>
              <w:right w:val="nil"/>
            </w:tcBorders>
            <w:shd w:val="clear" w:color="auto" w:fill="auto"/>
            <w:noWrap/>
            <w:vAlign w:val="bottom"/>
            <w:hideMark/>
          </w:tcPr>
          <w:p w14:paraId="32656500"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0.978</w:t>
            </w:r>
          </w:p>
        </w:tc>
        <w:tc>
          <w:tcPr>
            <w:tcW w:w="1000" w:type="dxa"/>
            <w:tcBorders>
              <w:top w:val="nil"/>
              <w:left w:val="nil"/>
              <w:bottom w:val="nil"/>
              <w:right w:val="single" w:sz="4" w:space="0" w:color="auto"/>
            </w:tcBorders>
            <w:shd w:val="clear" w:color="auto" w:fill="auto"/>
            <w:noWrap/>
            <w:vAlign w:val="bottom"/>
            <w:hideMark/>
          </w:tcPr>
          <w:p w14:paraId="76E07AE0"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0.045</w:t>
            </w:r>
          </w:p>
        </w:tc>
      </w:tr>
      <w:tr w:rsidR="00ED02A4" w:rsidRPr="00570794" w14:paraId="628F4D65" w14:textId="77777777" w:rsidTr="00380104">
        <w:trPr>
          <w:trHeight w:val="288"/>
        </w:trPr>
        <w:tc>
          <w:tcPr>
            <w:tcW w:w="2198" w:type="dxa"/>
            <w:gridSpan w:val="2"/>
            <w:tcBorders>
              <w:top w:val="nil"/>
              <w:left w:val="single" w:sz="4" w:space="0" w:color="auto"/>
              <w:bottom w:val="nil"/>
              <w:right w:val="nil"/>
            </w:tcBorders>
            <w:shd w:val="clear" w:color="auto" w:fill="auto"/>
            <w:noWrap/>
            <w:vAlign w:val="bottom"/>
            <w:hideMark/>
          </w:tcPr>
          <w:p w14:paraId="7B75300B"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INTERNET</w:t>
            </w:r>
          </w:p>
        </w:tc>
        <w:tc>
          <w:tcPr>
            <w:tcW w:w="963" w:type="dxa"/>
            <w:tcBorders>
              <w:top w:val="nil"/>
              <w:left w:val="nil"/>
              <w:bottom w:val="nil"/>
              <w:right w:val="nil"/>
            </w:tcBorders>
            <w:shd w:val="clear" w:color="auto" w:fill="auto"/>
            <w:noWrap/>
            <w:vAlign w:val="bottom"/>
            <w:hideMark/>
          </w:tcPr>
          <w:p w14:paraId="59C10E7B"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5E556185"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0C8B072F"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-0.653</w:t>
            </w:r>
          </w:p>
        </w:tc>
        <w:tc>
          <w:tcPr>
            <w:tcW w:w="963" w:type="dxa"/>
            <w:tcBorders>
              <w:top w:val="nil"/>
              <w:left w:val="nil"/>
              <w:bottom w:val="nil"/>
              <w:right w:val="nil"/>
            </w:tcBorders>
            <w:shd w:val="clear" w:color="auto" w:fill="auto"/>
            <w:noWrap/>
            <w:vAlign w:val="bottom"/>
            <w:hideMark/>
          </w:tcPr>
          <w:p w14:paraId="4C9F3DB6"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-0.103</w:t>
            </w:r>
          </w:p>
        </w:tc>
        <w:tc>
          <w:tcPr>
            <w:tcW w:w="963" w:type="dxa"/>
            <w:tcBorders>
              <w:top w:val="nil"/>
              <w:left w:val="nil"/>
              <w:bottom w:val="nil"/>
              <w:right w:val="nil"/>
            </w:tcBorders>
            <w:shd w:val="clear" w:color="auto" w:fill="auto"/>
            <w:noWrap/>
            <w:vAlign w:val="bottom"/>
            <w:hideMark/>
          </w:tcPr>
          <w:p w14:paraId="140F4C55"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-0.590</w:t>
            </w:r>
          </w:p>
        </w:tc>
        <w:tc>
          <w:tcPr>
            <w:tcW w:w="895" w:type="dxa"/>
            <w:tcBorders>
              <w:top w:val="nil"/>
              <w:left w:val="nil"/>
              <w:bottom w:val="nil"/>
              <w:right w:val="nil"/>
            </w:tcBorders>
            <w:shd w:val="clear" w:color="auto" w:fill="auto"/>
            <w:noWrap/>
            <w:vAlign w:val="bottom"/>
            <w:hideMark/>
          </w:tcPr>
          <w:p w14:paraId="29F00ADC"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93" w:type="dxa"/>
            <w:tcBorders>
              <w:top w:val="nil"/>
              <w:left w:val="nil"/>
              <w:bottom w:val="nil"/>
              <w:right w:val="nil"/>
            </w:tcBorders>
            <w:shd w:val="clear" w:color="auto" w:fill="auto"/>
            <w:noWrap/>
            <w:vAlign w:val="bottom"/>
            <w:hideMark/>
          </w:tcPr>
          <w:p w14:paraId="78DD5350"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1000" w:type="dxa"/>
            <w:tcBorders>
              <w:top w:val="nil"/>
              <w:left w:val="nil"/>
              <w:bottom w:val="nil"/>
              <w:right w:val="single" w:sz="4" w:space="0" w:color="auto"/>
            </w:tcBorders>
            <w:shd w:val="clear" w:color="auto" w:fill="auto"/>
            <w:noWrap/>
            <w:vAlign w:val="bottom"/>
            <w:hideMark/>
          </w:tcPr>
          <w:p w14:paraId="5DD22982"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 </w:t>
            </w:r>
          </w:p>
        </w:tc>
      </w:tr>
      <w:tr w:rsidR="00ED02A4" w:rsidRPr="00570794" w14:paraId="28FADEAA"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2E990E7C"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40CD6903"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23427A3F"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48589AC7"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0A36A09C"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63" w:type="dxa"/>
            <w:tcBorders>
              <w:top w:val="nil"/>
              <w:left w:val="nil"/>
              <w:bottom w:val="nil"/>
              <w:right w:val="nil"/>
            </w:tcBorders>
            <w:shd w:val="clear" w:color="auto" w:fill="auto"/>
            <w:noWrap/>
            <w:vAlign w:val="bottom"/>
            <w:hideMark/>
          </w:tcPr>
          <w:p w14:paraId="6CBC2BC1"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0.024</w:t>
            </w:r>
          </w:p>
        </w:tc>
        <w:tc>
          <w:tcPr>
            <w:tcW w:w="963" w:type="dxa"/>
            <w:tcBorders>
              <w:top w:val="nil"/>
              <w:left w:val="nil"/>
              <w:bottom w:val="nil"/>
              <w:right w:val="nil"/>
            </w:tcBorders>
            <w:shd w:val="clear" w:color="auto" w:fill="auto"/>
            <w:noWrap/>
            <w:vAlign w:val="bottom"/>
            <w:hideMark/>
          </w:tcPr>
          <w:p w14:paraId="09E775F7"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895" w:type="dxa"/>
            <w:tcBorders>
              <w:top w:val="nil"/>
              <w:left w:val="nil"/>
              <w:bottom w:val="nil"/>
              <w:right w:val="nil"/>
            </w:tcBorders>
            <w:shd w:val="clear" w:color="auto" w:fill="auto"/>
            <w:noWrap/>
            <w:vAlign w:val="bottom"/>
            <w:hideMark/>
          </w:tcPr>
          <w:p w14:paraId="0FA538F5"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93" w:type="dxa"/>
            <w:tcBorders>
              <w:top w:val="nil"/>
              <w:left w:val="nil"/>
              <w:bottom w:val="nil"/>
              <w:right w:val="nil"/>
            </w:tcBorders>
            <w:shd w:val="clear" w:color="auto" w:fill="auto"/>
            <w:noWrap/>
            <w:vAlign w:val="bottom"/>
            <w:hideMark/>
          </w:tcPr>
          <w:p w14:paraId="5086D9A2"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1000" w:type="dxa"/>
            <w:tcBorders>
              <w:top w:val="nil"/>
              <w:left w:val="nil"/>
              <w:bottom w:val="nil"/>
              <w:right w:val="single" w:sz="4" w:space="0" w:color="auto"/>
            </w:tcBorders>
            <w:shd w:val="clear" w:color="auto" w:fill="auto"/>
            <w:noWrap/>
            <w:vAlign w:val="bottom"/>
            <w:hideMark/>
          </w:tcPr>
          <w:p w14:paraId="6057F264"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 </w:t>
            </w:r>
          </w:p>
        </w:tc>
      </w:tr>
      <w:tr w:rsidR="00ED02A4" w:rsidRPr="00570794" w14:paraId="402122B2"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3B3CEEA8"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DEVPC1</w:t>
            </w:r>
          </w:p>
        </w:tc>
        <w:tc>
          <w:tcPr>
            <w:tcW w:w="963" w:type="dxa"/>
            <w:tcBorders>
              <w:top w:val="nil"/>
              <w:left w:val="nil"/>
              <w:bottom w:val="nil"/>
              <w:right w:val="nil"/>
            </w:tcBorders>
            <w:shd w:val="clear" w:color="auto" w:fill="auto"/>
            <w:noWrap/>
            <w:vAlign w:val="bottom"/>
            <w:hideMark/>
          </w:tcPr>
          <w:p w14:paraId="2B9C8723"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2EF916F8"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24F2E5FD"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156DCFBD"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30C73B4F"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663B21A2"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895" w:type="dxa"/>
            <w:tcBorders>
              <w:top w:val="nil"/>
              <w:left w:val="nil"/>
              <w:bottom w:val="nil"/>
              <w:right w:val="nil"/>
            </w:tcBorders>
            <w:shd w:val="clear" w:color="auto" w:fill="auto"/>
            <w:noWrap/>
            <w:vAlign w:val="bottom"/>
            <w:hideMark/>
          </w:tcPr>
          <w:p w14:paraId="05863F30"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-7.218</w:t>
            </w:r>
          </w:p>
        </w:tc>
        <w:tc>
          <w:tcPr>
            <w:tcW w:w="993" w:type="dxa"/>
            <w:tcBorders>
              <w:top w:val="nil"/>
              <w:left w:val="nil"/>
              <w:bottom w:val="nil"/>
              <w:right w:val="nil"/>
            </w:tcBorders>
            <w:shd w:val="clear" w:color="auto" w:fill="auto"/>
            <w:noWrap/>
            <w:vAlign w:val="bottom"/>
            <w:hideMark/>
          </w:tcPr>
          <w:p w14:paraId="0A32C72B"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-2.050</w:t>
            </w:r>
          </w:p>
        </w:tc>
        <w:tc>
          <w:tcPr>
            <w:tcW w:w="1000" w:type="dxa"/>
            <w:tcBorders>
              <w:top w:val="nil"/>
              <w:left w:val="nil"/>
              <w:bottom w:val="nil"/>
              <w:right w:val="single" w:sz="4" w:space="0" w:color="auto"/>
            </w:tcBorders>
            <w:shd w:val="clear" w:color="auto" w:fill="auto"/>
            <w:noWrap/>
            <w:vAlign w:val="bottom"/>
            <w:hideMark/>
          </w:tcPr>
          <w:p w14:paraId="590F6EF9"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-1.822</w:t>
            </w:r>
          </w:p>
        </w:tc>
      </w:tr>
      <w:tr w:rsidR="00ED02A4" w:rsidRPr="00570794" w14:paraId="62783ED0"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523CD124"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963" w:type="dxa"/>
            <w:tcBorders>
              <w:top w:val="nil"/>
              <w:left w:val="nil"/>
              <w:bottom w:val="nil"/>
              <w:right w:val="nil"/>
            </w:tcBorders>
            <w:shd w:val="clear" w:color="auto" w:fill="auto"/>
            <w:noWrap/>
            <w:vAlign w:val="bottom"/>
            <w:hideMark/>
          </w:tcPr>
          <w:p w14:paraId="0230410D"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103C4394"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72F92C8D"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5C2F1F5F"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16D36CFC"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63" w:type="dxa"/>
            <w:tcBorders>
              <w:top w:val="nil"/>
              <w:left w:val="nil"/>
              <w:bottom w:val="nil"/>
              <w:right w:val="nil"/>
            </w:tcBorders>
            <w:shd w:val="clear" w:color="auto" w:fill="auto"/>
            <w:noWrap/>
            <w:vAlign w:val="bottom"/>
            <w:hideMark/>
          </w:tcPr>
          <w:p w14:paraId="4808C17C"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895" w:type="dxa"/>
            <w:tcBorders>
              <w:top w:val="nil"/>
              <w:left w:val="nil"/>
              <w:bottom w:val="nil"/>
              <w:right w:val="nil"/>
            </w:tcBorders>
            <w:shd w:val="clear" w:color="auto" w:fill="auto"/>
            <w:noWrap/>
            <w:vAlign w:val="bottom"/>
            <w:hideMark/>
          </w:tcPr>
          <w:p w14:paraId="12F385E5"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0.000</w:t>
            </w:r>
          </w:p>
        </w:tc>
        <w:tc>
          <w:tcPr>
            <w:tcW w:w="993" w:type="dxa"/>
            <w:tcBorders>
              <w:top w:val="nil"/>
              <w:left w:val="nil"/>
              <w:bottom w:val="nil"/>
              <w:right w:val="nil"/>
            </w:tcBorders>
            <w:shd w:val="clear" w:color="auto" w:fill="auto"/>
            <w:noWrap/>
            <w:vAlign w:val="bottom"/>
            <w:hideMark/>
          </w:tcPr>
          <w:p w14:paraId="23645F7C"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0.009</w:t>
            </w:r>
          </w:p>
        </w:tc>
        <w:tc>
          <w:tcPr>
            <w:tcW w:w="1000" w:type="dxa"/>
            <w:tcBorders>
              <w:top w:val="nil"/>
              <w:left w:val="nil"/>
              <w:bottom w:val="nil"/>
              <w:right w:val="single" w:sz="4" w:space="0" w:color="auto"/>
            </w:tcBorders>
            <w:shd w:val="clear" w:color="auto" w:fill="auto"/>
            <w:noWrap/>
            <w:vAlign w:val="bottom"/>
            <w:hideMark/>
          </w:tcPr>
          <w:p w14:paraId="5CAFE1DA" w14:textId="77777777" w:rsidR="00ED02A4" w:rsidRPr="00570794" w:rsidRDefault="00ED02A4" w:rsidP="00367A87">
            <w:pPr>
              <w:spacing w:after="0" w:line="240" w:lineRule="auto"/>
              <w:jc w:val="right"/>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0.096</w:t>
            </w:r>
          </w:p>
        </w:tc>
      </w:tr>
      <w:tr w:rsidR="00ED02A4" w:rsidRPr="00570794" w14:paraId="10588A3B"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4657ADB8"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Nobs</w:t>
            </w:r>
          </w:p>
        </w:tc>
        <w:tc>
          <w:tcPr>
            <w:tcW w:w="963" w:type="dxa"/>
            <w:tcBorders>
              <w:top w:val="nil"/>
              <w:left w:val="nil"/>
              <w:bottom w:val="nil"/>
              <w:right w:val="nil"/>
            </w:tcBorders>
            <w:shd w:val="clear" w:color="auto" w:fill="auto"/>
            <w:noWrap/>
            <w:vAlign w:val="bottom"/>
            <w:hideMark/>
          </w:tcPr>
          <w:p w14:paraId="2CB049E1"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870</w:t>
            </w:r>
          </w:p>
        </w:tc>
        <w:tc>
          <w:tcPr>
            <w:tcW w:w="963" w:type="dxa"/>
            <w:tcBorders>
              <w:top w:val="nil"/>
              <w:left w:val="nil"/>
              <w:bottom w:val="nil"/>
              <w:right w:val="nil"/>
            </w:tcBorders>
            <w:shd w:val="clear" w:color="auto" w:fill="auto"/>
            <w:noWrap/>
            <w:vAlign w:val="bottom"/>
            <w:hideMark/>
          </w:tcPr>
          <w:p w14:paraId="020F1502"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300</w:t>
            </w:r>
          </w:p>
        </w:tc>
        <w:tc>
          <w:tcPr>
            <w:tcW w:w="963" w:type="dxa"/>
            <w:tcBorders>
              <w:top w:val="nil"/>
              <w:left w:val="nil"/>
              <w:bottom w:val="nil"/>
              <w:right w:val="nil"/>
            </w:tcBorders>
            <w:shd w:val="clear" w:color="auto" w:fill="auto"/>
            <w:noWrap/>
            <w:vAlign w:val="bottom"/>
            <w:hideMark/>
          </w:tcPr>
          <w:p w14:paraId="17A5A028"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135</w:t>
            </w:r>
          </w:p>
        </w:tc>
        <w:tc>
          <w:tcPr>
            <w:tcW w:w="963" w:type="dxa"/>
            <w:tcBorders>
              <w:top w:val="nil"/>
              <w:left w:val="nil"/>
              <w:bottom w:val="nil"/>
              <w:right w:val="nil"/>
            </w:tcBorders>
            <w:shd w:val="clear" w:color="auto" w:fill="auto"/>
            <w:noWrap/>
            <w:vAlign w:val="bottom"/>
            <w:hideMark/>
          </w:tcPr>
          <w:p w14:paraId="47FDDB60"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615</w:t>
            </w:r>
          </w:p>
        </w:tc>
        <w:tc>
          <w:tcPr>
            <w:tcW w:w="963" w:type="dxa"/>
            <w:tcBorders>
              <w:top w:val="nil"/>
              <w:left w:val="nil"/>
              <w:bottom w:val="nil"/>
              <w:right w:val="nil"/>
            </w:tcBorders>
            <w:shd w:val="clear" w:color="auto" w:fill="auto"/>
            <w:noWrap/>
            <w:vAlign w:val="bottom"/>
            <w:hideMark/>
          </w:tcPr>
          <w:p w14:paraId="70D5CF3C"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285</w:t>
            </w:r>
          </w:p>
        </w:tc>
        <w:tc>
          <w:tcPr>
            <w:tcW w:w="963" w:type="dxa"/>
            <w:tcBorders>
              <w:top w:val="nil"/>
              <w:left w:val="nil"/>
              <w:bottom w:val="nil"/>
              <w:right w:val="nil"/>
            </w:tcBorders>
            <w:shd w:val="clear" w:color="auto" w:fill="auto"/>
            <w:noWrap/>
            <w:vAlign w:val="bottom"/>
            <w:hideMark/>
          </w:tcPr>
          <w:p w14:paraId="557C1713"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105</w:t>
            </w:r>
          </w:p>
        </w:tc>
        <w:tc>
          <w:tcPr>
            <w:tcW w:w="895" w:type="dxa"/>
            <w:tcBorders>
              <w:top w:val="nil"/>
              <w:left w:val="nil"/>
              <w:bottom w:val="nil"/>
              <w:right w:val="nil"/>
            </w:tcBorders>
            <w:shd w:val="clear" w:color="auto" w:fill="auto"/>
            <w:noWrap/>
            <w:vAlign w:val="bottom"/>
            <w:hideMark/>
          </w:tcPr>
          <w:p w14:paraId="148E0B7F"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w:t>
            </w:r>
          </w:p>
        </w:tc>
        <w:tc>
          <w:tcPr>
            <w:tcW w:w="993" w:type="dxa"/>
            <w:tcBorders>
              <w:top w:val="nil"/>
              <w:left w:val="nil"/>
              <w:bottom w:val="nil"/>
              <w:right w:val="nil"/>
            </w:tcBorders>
            <w:shd w:val="clear" w:color="auto" w:fill="auto"/>
            <w:noWrap/>
            <w:vAlign w:val="bottom"/>
            <w:hideMark/>
          </w:tcPr>
          <w:p w14:paraId="285BC794"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225</w:t>
            </w:r>
          </w:p>
        </w:tc>
        <w:tc>
          <w:tcPr>
            <w:tcW w:w="1000" w:type="dxa"/>
            <w:tcBorders>
              <w:top w:val="nil"/>
              <w:left w:val="nil"/>
              <w:bottom w:val="nil"/>
              <w:right w:val="single" w:sz="4" w:space="0" w:color="auto"/>
            </w:tcBorders>
            <w:shd w:val="clear" w:color="auto" w:fill="auto"/>
            <w:noWrap/>
            <w:vAlign w:val="bottom"/>
            <w:hideMark/>
          </w:tcPr>
          <w:p w14:paraId="64043455"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105</w:t>
            </w:r>
          </w:p>
        </w:tc>
      </w:tr>
      <w:tr w:rsidR="00ED02A4" w:rsidRPr="00570794" w14:paraId="20CD4F8D" w14:textId="77777777" w:rsidTr="00380104">
        <w:trPr>
          <w:trHeight w:val="288"/>
        </w:trPr>
        <w:tc>
          <w:tcPr>
            <w:tcW w:w="1235" w:type="dxa"/>
            <w:tcBorders>
              <w:top w:val="nil"/>
              <w:left w:val="single" w:sz="4" w:space="0" w:color="auto"/>
              <w:bottom w:val="single" w:sz="4" w:space="0" w:color="auto"/>
              <w:right w:val="nil"/>
            </w:tcBorders>
            <w:shd w:val="clear" w:color="auto" w:fill="auto"/>
            <w:noWrap/>
            <w:vAlign w:val="bottom"/>
            <w:hideMark/>
          </w:tcPr>
          <w:p w14:paraId="2FBBBBBF"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Adj. R2</w:t>
            </w:r>
          </w:p>
        </w:tc>
        <w:tc>
          <w:tcPr>
            <w:tcW w:w="963" w:type="dxa"/>
            <w:tcBorders>
              <w:top w:val="nil"/>
              <w:left w:val="nil"/>
              <w:bottom w:val="single" w:sz="4" w:space="0" w:color="auto"/>
              <w:right w:val="nil"/>
            </w:tcBorders>
            <w:shd w:val="clear" w:color="auto" w:fill="auto"/>
            <w:noWrap/>
            <w:vAlign w:val="bottom"/>
            <w:hideMark/>
          </w:tcPr>
          <w:p w14:paraId="501E5EB6"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0.369</w:t>
            </w:r>
          </w:p>
        </w:tc>
        <w:tc>
          <w:tcPr>
            <w:tcW w:w="963" w:type="dxa"/>
            <w:tcBorders>
              <w:top w:val="nil"/>
              <w:left w:val="nil"/>
              <w:bottom w:val="single" w:sz="4" w:space="0" w:color="auto"/>
              <w:right w:val="nil"/>
            </w:tcBorders>
            <w:shd w:val="clear" w:color="auto" w:fill="auto"/>
            <w:noWrap/>
            <w:vAlign w:val="bottom"/>
            <w:hideMark/>
          </w:tcPr>
          <w:p w14:paraId="38243B2B"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0.609</w:t>
            </w:r>
          </w:p>
        </w:tc>
        <w:tc>
          <w:tcPr>
            <w:tcW w:w="963" w:type="dxa"/>
            <w:tcBorders>
              <w:top w:val="nil"/>
              <w:left w:val="nil"/>
              <w:bottom w:val="single" w:sz="4" w:space="0" w:color="auto"/>
              <w:right w:val="nil"/>
            </w:tcBorders>
            <w:shd w:val="clear" w:color="auto" w:fill="auto"/>
            <w:noWrap/>
            <w:vAlign w:val="bottom"/>
            <w:hideMark/>
          </w:tcPr>
          <w:p w14:paraId="60FEAC4C"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0.603</w:t>
            </w:r>
          </w:p>
        </w:tc>
        <w:tc>
          <w:tcPr>
            <w:tcW w:w="963" w:type="dxa"/>
            <w:tcBorders>
              <w:top w:val="nil"/>
              <w:left w:val="nil"/>
              <w:bottom w:val="single" w:sz="4" w:space="0" w:color="auto"/>
              <w:right w:val="nil"/>
            </w:tcBorders>
            <w:shd w:val="clear" w:color="auto" w:fill="auto"/>
            <w:noWrap/>
            <w:vAlign w:val="bottom"/>
            <w:hideMark/>
          </w:tcPr>
          <w:p w14:paraId="2524CAFC"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0.607</w:t>
            </w:r>
          </w:p>
        </w:tc>
        <w:tc>
          <w:tcPr>
            <w:tcW w:w="963" w:type="dxa"/>
            <w:tcBorders>
              <w:top w:val="nil"/>
              <w:left w:val="nil"/>
              <w:bottom w:val="single" w:sz="4" w:space="0" w:color="auto"/>
              <w:right w:val="nil"/>
            </w:tcBorders>
            <w:shd w:val="clear" w:color="auto" w:fill="auto"/>
            <w:noWrap/>
            <w:vAlign w:val="bottom"/>
            <w:hideMark/>
          </w:tcPr>
          <w:p w14:paraId="0F8BE431"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0.603</w:t>
            </w:r>
          </w:p>
        </w:tc>
        <w:tc>
          <w:tcPr>
            <w:tcW w:w="963" w:type="dxa"/>
            <w:tcBorders>
              <w:top w:val="nil"/>
              <w:left w:val="nil"/>
              <w:bottom w:val="single" w:sz="4" w:space="0" w:color="auto"/>
              <w:right w:val="nil"/>
            </w:tcBorders>
            <w:shd w:val="clear" w:color="auto" w:fill="auto"/>
            <w:noWrap/>
            <w:vAlign w:val="bottom"/>
            <w:hideMark/>
          </w:tcPr>
          <w:p w14:paraId="04BDD996"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0.744</w:t>
            </w:r>
          </w:p>
        </w:tc>
        <w:tc>
          <w:tcPr>
            <w:tcW w:w="895" w:type="dxa"/>
            <w:tcBorders>
              <w:top w:val="nil"/>
              <w:left w:val="nil"/>
              <w:bottom w:val="single" w:sz="4" w:space="0" w:color="auto"/>
              <w:right w:val="nil"/>
            </w:tcBorders>
            <w:shd w:val="clear" w:color="auto" w:fill="auto"/>
            <w:noWrap/>
            <w:vAlign w:val="bottom"/>
            <w:hideMark/>
          </w:tcPr>
          <w:p w14:paraId="0251024C"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0.547</w:t>
            </w:r>
          </w:p>
        </w:tc>
        <w:tc>
          <w:tcPr>
            <w:tcW w:w="993" w:type="dxa"/>
            <w:tcBorders>
              <w:top w:val="nil"/>
              <w:left w:val="nil"/>
              <w:bottom w:val="single" w:sz="4" w:space="0" w:color="auto"/>
              <w:right w:val="nil"/>
            </w:tcBorders>
            <w:shd w:val="clear" w:color="auto" w:fill="auto"/>
            <w:noWrap/>
            <w:vAlign w:val="bottom"/>
            <w:hideMark/>
          </w:tcPr>
          <w:p w14:paraId="78D1D6ED"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0.568</w:t>
            </w:r>
          </w:p>
        </w:tc>
        <w:tc>
          <w:tcPr>
            <w:tcW w:w="1000" w:type="dxa"/>
            <w:tcBorders>
              <w:top w:val="nil"/>
              <w:left w:val="nil"/>
              <w:bottom w:val="single" w:sz="4" w:space="0" w:color="auto"/>
              <w:right w:val="single" w:sz="4" w:space="0" w:color="auto"/>
            </w:tcBorders>
            <w:shd w:val="clear" w:color="auto" w:fill="auto"/>
            <w:noWrap/>
            <w:vAlign w:val="bottom"/>
            <w:hideMark/>
          </w:tcPr>
          <w:p w14:paraId="252F4095" w14:textId="77777777" w:rsidR="00ED02A4" w:rsidRPr="00570794" w:rsidRDefault="00ED02A4" w:rsidP="00367A87">
            <w:pPr>
              <w:spacing w:after="0" w:line="240" w:lineRule="auto"/>
              <w:jc w:val="right"/>
              <w:rPr>
                <w:rFonts w:ascii="Calibri" w:eastAsia="Times New Roman" w:hAnsi="Calibri" w:cs="Calibri"/>
                <w:color w:val="000000"/>
                <w:lang w:eastAsia="en-IE"/>
              </w:rPr>
            </w:pPr>
            <w:r w:rsidRPr="00570794">
              <w:rPr>
                <w:rFonts w:ascii="Calibri" w:eastAsia="Times New Roman" w:hAnsi="Calibri" w:cs="Calibri"/>
                <w:color w:val="000000"/>
                <w:lang w:eastAsia="en-IE"/>
              </w:rPr>
              <w:t>0.598</w:t>
            </w:r>
          </w:p>
        </w:tc>
      </w:tr>
    </w:tbl>
    <w:p w14:paraId="7F718945" w14:textId="77777777" w:rsidR="00ED02A4" w:rsidRDefault="00ED02A4" w:rsidP="00ED02A4">
      <w:pPr>
        <w:jc w:val="both"/>
        <w:rPr>
          <w:rFonts w:eastAsia="Times New Roman" w:cs="Times New Roman"/>
          <w:color w:val="000000"/>
          <w:lang w:eastAsia="en-IE"/>
        </w:rPr>
      </w:pPr>
    </w:p>
    <w:p w14:paraId="41AC0CFC" w14:textId="6A111999" w:rsidR="00ED02A4" w:rsidRDefault="00ED02A4" w:rsidP="00380104">
      <w:pPr>
        <w:spacing w:line="240" w:lineRule="auto"/>
        <w:jc w:val="both"/>
        <w:rPr>
          <w:rFonts w:eastAsia="Times New Roman" w:cs="Times New Roman"/>
          <w:color w:val="000000"/>
          <w:lang w:eastAsia="en-IE"/>
        </w:rPr>
      </w:pPr>
      <w:r>
        <w:rPr>
          <w:rFonts w:eastAsia="Times New Roman" w:cs="Times New Roman"/>
          <w:color w:val="000000"/>
          <w:lang w:eastAsia="en-IE"/>
        </w:rPr>
        <w:t xml:space="preserve">Notes: This table replicates the unbalanced panel regressions in Table 9 with balanced panel regressions. </w:t>
      </w:r>
      <w:r w:rsidRPr="0033355B">
        <w:rPr>
          <w:rFonts w:eastAsia="Times New Roman" w:cs="Times New Roman"/>
          <w:color w:val="000000"/>
          <w:lang w:eastAsia="en-IE"/>
        </w:rPr>
        <w:t xml:space="preserve">The </w:t>
      </w:r>
      <w:r>
        <w:rPr>
          <w:rFonts w:eastAsia="Times New Roman" w:cs="Times New Roman"/>
          <w:color w:val="000000"/>
          <w:lang w:eastAsia="en-IE"/>
        </w:rPr>
        <w:t xml:space="preserve">balanced panel </w:t>
      </w:r>
      <w:r w:rsidRPr="0033355B">
        <w:rPr>
          <w:rFonts w:eastAsia="Times New Roman" w:cs="Times New Roman"/>
          <w:color w:val="000000"/>
          <w:lang w:eastAsia="en-IE"/>
        </w:rPr>
        <w:t xml:space="preserve">regressions estimate the relation between the diversification indexes, Equity, Bond and REIT, and proxies for macro-financial and developmental factors.  Given the high correlation between many developmental factors in table 6, a single variable, </w:t>
      </w:r>
      <w:r>
        <w:rPr>
          <w:rFonts w:eastAsia="Times New Roman" w:cs="Times New Roman"/>
          <w:color w:val="000000"/>
          <w:lang w:eastAsia="en-IE"/>
        </w:rPr>
        <w:t>i</w:t>
      </w:r>
      <w:r w:rsidRPr="0033355B">
        <w:rPr>
          <w:rFonts w:eastAsia="Times New Roman" w:cs="Times New Roman"/>
          <w:color w:val="000000"/>
          <w:lang w:eastAsia="en-IE"/>
        </w:rPr>
        <w:t>s included in the regressions.  INTERNET represent</w:t>
      </w:r>
      <w:r>
        <w:rPr>
          <w:rFonts w:eastAsia="Times New Roman" w:cs="Times New Roman"/>
          <w:color w:val="000000"/>
          <w:lang w:eastAsia="en-IE"/>
        </w:rPr>
        <w:t>s</w:t>
      </w:r>
      <w:r w:rsidRPr="0033355B">
        <w:rPr>
          <w:rFonts w:eastAsia="Times New Roman" w:cs="Times New Roman"/>
          <w:color w:val="000000"/>
          <w:lang w:eastAsia="en-IE"/>
        </w:rPr>
        <w:t xml:space="preserve"> country level data.  The first Principal Component of a set of </w:t>
      </w:r>
      <w:r w:rsidR="0064075D" w:rsidRPr="0064075D">
        <w:rPr>
          <w:rFonts w:eastAsia="Times New Roman" w:cs="Times New Roman"/>
          <w:color w:val="000000"/>
          <w:lang w:eastAsia="en-IE"/>
        </w:rPr>
        <w:t xml:space="preserve">country level </w:t>
      </w:r>
      <w:r w:rsidRPr="0033355B">
        <w:rPr>
          <w:rFonts w:eastAsia="Times New Roman" w:cs="Times New Roman"/>
          <w:color w:val="000000"/>
          <w:lang w:eastAsia="en-IE"/>
        </w:rPr>
        <w:t>developmental factors, DEVPC1, is also included separately as a developmental factor instead of intern</w:t>
      </w:r>
      <w:r>
        <w:rPr>
          <w:rFonts w:eastAsia="Times New Roman" w:cs="Times New Roman"/>
          <w:color w:val="000000"/>
          <w:lang w:eastAsia="en-IE"/>
        </w:rPr>
        <w:t xml:space="preserve">et.  Results are reported for </w:t>
      </w:r>
      <w:r w:rsidRPr="0033355B">
        <w:rPr>
          <w:rFonts w:eastAsia="Times New Roman" w:cs="Times New Roman"/>
          <w:color w:val="000000"/>
          <w:lang w:eastAsia="en-IE"/>
        </w:rPr>
        <w:t>balanced panels with a timeframe 19</w:t>
      </w:r>
      <w:r>
        <w:rPr>
          <w:rFonts w:eastAsia="Times New Roman" w:cs="Times New Roman"/>
          <w:color w:val="000000"/>
          <w:lang w:eastAsia="en-IE"/>
        </w:rPr>
        <w:t>96</w:t>
      </w:r>
      <w:r w:rsidRPr="0033355B">
        <w:rPr>
          <w:rFonts w:eastAsia="Times New Roman" w:cs="Times New Roman"/>
          <w:color w:val="000000"/>
          <w:lang w:eastAsia="en-IE"/>
        </w:rPr>
        <w:t>-201</w:t>
      </w:r>
      <w:r>
        <w:rPr>
          <w:rFonts w:eastAsia="Times New Roman" w:cs="Times New Roman"/>
          <w:color w:val="000000"/>
          <w:lang w:eastAsia="en-IE"/>
        </w:rPr>
        <w:t>0</w:t>
      </w:r>
      <w:r w:rsidRPr="0033355B">
        <w:rPr>
          <w:rFonts w:eastAsia="Times New Roman" w:cs="Times New Roman"/>
          <w:color w:val="000000"/>
          <w:lang w:eastAsia="en-IE"/>
        </w:rPr>
        <w:t xml:space="preserve">.  Country fixed effects are included in all regressions.  P-values are in bold and italics. </w:t>
      </w:r>
    </w:p>
    <w:p w14:paraId="007AEF33" w14:textId="77777777" w:rsidR="00ED02A4" w:rsidRDefault="00ED02A4" w:rsidP="00ED02A4">
      <w:pPr>
        <w:rPr>
          <w:rFonts w:eastAsia="Times New Roman" w:cs="Times New Roman"/>
          <w:color w:val="000000"/>
          <w:lang w:eastAsia="en-IE"/>
        </w:rPr>
      </w:pPr>
      <w:r>
        <w:rPr>
          <w:rFonts w:eastAsia="Times New Roman" w:cs="Times New Roman"/>
          <w:color w:val="000000"/>
          <w:lang w:eastAsia="en-IE"/>
        </w:rPr>
        <w:br w:type="page"/>
      </w:r>
    </w:p>
    <w:p w14:paraId="07372E3B" w14:textId="14AEF985" w:rsidR="00ED02A4" w:rsidRPr="00020590" w:rsidRDefault="00ED02A4" w:rsidP="00ED02A4">
      <w:pPr>
        <w:spacing w:after="0" w:line="240" w:lineRule="auto"/>
        <w:jc w:val="center"/>
        <w:rPr>
          <w:rFonts w:ascii="Calibri" w:eastAsia="Times New Roman" w:hAnsi="Calibri" w:cs="Times New Roman"/>
          <w:b/>
          <w:bCs/>
          <w:color w:val="000000"/>
          <w:sz w:val="24"/>
          <w:szCs w:val="24"/>
          <w:lang w:eastAsia="en-IE"/>
        </w:rPr>
      </w:pPr>
      <w:r>
        <w:rPr>
          <w:rFonts w:ascii="Calibri" w:eastAsia="Times New Roman" w:hAnsi="Calibri" w:cs="Times New Roman"/>
          <w:b/>
          <w:bCs/>
          <w:color w:val="000000"/>
          <w:sz w:val="24"/>
          <w:szCs w:val="24"/>
          <w:lang w:eastAsia="en-IE"/>
        </w:rPr>
        <w:lastRenderedPageBreak/>
        <w:t xml:space="preserve">Appendix </w:t>
      </w:r>
      <w:r w:rsidRPr="00020590">
        <w:rPr>
          <w:rFonts w:ascii="Calibri" w:eastAsia="Times New Roman" w:hAnsi="Calibri" w:cs="Times New Roman"/>
          <w:b/>
          <w:bCs/>
          <w:color w:val="000000"/>
          <w:sz w:val="24"/>
          <w:szCs w:val="24"/>
          <w:lang w:eastAsia="en-IE"/>
        </w:rPr>
        <w:t xml:space="preserve">Table </w:t>
      </w:r>
      <w:r w:rsidR="000C6697">
        <w:rPr>
          <w:rFonts w:ascii="Calibri" w:eastAsia="Times New Roman" w:hAnsi="Calibri" w:cs="Times New Roman"/>
          <w:b/>
          <w:bCs/>
          <w:color w:val="000000"/>
          <w:sz w:val="24"/>
          <w:szCs w:val="24"/>
          <w:lang w:eastAsia="en-IE"/>
        </w:rPr>
        <w:t>5</w:t>
      </w:r>
    </w:p>
    <w:p w14:paraId="6AF53179" w14:textId="77777777" w:rsidR="00ED02A4" w:rsidRDefault="00ED02A4" w:rsidP="00ED02A4">
      <w:pPr>
        <w:spacing w:line="240" w:lineRule="auto"/>
        <w:jc w:val="center"/>
        <w:rPr>
          <w:rFonts w:ascii="Calibri" w:eastAsia="Times New Roman" w:hAnsi="Calibri" w:cs="Times New Roman"/>
          <w:b/>
          <w:bCs/>
          <w:color w:val="000000"/>
          <w:sz w:val="24"/>
          <w:szCs w:val="24"/>
          <w:lang w:eastAsia="en-IE"/>
        </w:rPr>
      </w:pPr>
      <w:r w:rsidRPr="00020590">
        <w:rPr>
          <w:rFonts w:ascii="Calibri" w:eastAsia="Times New Roman" w:hAnsi="Calibri" w:cs="Times New Roman"/>
          <w:b/>
          <w:bCs/>
          <w:color w:val="000000"/>
          <w:sz w:val="24"/>
          <w:szCs w:val="24"/>
          <w:lang w:eastAsia="en-IE"/>
        </w:rPr>
        <w:t xml:space="preserve">Panel Regression Analysis </w:t>
      </w:r>
      <w:r>
        <w:rPr>
          <w:rFonts w:ascii="Calibri" w:eastAsia="Times New Roman" w:hAnsi="Calibri" w:cs="Times New Roman"/>
          <w:b/>
          <w:bCs/>
          <w:color w:val="000000"/>
          <w:sz w:val="24"/>
          <w:szCs w:val="24"/>
          <w:lang w:eastAsia="en-IE"/>
        </w:rPr>
        <w:t xml:space="preserve">for Geographical and </w:t>
      </w:r>
      <w:proofErr w:type="gramStart"/>
      <w:r>
        <w:rPr>
          <w:rFonts w:ascii="Calibri" w:eastAsia="Times New Roman" w:hAnsi="Calibri" w:cs="Times New Roman"/>
          <w:b/>
          <w:bCs/>
          <w:color w:val="000000"/>
          <w:sz w:val="24"/>
          <w:szCs w:val="24"/>
          <w:lang w:eastAsia="en-IE"/>
        </w:rPr>
        <w:t>Time Based</w:t>
      </w:r>
      <w:proofErr w:type="gramEnd"/>
      <w:r>
        <w:rPr>
          <w:rFonts w:ascii="Calibri" w:eastAsia="Times New Roman" w:hAnsi="Calibri" w:cs="Times New Roman"/>
          <w:b/>
          <w:bCs/>
          <w:color w:val="000000"/>
          <w:sz w:val="24"/>
          <w:szCs w:val="24"/>
          <w:lang w:eastAsia="en-IE"/>
        </w:rPr>
        <w:t xml:space="preserve"> Cohorts with Alternative Developmental Factor</w:t>
      </w:r>
    </w:p>
    <w:tbl>
      <w:tblPr>
        <w:tblW w:w="10176" w:type="dxa"/>
        <w:tblInd w:w="103" w:type="dxa"/>
        <w:tblLook w:val="04A0" w:firstRow="1" w:lastRow="0" w:firstColumn="1" w:lastColumn="0" w:noHBand="0" w:noVBand="1"/>
      </w:tblPr>
      <w:tblGrid>
        <w:gridCol w:w="1235"/>
        <w:gridCol w:w="1177"/>
        <w:gridCol w:w="1059"/>
        <w:gridCol w:w="936"/>
        <w:gridCol w:w="935"/>
        <w:gridCol w:w="935"/>
        <w:gridCol w:w="935"/>
        <w:gridCol w:w="935"/>
        <w:gridCol w:w="1087"/>
        <w:gridCol w:w="942"/>
      </w:tblGrid>
      <w:tr w:rsidR="00ED02A4" w:rsidRPr="00570794" w14:paraId="254409FB" w14:textId="77777777" w:rsidTr="00380104">
        <w:trPr>
          <w:trHeight w:val="288"/>
        </w:trPr>
        <w:tc>
          <w:tcPr>
            <w:tcW w:w="1235" w:type="dxa"/>
            <w:tcBorders>
              <w:top w:val="single" w:sz="4" w:space="0" w:color="auto"/>
              <w:left w:val="single" w:sz="4" w:space="0" w:color="auto"/>
              <w:bottom w:val="nil"/>
              <w:right w:val="nil"/>
            </w:tcBorders>
            <w:shd w:val="clear" w:color="auto" w:fill="auto"/>
            <w:noWrap/>
            <w:vAlign w:val="bottom"/>
            <w:hideMark/>
          </w:tcPr>
          <w:p w14:paraId="5B77E275"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 </w:t>
            </w:r>
          </w:p>
        </w:tc>
        <w:tc>
          <w:tcPr>
            <w:tcW w:w="3172" w:type="dxa"/>
            <w:gridSpan w:val="3"/>
            <w:tcBorders>
              <w:top w:val="single" w:sz="4" w:space="0" w:color="auto"/>
              <w:left w:val="nil"/>
              <w:bottom w:val="nil"/>
              <w:right w:val="nil"/>
            </w:tcBorders>
            <w:shd w:val="clear" w:color="auto" w:fill="auto"/>
            <w:noWrap/>
            <w:vAlign w:val="bottom"/>
            <w:hideMark/>
          </w:tcPr>
          <w:p w14:paraId="21378F87" w14:textId="77777777" w:rsidR="00ED02A4" w:rsidRPr="00570794" w:rsidRDefault="00ED02A4" w:rsidP="00367A87">
            <w:pPr>
              <w:spacing w:after="0" w:line="240" w:lineRule="auto"/>
              <w:jc w:val="center"/>
              <w:rPr>
                <w:rFonts w:ascii="Calibri" w:eastAsia="Times New Roman" w:hAnsi="Calibri" w:cs="Calibri"/>
                <w:color w:val="000000"/>
                <w:lang w:eastAsia="en-IE"/>
              </w:rPr>
            </w:pPr>
            <w:r w:rsidRPr="00570794">
              <w:rPr>
                <w:rFonts w:ascii="Calibri" w:eastAsia="Times New Roman" w:hAnsi="Calibri" w:cs="Calibri"/>
                <w:color w:val="000000"/>
                <w:lang w:eastAsia="en-IE"/>
              </w:rPr>
              <w:t>Geographical Cohorts Equity</w:t>
            </w:r>
          </w:p>
        </w:tc>
        <w:tc>
          <w:tcPr>
            <w:tcW w:w="5769" w:type="dxa"/>
            <w:gridSpan w:val="6"/>
            <w:tcBorders>
              <w:top w:val="single" w:sz="4" w:space="0" w:color="auto"/>
              <w:left w:val="nil"/>
              <w:bottom w:val="nil"/>
              <w:right w:val="single" w:sz="4" w:space="0" w:color="000000"/>
            </w:tcBorders>
            <w:shd w:val="clear" w:color="auto" w:fill="auto"/>
            <w:noWrap/>
            <w:vAlign w:val="center"/>
            <w:hideMark/>
          </w:tcPr>
          <w:p w14:paraId="6B89EC88" w14:textId="77777777" w:rsidR="00ED02A4" w:rsidRPr="00570794" w:rsidRDefault="00ED02A4" w:rsidP="00367A87">
            <w:pPr>
              <w:spacing w:after="0" w:line="240" w:lineRule="auto"/>
              <w:jc w:val="center"/>
              <w:rPr>
                <w:rFonts w:ascii="Calibri" w:eastAsia="Times New Roman" w:hAnsi="Calibri" w:cs="Calibri"/>
                <w:color w:val="000000"/>
                <w:lang w:eastAsia="en-IE"/>
              </w:rPr>
            </w:pPr>
            <w:r w:rsidRPr="00570794">
              <w:rPr>
                <w:rFonts w:ascii="Calibri" w:eastAsia="Times New Roman" w:hAnsi="Calibri" w:cs="Calibri"/>
                <w:color w:val="000000"/>
                <w:lang w:eastAsia="en-IE"/>
              </w:rPr>
              <w:t>Time Cohorts</w:t>
            </w:r>
          </w:p>
        </w:tc>
      </w:tr>
      <w:tr w:rsidR="00ED02A4" w:rsidRPr="00570794" w14:paraId="60B38581"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3E3F9D4D"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 </w:t>
            </w:r>
          </w:p>
        </w:tc>
        <w:tc>
          <w:tcPr>
            <w:tcW w:w="1177" w:type="dxa"/>
            <w:tcBorders>
              <w:top w:val="nil"/>
              <w:left w:val="nil"/>
              <w:bottom w:val="nil"/>
              <w:right w:val="nil"/>
            </w:tcBorders>
            <w:shd w:val="clear" w:color="auto" w:fill="auto"/>
            <w:noWrap/>
            <w:vAlign w:val="center"/>
            <w:hideMark/>
          </w:tcPr>
          <w:p w14:paraId="298278E0" w14:textId="77777777" w:rsidR="00ED02A4" w:rsidRPr="00570794" w:rsidRDefault="00ED02A4" w:rsidP="00367A87">
            <w:pPr>
              <w:spacing w:after="0" w:line="240" w:lineRule="auto"/>
              <w:jc w:val="center"/>
              <w:rPr>
                <w:rFonts w:ascii="Calibri" w:eastAsia="Times New Roman" w:hAnsi="Calibri" w:cs="Calibri"/>
                <w:color w:val="000000"/>
                <w:lang w:eastAsia="en-IE"/>
              </w:rPr>
            </w:pPr>
            <w:r w:rsidRPr="00570794">
              <w:rPr>
                <w:rFonts w:ascii="Calibri" w:eastAsia="Times New Roman" w:hAnsi="Calibri" w:cs="Calibri"/>
                <w:color w:val="000000"/>
                <w:lang w:eastAsia="en-IE"/>
              </w:rPr>
              <w:t xml:space="preserve">Developed </w:t>
            </w:r>
          </w:p>
        </w:tc>
        <w:tc>
          <w:tcPr>
            <w:tcW w:w="1059" w:type="dxa"/>
            <w:tcBorders>
              <w:top w:val="nil"/>
              <w:left w:val="nil"/>
              <w:bottom w:val="nil"/>
              <w:right w:val="nil"/>
            </w:tcBorders>
            <w:shd w:val="clear" w:color="auto" w:fill="auto"/>
            <w:noWrap/>
            <w:vAlign w:val="center"/>
            <w:hideMark/>
          </w:tcPr>
          <w:p w14:paraId="0D64046B" w14:textId="77777777" w:rsidR="00ED02A4" w:rsidRPr="00570794" w:rsidRDefault="00ED02A4" w:rsidP="00367A87">
            <w:pPr>
              <w:spacing w:after="0" w:line="240" w:lineRule="auto"/>
              <w:jc w:val="center"/>
              <w:rPr>
                <w:rFonts w:ascii="Calibri" w:eastAsia="Times New Roman" w:hAnsi="Calibri" w:cs="Calibri"/>
                <w:color w:val="000000"/>
                <w:lang w:eastAsia="en-IE"/>
              </w:rPr>
            </w:pPr>
            <w:r w:rsidRPr="00570794">
              <w:rPr>
                <w:rFonts w:ascii="Calibri" w:eastAsia="Times New Roman" w:hAnsi="Calibri" w:cs="Calibri"/>
                <w:color w:val="000000"/>
                <w:lang w:eastAsia="en-IE"/>
              </w:rPr>
              <w:t>Emerging</w:t>
            </w:r>
          </w:p>
        </w:tc>
        <w:tc>
          <w:tcPr>
            <w:tcW w:w="936" w:type="dxa"/>
            <w:tcBorders>
              <w:top w:val="nil"/>
              <w:left w:val="nil"/>
              <w:bottom w:val="nil"/>
              <w:right w:val="nil"/>
            </w:tcBorders>
            <w:shd w:val="clear" w:color="auto" w:fill="auto"/>
            <w:noWrap/>
            <w:vAlign w:val="center"/>
            <w:hideMark/>
          </w:tcPr>
          <w:p w14:paraId="510A2495" w14:textId="77777777" w:rsidR="00ED02A4" w:rsidRPr="00570794" w:rsidRDefault="00ED02A4" w:rsidP="00367A87">
            <w:pPr>
              <w:spacing w:after="0" w:line="240" w:lineRule="auto"/>
              <w:jc w:val="center"/>
              <w:rPr>
                <w:rFonts w:ascii="Calibri" w:eastAsia="Times New Roman" w:hAnsi="Calibri" w:cs="Calibri"/>
                <w:color w:val="000000"/>
                <w:lang w:eastAsia="en-IE"/>
              </w:rPr>
            </w:pPr>
            <w:r w:rsidRPr="00570794">
              <w:rPr>
                <w:rFonts w:ascii="Calibri" w:eastAsia="Times New Roman" w:hAnsi="Calibri" w:cs="Calibri"/>
                <w:color w:val="000000"/>
                <w:lang w:eastAsia="en-IE"/>
              </w:rPr>
              <w:t>Frontier</w:t>
            </w:r>
          </w:p>
        </w:tc>
        <w:tc>
          <w:tcPr>
            <w:tcW w:w="2805" w:type="dxa"/>
            <w:gridSpan w:val="3"/>
            <w:tcBorders>
              <w:top w:val="nil"/>
              <w:left w:val="nil"/>
              <w:bottom w:val="nil"/>
              <w:right w:val="nil"/>
            </w:tcBorders>
            <w:shd w:val="clear" w:color="auto" w:fill="auto"/>
            <w:noWrap/>
            <w:vAlign w:val="bottom"/>
            <w:hideMark/>
          </w:tcPr>
          <w:p w14:paraId="0D2A4C50" w14:textId="77777777" w:rsidR="00ED02A4" w:rsidRPr="00570794" w:rsidRDefault="00ED02A4" w:rsidP="00367A87">
            <w:pPr>
              <w:spacing w:after="0" w:line="240" w:lineRule="auto"/>
              <w:jc w:val="center"/>
              <w:rPr>
                <w:rFonts w:ascii="Calibri" w:eastAsia="Times New Roman" w:hAnsi="Calibri" w:cs="Calibri"/>
                <w:color w:val="000000"/>
                <w:lang w:eastAsia="en-IE"/>
              </w:rPr>
            </w:pPr>
            <w:r w:rsidRPr="00570794">
              <w:rPr>
                <w:rFonts w:ascii="Calibri" w:eastAsia="Times New Roman" w:hAnsi="Calibri" w:cs="Calibri"/>
                <w:color w:val="000000"/>
                <w:lang w:eastAsia="en-IE"/>
              </w:rPr>
              <w:t>Pre 2000</w:t>
            </w:r>
          </w:p>
        </w:tc>
        <w:tc>
          <w:tcPr>
            <w:tcW w:w="2964" w:type="dxa"/>
            <w:gridSpan w:val="3"/>
            <w:tcBorders>
              <w:top w:val="nil"/>
              <w:left w:val="nil"/>
              <w:bottom w:val="nil"/>
              <w:right w:val="single" w:sz="4" w:space="0" w:color="000000"/>
            </w:tcBorders>
            <w:shd w:val="clear" w:color="auto" w:fill="auto"/>
            <w:noWrap/>
            <w:vAlign w:val="bottom"/>
            <w:hideMark/>
          </w:tcPr>
          <w:p w14:paraId="2ABE46EC" w14:textId="77777777" w:rsidR="00ED02A4" w:rsidRPr="00570794" w:rsidRDefault="00ED02A4" w:rsidP="00367A87">
            <w:pPr>
              <w:spacing w:after="0" w:line="240" w:lineRule="auto"/>
              <w:jc w:val="center"/>
              <w:rPr>
                <w:rFonts w:ascii="Calibri" w:eastAsia="Times New Roman" w:hAnsi="Calibri" w:cs="Calibri"/>
                <w:color w:val="000000"/>
                <w:lang w:eastAsia="en-IE"/>
              </w:rPr>
            </w:pPr>
            <w:r w:rsidRPr="00570794">
              <w:rPr>
                <w:rFonts w:ascii="Calibri" w:eastAsia="Times New Roman" w:hAnsi="Calibri" w:cs="Calibri"/>
                <w:color w:val="000000"/>
                <w:lang w:eastAsia="en-IE"/>
              </w:rPr>
              <w:t>Post 2000</w:t>
            </w:r>
          </w:p>
        </w:tc>
      </w:tr>
      <w:tr w:rsidR="00ED02A4" w:rsidRPr="00570794" w14:paraId="70D3E0EC"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6215816D"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 </w:t>
            </w:r>
          </w:p>
        </w:tc>
        <w:tc>
          <w:tcPr>
            <w:tcW w:w="1177" w:type="dxa"/>
            <w:tcBorders>
              <w:top w:val="nil"/>
              <w:left w:val="nil"/>
              <w:bottom w:val="nil"/>
              <w:right w:val="nil"/>
            </w:tcBorders>
            <w:shd w:val="clear" w:color="auto" w:fill="auto"/>
            <w:noWrap/>
            <w:vAlign w:val="bottom"/>
            <w:hideMark/>
          </w:tcPr>
          <w:p w14:paraId="6E130B16"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1059" w:type="dxa"/>
            <w:tcBorders>
              <w:top w:val="nil"/>
              <w:left w:val="nil"/>
              <w:bottom w:val="nil"/>
              <w:right w:val="nil"/>
            </w:tcBorders>
            <w:shd w:val="clear" w:color="auto" w:fill="auto"/>
            <w:noWrap/>
            <w:vAlign w:val="center"/>
            <w:hideMark/>
          </w:tcPr>
          <w:p w14:paraId="6B9D38AF" w14:textId="77777777" w:rsidR="00ED02A4" w:rsidRPr="00570794" w:rsidRDefault="00ED02A4" w:rsidP="00367A87">
            <w:pPr>
              <w:spacing w:after="0" w:line="240" w:lineRule="auto"/>
              <w:jc w:val="center"/>
              <w:rPr>
                <w:rFonts w:ascii="Calibri" w:eastAsia="Times New Roman" w:hAnsi="Calibri" w:cs="Calibri"/>
                <w:color w:val="000000"/>
                <w:lang w:eastAsia="en-IE"/>
              </w:rPr>
            </w:pPr>
          </w:p>
        </w:tc>
        <w:tc>
          <w:tcPr>
            <w:tcW w:w="936" w:type="dxa"/>
            <w:tcBorders>
              <w:top w:val="nil"/>
              <w:left w:val="nil"/>
              <w:bottom w:val="nil"/>
              <w:right w:val="nil"/>
            </w:tcBorders>
            <w:shd w:val="clear" w:color="auto" w:fill="auto"/>
            <w:noWrap/>
            <w:vAlign w:val="center"/>
            <w:hideMark/>
          </w:tcPr>
          <w:p w14:paraId="09948EC8" w14:textId="77777777" w:rsidR="00ED02A4" w:rsidRPr="00570794" w:rsidRDefault="00ED02A4" w:rsidP="00367A87">
            <w:pPr>
              <w:spacing w:after="0" w:line="240" w:lineRule="auto"/>
              <w:jc w:val="center"/>
              <w:rPr>
                <w:rFonts w:ascii="Calibri" w:eastAsia="Times New Roman" w:hAnsi="Calibri" w:cs="Calibri"/>
                <w:color w:val="000000"/>
                <w:lang w:eastAsia="en-IE"/>
              </w:rPr>
            </w:pPr>
          </w:p>
        </w:tc>
        <w:tc>
          <w:tcPr>
            <w:tcW w:w="935" w:type="dxa"/>
            <w:tcBorders>
              <w:top w:val="nil"/>
              <w:left w:val="nil"/>
              <w:bottom w:val="nil"/>
              <w:right w:val="nil"/>
            </w:tcBorders>
            <w:shd w:val="clear" w:color="auto" w:fill="auto"/>
            <w:noWrap/>
            <w:vAlign w:val="center"/>
            <w:hideMark/>
          </w:tcPr>
          <w:p w14:paraId="23365637"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Equity</w:t>
            </w:r>
          </w:p>
        </w:tc>
        <w:tc>
          <w:tcPr>
            <w:tcW w:w="935" w:type="dxa"/>
            <w:tcBorders>
              <w:top w:val="nil"/>
              <w:left w:val="nil"/>
              <w:bottom w:val="nil"/>
              <w:right w:val="nil"/>
            </w:tcBorders>
            <w:shd w:val="clear" w:color="auto" w:fill="auto"/>
            <w:noWrap/>
            <w:vAlign w:val="center"/>
            <w:hideMark/>
          </w:tcPr>
          <w:p w14:paraId="7696415C"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Bond</w:t>
            </w:r>
          </w:p>
        </w:tc>
        <w:tc>
          <w:tcPr>
            <w:tcW w:w="935" w:type="dxa"/>
            <w:tcBorders>
              <w:top w:val="nil"/>
              <w:left w:val="nil"/>
              <w:bottom w:val="nil"/>
              <w:right w:val="nil"/>
            </w:tcBorders>
            <w:shd w:val="clear" w:color="auto" w:fill="auto"/>
            <w:noWrap/>
            <w:vAlign w:val="center"/>
            <w:hideMark/>
          </w:tcPr>
          <w:p w14:paraId="7D566E43"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REIT</w:t>
            </w:r>
          </w:p>
        </w:tc>
        <w:tc>
          <w:tcPr>
            <w:tcW w:w="935" w:type="dxa"/>
            <w:tcBorders>
              <w:top w:val="nil"/>
              <w:left w:val="nil"/>
              <w:bottom w:val="nil"/>
              <w:right w:val="nil"/>
            </w:tcBorders>
            <w:shd w:val="clear" w:color="auto" w:fill="auto"/>
            <w:noWrap/>
            <w:vAlign w:val="center"/>
            <w:hideMark/>
          </w:tcPr>
          <w:p w14:paraId="77D10CAD"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Equity</w:t>
            </w:r>
          </w:p>
        </w:tc>
        <w:tc>
          <w:tcPr>
            <w:tcW w:w="1087" w:type="dxa"/>
            <w:tcBorders>
              <w:top w:val="nil"/>
              <w:left w:val="nil"/>
              <w:bottom w:val="nil"/>
              <w:right w:val="nil"/>
            </w:tcBorders>
            <w:shd w:val="clear" w:color="auto" w:fill="auto"/>
            <w:noWrap/>
            <w:vAlign w:val="center"/>
            <w:hideMark/>
          </w:tcPr>
          <w:p w14:paraId="29E0514B"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Bond</w:t>
            </w:r>
          </w:p>
        </w:tc>
        <w:tc>
          <w:tcPr>
            <w:tcW w:w="942" w:type="dxa"/>
            <w:tcBorders>
              <w:top w:val="nil"/>
              <w:left w:val="nil"/>
              <w:bottom w:val="nil"/>
              <w:right w:val="single" w:sz="4" w:space="0" w:color="auto"/>
            </w:tcBorders>
            <w:shd w:val="clear" w:color="auto" w:fill="auto"/>
            <w:noWrap/>
            <w:vAlign w:val="center"/>
            <w:hideMark/>
          </w:tcPr>
          <w:p w14:paraId="1D9B7B3F"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REIT</w:t>
            </w:r>
          </w:p>
        </w:tc>
      </w:tr>
      <w:tr w:rsidR="00ED02A4" w:rsidRPr="00570794" w14:paraId="15D4C1DA"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0B68B10D"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TED</w:t>
            </w:r>
          </w:p>
        </w:tc>
        <w:tc>
          <w:tcPr>
            <w:tcW w:w="1177" w:type="dxa"/>
            <w:tcBorders>
              <w:top w:val="nil"/>
              <w:left w:val="nil"/>
              <w:bottom w:val="nil"/>
              <w:right w:val="nil"/>
            </w:tcBorders>
            <w:shd w:val="clear" w:color="auto" w:fill="auto"/>
            <w:noWrap/>
            <w:vAlign w:val="center"/>
            <w:hideMark/>
          </w:tcPr>
          <w:p w14:paraId="4A5D082E"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-5.895</w:t>
            </w:r>
          </w:p>
        </w:tc>
        <w:tc>
          <w:tcPr>
            <w:tcW w:w="1059" w:type="dxa"/>
            <w:tcBorders>
              <w:top w:val="nil"/>
              <w:left w:val="nil"/>
              <w:bottom w:val="nil"/>
              <w:right w:val="nil"/>
            </w:tcBorders>
            <w:shd w:val="clear" w:color="auto" w:fill="auto"/>
            <w:noWrap/>
            <w:vAlign w:val="center"/>
            <w:hideMark/>
          </w:tcPr>
          <w:p w14:paraId="6E0F98FC"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-5.208</w:t>
            </w:r>
          </w:p>
        </w:tc>
        <w:tc>
          <w:tcPr>
            <w:tcW w:w="936" w:type="dxa"/>
            <w:tcBorders>
              <w:top w:val="nil"/>
              <w:left w:val="nil"/>
              <w:bottom w:val="nil"/>
              <w:right w:val="nil"/>
            </w:tcBorders>
            <w:shd w:val="clear" w:color="auto" w:fill="auto"/>
            <w:noWrap/>
            <w:vAlign w:val="center"/>
            <w:hideMark/>
          </w:tcPr>
          <w:p w14:paraId="676CF84D"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-14.848</w:t>
            </w:r>
          </w:p>
        </w:tc>
        <w:tc>
          <w:tcPr>
            <w:tcW w:w="935" w:type="dxa"/>
            <w:tcBorders>
              <w:top w:val="nil"/>
              <w:left w:val="nil"/>
              <w:bottom w:val="nil"/>
              <w:right w:val="nil"/>
            </w:tcBorders>
            <w:shd w:val="clear" w:color="auto" w:fill="auto"/>
            <w:noWrap/>
            <w:vAlign w:val="center"/>
            <w:hideMark/>
          </w:tcPr>
          <w:p w14:paraId="5A7E8C72"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-19.522</w:t>
            </w:r>
          </w:p>
        </w:tc>
        <w:tc>
          <w:tcPr>
            <w:tcW w:w="935" w:type="dxa"/>
            <w:tcBorders>
              <w:top w:val="nil"/>
              <w:left w:val="nil"/>
              <w:bottom w:val="nil"/>
              <w:right w:val="nil"/>
            </w:tcBorders>
            <w:shd w:val="clear" w:color="auto" w:fill="auto"/>
            <w:noWrap/>
            <w:vAlign w:val="center"/>
            <w:hideMark/>
          </w:tcPr>
          <w:p w14:paraId="43DECF86"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-2.398</w:t>
            </w:r>
          </w:p>
        </w:tc>
        <w:tc>
          <w:tcPr>
            <w:tcW w:w="935" w:type="dxa"/>
            <w:tcBorders>
              <w:top w:val="nil"/>
              <w:left w:val="nil"/>
              <w:bottom w:val="nil"/>
              <w:right w:val="nil"/>
            </w:tcBorders>
            <w:shd w:val="clear" w:color="auto" w:fill="auto"/>
            <w:noWrap/>
            <w:vAlign w:val="center"/>
            <w:hideMark/>
          </w:tcPr>
          <w:p w14:paraId="55CC26EA"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-25.088</w:t>
            </w:r>
          </w:p>
        </w:tc>
        <w:tc>
          <w:tcPr>
            <w:tcW w:w="935" w:type="dxa"/>
            <w:tcBorders>
              <w:top w:val="nil"/>
              <w:left w:val="nil"/>
              <w:bottom w:val="nil"/>
              <w:right w:val="nil"/>
            </w:tcBorders>
            <w:shd w:val="clear" w:color="auto" w:fill="auto"/>
            <w:noWrap/>
            <w:vAlign w:val="center"/>
            <w:hideMark/>
          </w:tcPr>
          <w:p w14:paraId="13FDB3AE"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-17.244</w:t>
            </w:r>
          </w:p>
        </w:tc>
        <w:tc>
          <w:tcPr>
            <w:tcW w:w="1087" w:type="dxa"/>
            <w:tcBorders>
              <w:top w:val="nil"/>
              <w:left w:val="nil"/>
              <w:bottom w:val="nil"/>
              <w:right w:val="nil"/>
            </w:tcBorders>
            <w:shd w:val="clear" w:color="auto" w:fill="auto"/>
            <w:noWrap/>
            <w:vAlign w:val="center"/>
            <w:hideMark/>
          </w:tcPr>
          <w:p w14:paraId="06E2D76E"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-24.804</w:t>
            </w:r>
          </w:p>
        </w:tc>
        <w:tc>
          <w:tcPr>
            <w:tcW w:w="942" w:type="dxa"/>
            <w:tcBorders>
              <w:top w:val="nil"/>
              <w:left w:val="nil"/>
              <w:bottom w:val="nil"/>
              <w:right w:val="single" w:sz="4" w:space="0" w:color="auto"/>
            </w:tcBorders>
            <w:shd w:val="clear" w:color="auto" w:fill="auto"/>
            <w:noWrap/>
            <w:vAlign w:val="center"/>
            <w:hideMark/>
          </w:tcPr>
          <w:p w14:paraId="476F59CC"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-27.108</w:t>
            </w:r>
          </w:p>
        </w:tc>
      </w:tr>
      <w:tr w:rsidR="00ED02A4" w:rsidRPr="00570794" w14:paraId="7AD65F5A"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1E1D7A66"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center"/>
            <w:hideMark/>
          </w:tcPr>
          <w:p w14:paraId="6BED695A"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0.168</w:t>
            </w:r>
          </w:p>
        </w:tc>
        <w:tc>
          <w:tcPr>
            <w:tcW w:w="1059" w:type="dxa"/>
            <w:tcBorders>
              <w:top w:val="nil"/>
              <w:left w:val="nil"/>
              <w:bottom w:val="nil"/>
              <w:right w:val="nil"/>
            </w:tcBorders>
            <w:shd w:val="clear" w:color="auto" w:fill="auto"/>
            <w:noWrap/>
            <w:vAlign w:val="center"/>
            <w:hideMark/>
          </w:tcPr>
          <w:p w14:paraId="0DEF9AC8"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0.142</w:t>
            </w:r>
          </w:p>
        </w:tc>
        <w:tc>
          <w:tcPr>
            <w:tcW w:w="936" w:type="dxa"/>
            <w:tcBorders>
              <w:top w:val="nil"/>
              <w:left w:val="nil"/>
              <w:bottom w:val="nil"/>
              <w:right w:val="nil"/>
            </w:tcBorders>
            <w:shd w:val="clear" w:color="auto" w:fill="auto"/>
            <w:noWrap/>
            <w:vAlign w:val="center"/>
            <w:hideMark/>
          </w:tcPr>
          <w:p w14:paraId="3C11B283"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935" w:type="dxa"/>
            <w:tcBorders>
              <w:top w:val="nil"/>
              <w:left w:val="nil"/>
              <w:bottom w:val="nil"/>
              <w:right w:val="nil"/>
            </w:tcBorders>
            <w:shd w:val="clear" w:color="auto" w:fill="auto"/>
            <w:noWrap/>
            <w:vAlign w:val="center"/>
            <w:hideMark/>
          </w:tcPr>
          <w:p w14:paraId="0DFA2CDA"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0.108</w:t>
            </w:r>
          </w:p>
        </w:tc>
        <w:tc>
          <w:tcPr>
            <w:tcW w:w="935" w:type="dxa"/>
            <w:tcBorders>
              <w:top w:val="nil"/>
              <w:left w:val="nil"/>
              <w:bottom w:val="nil"/>
              <w:right w:val="nil"/>
            </w:tcBorders>
            <w:shd w:val="clear" w:color="auto" w:fill="auto"/>
            <w:noWrap/>
            <w:vAlign w:val="center"/>
            <w:hideMark/>
          </w:tcPr>
          <w:p w14:paraId="519751D4"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0.782</w:t>
            </w:r>
          </w:p>
        </w:tc>
        <w:tc>
          <w:tcPr>
            <w:tcW w:w="935" w:type="dxa"/>
            <w:tcBorders>
              <w:top w:val="nil"/>
              <w:left w:val="nil"/>
              <w:bottom w:val="nil"/>
              <w:right w:val="nil"/>
            </w:tcBorders>
            <w:shd w:val="clear" w:color="auto" w:fill="auto"/>
            <w:noWrap/>
            <w:vAlign w:val="center"/>
            <w:hideMark/>
          </w:tcPr>
          <w:p w14:paraId="352B196B"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0.044</w:t>
            </w:r>
          </w:p>
        </w:tc>
        <w:tc>
          <w:tcPr>
            <w:tcW w:w="935" w:type="dxa"/>
            <w:tcBorders>
              <w:top w:val="nil"/>
              <w:left w:val="nil"/>
              <w:bottom w:val="nil"/>
              <w:right w:val="nil"/>
            </w:tcBorders>
            <w:shd w:val="clear" w:color="auto" w:fill="auto"/>
            <w:noWrap/>
            <w:vAlign w:val="center"/>
            <w:hideMark/>
          </w:tcPr>
          <w:p w14:paraId="517AEAD2"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1087" w:type="dxa"/>
            <w:tcBorders>
              <w:top w:val="nil"/>
              <w:left w:val="nil"/>
              <w:bottom w:val="nil"/>
              <w:right w:val="nil"/>
            </w:tcBorders>
            <w:shd w:val="clear" w:color="auto" w:fill="auto"/>
            <w:noWrap/>
            <w:vAlign w:val="center"/>
            <w:hideMark/>
          </w:tcPr>
          <w:p w14:paraId="738F6908"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942" w:type="dxa"/>
            <w:tcBorders>
              <w:top w:val="nil"/>
              <w:left w:val="nil"/>
              <w:bottom w:val="nil"/>
              <w:right w:val="single" w:sz="4" w:space="0" w:color="auto"/>
            </w:tcBorders>
            <w:shd w:val="clear" w:color="auto" w:fill="auto"/>
            <w:noWrap/>
            <w:vAlign w:val="center"/>
            <w:hideMark/>
          </w:tcPr>
          <w:p w14:paraId="5FBD4394"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0.017</w:t>
            </w:r>
          </w:p>
        </w:tc>
      </w:tr>
      <w:tr w:rsidR="00ED02A4" w:rsidRPr="00570794" w14:paraId="74A0D54B"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0D14F0B1"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VIX</w:t>
            </w:r>
          </w:p>
        </w:tc>
        <w:tc>
          <w:tcPr>
            <w:tcW w:w="1177" w:type="dxa"/>
            <w:tcBorders>
              <w:top w:val="nil"/>
              <w:left w:val="nil"/>
              <w:bottom w:val="nil"/>
              <w:right w:val="nil"/>
            </w:tcBorders>
            <w:shd w:val="clear" w:color="auto" w:fill="auto"/>
            <w:noWrap/>
            <w:vAlign w:val="center"/>
            <w:hideMark/>
          </w:tcPr>
          <w:p w14:paraId="7762667A"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-0.041</w:t>
            </w:r>
          </w:p>
        </w:tc>
        <w:tc>
          <w:tcPr>
            <w:tcW w:w="1059" w:type="dxa"/>
            <w:tcBorders>
              <w:top w:val="nil"/>
              <w:left w:val="nil"/>
              <w:bottom w:val="nil"/>
              <w:right w:val="nil"/>
            </w:tcBorders>
            <w:shd w:val="clear" w:color="auto" w:fill="auto"/>
            <w:noWrap/>
            <w:vAlign w:val="center"/>
            <w:hideMark/>
          </w:tcPr>
          <w:p w14:paraId="15024EA8"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-0.147</w:t>
            </w:r>
          </w:p>
        </w:tc>
        <w:tc>
          <w:tcPr>
            <w:tcW w:w="936" w:type="dxa"/>
            <w:tcBorders>
              <w:top w:val="nil"/>
              <w:left w:val="nil"/>
              <w:bottom w:val="nil"/>
              <w:right w:val="nil"/>
            </w:tcBorders>
            <w:shd w:val="clear" w:color="auto" w:fill="auto"/>
            <w:noWrap/>
            <w:vAlign w:val="center"/>
            <w:hideMark/>
          </w:tcPr>
          <w:p w14:paraId="149051EF"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0.314</w:t>
            </w:r>
          </w:p>
        </w:tc>
        <w:tc>
          <w:tcPr>
            <w:tcW w:w="935" w:type="dxa"/>
            <w:tcBorders>
              <w:top w:val="nil"/>
              <w:left w:val="nil"/>
              <w:bottom w:val="nil"/>
              <w:right w:val="nil"/>
            </w:tcBorders>
            <w:shd w:val="clear" w:color="auto" w:fill="auto"/>
            <w:noWrap/>
            <w:vAlign w:val="center"/>
            <w:hideMark/>
          </w:tcPr>
          <w:p w14:paraId="7FA3FB90"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-1.389</w:t>
            </w:r>
          </w:p>
        </w:tc>
        <w:tc>
          <w:tcPr>
            <w:tcW w:w="935" w:type="dxa"/>
            <w:tcBorders>
              <w:top w:val="nil"/>
              <w:left w:val="nil"/>
              <w:bottom w:val="nil"/>
              <w:right w:val="nil"/>
            </w:tcBorders>
            <w:shd w:val="clear" w:color="auto" w:fill="auto"/>
            <w:noWrap/>
            <w:vAlign w:val="center"/>
            <w:hideMark/>
          </w:tcPr>
          <w:p w14:paraId="50F6B6ED"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-0.386</w:t>
            </w:r>
          </w:p>
        </w:tc>
        <w:tc>
          <w:tcPr>
            <w:tcW w:w="935" w:type="dxa"/>
            <w:tcBorders>
              <w:top w:val="nil"/>
              <w:left w:val="nil"/>
              <w:bottom w:val="nil"/>
              <w:right w:val="nil"/>
            </w:tcBorders>
            <w:shd w:val="clear" w:color="auto" w:fill="auto"/>
            <w:noWrap/>
            <w:vAlign w:val="center"/>
            <w:hideMark/>
          </w:tcPr>
          <w:p w14:paraId="23D4866E"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0.163</w:t>
            </w:r>
          </w:p>
        </w:tc>
        <w:tc>
          <w:tcPr>
            <w:tcW w:w="935" w:type="dxa"/>
            <w:tcBorders>
              <w:top w:val="nil"/>
              <w:left w:val="nil"/>
              <w:bottom w:val="nil"/>
              <w:right w:val="nil"/>
            </w:tcBorders>
            <w:shd w:val="clear" w:color="auto" w:fill="auto"/>
            <w:noWrap/>
            <w:vAlign w:val="center"/>
            <w:hideMark/>
          </w:tcPr>
          <w:p w14:paraId="2B35E5C1"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0.689</w:t>
            </w:r>
          </w:p>
        </w:tc>
        <w:tc>
          <w:tcPr>
            <w:tcW w:w="1087" w:type="dxa"/>
            <w:tcBorders>
              <w:top w:val="nil"/>
              <w:left w:val="nil"/>
              <w:bottom w:val="nil"/>
              <w:right w:val="nil"/>
            </w:tcBorders>
            <w:shd w:val="clear" w:color="auto" w:fill="auto"/>
            <w:noWrap/>
            <w:vAlign w:val="center"/>
            <w:hideMark/>
          </w:tcPr>
          <w:p w14:paraId="4DBBF501"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1.658</w:t>
            </w:r>
          </w:p>
        </w:tc>
        <w:tc>
          <w:tcPr>
            <w:tcW w:w="942" w:type="dxa"/>
            <w:tcBorders>
              <w:top w:val="nil"/>
              <w:left w:val="nil"/>
              <w:bottom w:val="nil"/>
              <w:right w:val="single" w:sz="4" w:space="0" w:color="auto"/>
            </w:tcBorders>
            <w:shd w:val="clear" w:color="auto" w:fill="auto"/>
            <w:noWrap/>
            <w:vAlign w:val="center"/>
            <w:hideMark/>
          </w:tcPr>
          <w:p w14:paraId="3EB303AD"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0.659</w:t>
            </w:r>
          </w:p>
        </w:tc>
      </w:tr>
      <w:tr w:rsidR="00ED02A4" w:rsidRPr="00570794" w14:paraId="60C45A54"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59238918"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center"/>
            <w:hideMark/>
          </w:tcPr>
          <w:p w14:paraId="434F384F"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0.841</w:t>
            </w:r>
          </w:p>
        </w:tc>
        <w:tc>
          <w:tcPr>
            <w:tcW w:w="1059" w:type="dxa"/>
            <w:tcBorders>
              <w:top w:val="nil"/>
              <w:left w:val="nil"/>
              <w:bottom w:val="nil"/>
              <w:right w:val="nil"/>
            </w:tcBorders>
            <w:shd w:val="clear" w:color="auto" w:fill="auto"/>
            <w:noWrap/>
            <w:vAlign w:val="center"/>
            <w:hideMark/>
          </w:tcPr>
          <w:p w14:paraId="512FF954"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0.360</w:t>
            </w:r>
          </w:p>
        </w:tc>
        <w:tc>
          <w:tcPr>
            <w:tcW w:w="936" w:type="dxa"/>
            <w:tcBorders>
              <w:top w:val="nil"/>
              <w:left w:val="nil"/>
              <w:bottom w:val="nil"/>
              <w:right w:val="nil"/>
            </w:tcBorders>
            <w:shd w:val="clear" w:color="auto" w:fill="auto"/>
            <w:noWrap/>
            <w:vAlign w:val="center"/>
            <w:hideMark/>
          </w:tcPr>
          <w:p w14:paraId="387CE20F"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0.080</w:t>
            </w:r>
          </w:p>
        </w:tc>
        <w:tc>
          <w:tcPr>
            <w:tcW w:w="935" w:type="dxa"/>
            <w:tcBorders>
              <w:top w:val="nil"/>
              <w:left w:val="nil"/>
              <w:bottom w:val="nil"/>
              <w:right w:val="nil"/>
            </w:tcBorders>
            <w:shd w:val="clear" w:color="auto" w:fill="auto"/>
            <w:noWrap/>
            <w:vAlign w:val="center"/>
            <w:hideMark/>
          </w:tcPr>
          <w:p w14:paraId="29F92B6C"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935" w:type="dxa"/>
            <w:tcBorders>
              <w:top w:val="nil"/>
              <w:left w:val="nil"/>
              <w:bottom w:val="nil"/>
              <w:right w:val="nil"/>
            </w:tcBorders>
            <w:shd w:val="clear" w:color="auto" w:fill="auto"/>
            <w:noWrap/>
            <w:vAlign w:val="center"/>
            <w:hideMark/>
          </w:tcPr>
          <w:p w14:paraId="57039D22"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0.039</w:t>
            </w:r>
          </w:p>
        </w:tc>
        <w:tc>
          <w:tcPr>
            <w:tcW w:w="935" w:type="dxa"/>
            <w:tcBorders>
              <w:top w:val="nil"/>
              <w:left w:val="nil"/>
              <w:bottom w:val="nil"/>
              <w:right w:val="nil"/>
            </w:tcBorders>
            <w:shd w:val="clear" w:color="auto" w:fill="auto"/>
            <w:noWrap/>
            <w:vAlign w:val="center"/>
            <w:hideMark/>
          </w:tcPr>
          <w:p w14:paraId="40B00575"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0.559</w:t>
            </w:r>
          </w:p>
        </w:tc>
        <w:tc>
          <w:tcPr>
            <w:tcW w:w="935" w:type="dxa"/>
            <w:tcBorders>
              <w:top w:val="nil"/>
              <w:left w:val="nil"/>
              <w:bottom w:val="nil"/>
              <w:right w:val="nil"/>
            </w:tcBorders>
            <w:shd w:val="clear" w:color="auto" w:fill="auto"/>
            <w:noWrap/>
            <w:vAlign w:val="center"/>
            <w:hideMark/>
          </w:tcPr>
          <w:p w14:paraId="3BCE26C1"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0.001</w:t>
            </w:r>
          </w:p>
        </w:tc>
        <w:tc>
          <w:tcPr>
            <w:tcW w:w="1087" w:type="dxa"/>
            <w:tcBorders>
              <w:top w:val="nil"/>
              <w:left w:val="nil"/>
              <w:bottom w:val="nil"/>
              <w:right w:val="nil"/>
            </w:tcBorders>
            <w:shd w:val="clear" w:color="auto" w:fill="auto"/>
            <w:noWrap/>
            <w:vAlign w:val="center"/>
            <w:hideMark/>
          </w:tcPr>
          <w:p w14:paraId="6EB19E5D"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942" w:type="dxa"/>
            <w:tcBorders>
              <w:top w:val="nil"/>
              <w:left w:val="nil"/>
              <w:bottom w:val="nil"/>
              <w:right w:val="single" w:sz="4" w:space="0" w:color="auto"/>
            </w:tcBorders>
            <w:shd w:val="clear" w:color="auto" w:fill="auto"/>
            <w:noWrap/>
            <w:vAlign w:val="center"/>
            <w:hideMark/>
          </w:tcPr>
          <w:p w14:paraId="2F155756"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0.156</w:t>
            </w:r>
          </w:p>
        </w:tc>
      </w:tr>
      <w:tr w:rsidR="00ED02A4" w:rsidRPr="00570794" w14:paraId="4774D4E7"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67CA2B6B"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SENT</w:t>
            </w:r>
          </w:p>
        </w:tc>
        <w:tc>
          <w:tcPr>
            <w:tcW w:w="1177" w:type="dxa"/>
            <w:tcBorders>
              <w:top w:val="nil"/>
              <w:left w:val="nil"/>
              <w:bottom w:val="nil"/>
              <w:right w:val="nil"/>
            </w:tcBorders>
            <w:shd w:val="clear" w:color="auto" w:fill="auto"/>
            <w:noWrap/>
            <w:vAlign w:val="center"/>
            <w:hideMark/>
          </w:tcPr>
          <w:p w14:paraId="51F09F15"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2.209</w:t>
            </w:r>
          </w:p>
        </w:tc>
        <w:tc>
          <w:tcPr>
            <w:tcW w:w="1059" w:type="dxa"/>
            <w:tcBorders>
              <w:top w:val="nil"/>
              <w:left w:val="nil"/>
              <w:bottom w:val="nil"/>
              <w:right w:val="nil"/>
            </w:tcBorders>
            <w:shd w:val="clear" w:color="auto" w:fill="auto"/>
            <w:noWrap/>
            <w:vAlign w:val="center"/>
            <w:hideMark/>
          </w:tcPr>
          <w:p w14:paraId="1713C219"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-3.317</w:t>
            </w:r>
          </w:p>
        </w:tc>
        <w:tc>
          <w:tcPr>
            <w:tcW w:w="936" w:type="dxa"/>
            <w:tcBorders>
              <w:top w:val="nil"/>
              <w:left w:val="nil"/>
              <w:bottom w:val="nil"/>
              <w:right w:val="nil"/>
            </w:tcBorders>
            <w:shd w:val="clear" w:color="auto" w:fill="auto"/>
            <w:noWrap/>
            <w:vAlign w:val="center"/>
            <w:hideMark/>
          </w:tcPr>
          <w:p w14:paraId="6C09E7E9"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1.850</w:t>
            </w:r>
          </w:p>
        </w:tc>
        <w:tc>
          <w:tcPr>
            <w:tcW w:w="935" w:type="dxa"/>
            <w:tcBorders>
              <w:top w:val="nil"/>
              <w:left w:val="nil"/>
              <w:bottom w:val="nil"/>
              <w:right w:val="nil"/>
            </w:tcBorders>
            <w:shd w:val="clear" w:color="auto" w:fill="auto"/>
            <w:noWrap/>
            <w:vAlign w:val="center"/>
            <w:hideMark/>
          </w:tcPr>
          <w:p w14:paraId="5312C3A3"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-1.334</w:t>
            </w:r>
          </w:p>
        </w:tc>
        <w:tc>
          <w:tcPr>
            <w:tcW w:w="935" w:type="dxa"/>
            <w:tcBorders>
              <w:top w:val="nil"/>
              <w:left w:val="nil"/>
              <w:bottom w:val="nil"/>
              <w:right w:val="nil"/>
            </w:tcBorders>
            <w:shd w:val="clear" w:color="auto" w:fill="auto"/>
            <w:noWrap/>
            <w:vAlign w:val="center"/>
            <w:hideMark/>
          </w:tcPr>
          <w:p w14:paraId="11E836EF"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-0.389</w:t>
            </w:r>
          </w:p>
        </w:tc>
        <w:tc>
          <w:tcPr>
            <w:tcW w:w="935" w:type="dxa"/>
            <w:tcBorders>
              <w:top w:val="nil"/>
              <w:left w:val="nil"/>
              <w:bottom w:val="nil"/>
              <w:right w:val="nil"/>
            </w:tcBorders>
            <w:shd w:val="clear" w:color="auto" w:fill="auto"/>
            <w:noWrap/>
            <w:vAlign w:val="center"/>
            <w:hideMark/>
          </w:tcPr>
          <w:p w14:paraId="149025D3"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-3.287</w:t>
            </w:r>
          </w:p>
        </w:tc>
        <w:tc>
          <w:tcPr>
            <w:tcW w:w="935" w:type="dxa"/>
            <w:tcBorders>
              <w:top w:val="nil"/>
              <w:left w:val="nil"/>
              <w:bottom w:val="nil"/>
              <w:right w:val="nil"/>
            </w:tcBorders>
            <w:shd w:val="clear" w:color="auto" w:fill="auto"/>
            <w:noWrap/>
            <w:vAlign w:val="center"/>
            <w:hideMark/>
          </w:tcPr>
          <w:p w14:paraId="7907CF90"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5.709</w:t>
            </w:r>
          </w:p>
        </w:tc>
        <w:tc>
          <w:tcPr>
            <w:tcW w:w="1087" w:type="dxa"/>
            <w:tcBorders>
              <w:top w:val="nil"/>
              <w:left w:val="nil"/>
              <w:bottom w:val="nil"/>
              <w:right w:val="nil"/>
            </w:tcBorders>
            <w:shd w:val="clear" w:color="auto" w:fill="auto"/>
            <w:noWrap/>
            <w:vAlign w:val="center"/>
            <w:hideMark/>
          </w:tcPr>
          <w:p w14:paraId="3BB2C531"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-2.752</w:t>
            </w:r>
          </w:p>
        </w:tc>
        <w:tc>
          <w:tcPr>
            <w:tcW w:w="942" w:type="dxa"/>
            <w:tcBorders>
              <w:top w:val="nil"/>
              <w:left w:val="nil"/>
              <w:bottom w:val="nil"/>
              <w:right w:val="single" w:sz="4" w:space="0" w:color="auto"/>
            </w:tcBorders>
            <w:shd w:val="clear" w:color="auto" w:fill="auto"/>
            <w:noWrap/>
            <w:vAlign w:val="center"/>
            <w:hideMark/>
          </w:tcPr>
          <w:p w14:paraId="5443C8A2"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6.153</w:t>
            </w:r>
          </w:p>
        </w:tc>
      </w:tr>
      <w:tr w:rsidR="00ED02A4" w:rsidRPr="00570794" w14:paraId="63DB6EA5"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68188AE4"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center"/>
            <w:hideMark/>
          </w:tcPr>
          <w:p w14:paraId="10953907"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0.138</w:t>
            </w:r>
          </w:p>
        </w:tc>
        <w:tc>
          <w:tcPr>
            <w:tcW w:w="1059" w:type="dxa"/>
            <w:tcBorders>
              <w:top w:val="nil"/>
              <w:left w:val="nil"/>
              <w:bottom w:val="nil"/>
              <w:right w:val="nil"/>
            </w:tcBorders>
            <w:shd w:val="clear" w:color="auto" w:fill="auto"/>
            <w:noWrap/>
            <w:vAlign w:val="center"/>
            <w:hideMark/>
          </w:tcPr>
          <w:p w14:paraId="47B9801C"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0.259</w:t>
            </w:r>
          </w:p>
        </w:tc>
        <w:tc>
          <w:tcPr>
            <w:tcW w:w="936" w:type="dxa"/>
            <w:tcBorders>
              <w:top w:val="nil"/>
              <w:left w:val="nil"/>
              <w:bottom w:val="nil"/>
              <w:right w:val="nil"/>
            </w:tcBorders>
            <w:shd w:val="clear" w:color="auto" w:fill="auto"/>
            <w:noWrap/>
            <w:vAlign w:val="center"/>
            <w:hideMark/>
          </w:tcPr>
          <w:p w14:paraId="32747F59"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0.092</w:t>
            </w:r>
          </w:p>
        </w:tc>
        <w:tc>
          <w:tcPr>
            <w:tcW w:w="935" w:type="dxa"/>
            <w:tcBorders>
              <w:top w:val="nil"/>
              <w:left w:val="nil"/>
              <w:bottom w:val="nil"/>
              <w:right w:val="nil"/>
            </w:tcBorders>
            <w:shd w:val="clear" w:color="auto" w:fill="auto"/>
            <w:noWrap/>
            <w:vAlign w:val="center"/>
            <w:hideMark/>
          </w:tcPr>
          <w:p w14:paraId="3A46569E"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0.504</w:t>
            </w:r>
          </w:p>
        </w:tc>
        <w:tc>
          <w:tcPr>
            <w:tcW w:w="935" w:type="dxa"/>
            <w:tcBorders>
              <w:top w:val="nil"/>
              <w:left w:val="nil"/>
              <w:bottom w:val="nil"/>
              <w:right w:val="nil"/>
            </w:tcBorders>
            <w:shd w:val="clear" w:color="auto" w:fill="auto"/>
            <w:noWrap/>
            <w:vAlign w:val="center"/>
            <w:hideMark/>
          </w:tcPr>
          <w:p w14:paraId="3775CAB5"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0.778</w:t>
            </w:r>
          </w:p>
        </w:tc>
        <w:tc>
          <w:tcPr>
            <w:tcW w:w="935" w:type="dxa"/>
            <w:tcBorders>
              <w:top w:val="nil"/>
              <w:left w:val="nil"/>
              <w:bottom w:val="nil"/>
              <w:right w:val="nil"/>
            </w:tcBorders>
            <w:shd w:val="clear" w:color="auto" w:fill="auto"/>
            <w:noWrap/>
            <w:vAlign w:val="center"/>
            <w:hideMark/>
          </w:tcPr>
          <w:p w14:paraId="3CEE5D64"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0.470</w:t>
            </w:r>
          </w:p>
        </w:tc>
        <w:tc>
          <w:tcPr>
            <w:tcW w:w="935" w:type="dxa"/>
            <w:tcBorders>
              <w:top w:val="nil"/>
              <w:left w:val="nil"/>
              <w:bottom w:val="nil"/>
              <w:right w:val="nil"/>
            </w:tcBorders>
            <w:shd w:val="clear" w:color="auto" w:fill="auto"/>
            <w:noWrap/>
            <w:vAlign w:val="center"/>
            <w:hideMark/>
          </w:tcPr>
          <w:p w14:paraId="1F81A4CA"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0.030</w:t>
            </w:r>
          </w:p>
        </w:tc>
        <w:tc>
          <w:tcPr>
            <w:tcW w:w="1087" w:type="dxa"/>
            <w:tcBorders>
              <w:top w:val="nil"/>
              <w:left w:val="nil"/>
              <w:bottom w:val="nil"/>
              <w:right w:val="nil"/>
            </w:tcBorders>
            <w:shd w:val="clear" w:color="auto" w:fill="auto"/>
            <w:noWrap/>
            <w:vAlign w:val="center"/>
            <w:hideMark/>
          </w:tcPr>
          <w:p w14:paraId="4B9B9C98"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0.255</w:t>
            </w:r>
          </w:p>
        </w:tc>
        <w:tc>
          <w:tcPr>
            <w:tcW w:w="942" w:type="dxa"/>
            <w:tcBorders>
              <w:top w:val="nil"/>
              <w:left w:val="nil"/>
              <w:bottom w:val="nil"/>
              <w:right w:val="single" w:sz="4" w:space="0" w:color="auto"/>
            </w:tcBorders>
            <w:shd w:val="clear" w:color="auto" w:fill="auto"/>
            <w:noWrap/>
            <w:vAlign w:val="center"/>
            <w:hideMark/>
          </w:tcPr>
          <w:p w14:paraId="2BD34A70"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0.169</w:t>
            </w:r>
          </w:p>
        </w:tc>
      </w:tr>
      <w:tr w:rsidR="00ED02A4" w:rsidRPr="00570794" w14:paraId="1C43B506"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7430A67A"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FEDFUNDS</w:t>
            </w:r>
          </w:p>
        </w:tc>
        <w:tc>
          <w:tcPr>
            <w:tcW w:w="1177" w:type="dxa"/>
            <w:tcBorders>
              <w:top w:val="nil"/>
              <w:left w:val="nil"/>
              <w:bottom w:val="nil"/>
              <w:right w:val="nil"/>
            </w:tcBorders>
            <w:shd w:val="clear" w:color="auto" w:fill="auto"/>
            <w:noWrap/>
            <w:vAlign w:val="center"/>
            <w:hideMark/>
          </w:tcPr>
          <w:p w14:paraId="096F7DCD"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1.092</w:t>
            </w:r>
          </w:p>
        </w:tc>
        <w:tc>
          <w:tcPr>
            <w:tcW w:w="1059" w:type="dxa"/>
            <w:tcBorders>
              <w:top w:val="nil"/>
              <w:left w:val="nil"/>
              <w:bottom w:val="nil"/>
              <w:right w:val="nil"/>
            </w:tcBorders>
            <w:shd w:val="clear" w:color="auto" w:fill="auto"/>
            <w:noWrap/>
            <w:vAlign w:val="center"/>
            <w:hideMark/>
          </w:tcPr>
          <w:p w14:paraId="1539CF1B"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0.714</w:t>
            </w:r>
          </w:p>
        </w:tc>
        <w:tc>
          <w:tcPr>
            <w:tcW w:w="936" w:type="dxa"/>
            <w:tcBorders>
              <w:top w:val="nil"/>
              <w:left w:val="nil"/>
              <w:bottom w:val="nil"/>
              <w:right w:val="nil"/>
            </w:tcBorders>
            <w:shd w:val="clear" w:color="auto" w:fill="auto"/>
            <w:noWrap/>
            <w:vAlign w:val="center"/>
            <w:hideMark/>
          </w:tcPr>
          <w:p w14:paraId="65CB0A09"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0.687</w:t>
            </w:r>
          </w:p>
        </w:tc>
        <w:tc>
          <w:tcPr>
            <w:tcW w:w="935" w:type="dxa"/>
            <w:tcBorders>
              <w:top w:val="nil"/>
              <w:left w:val="nil"/>
              <w:bottom w:val="nil"/>
              <w:right w:val="nil"/>
            </w:tcBorders>
            <w:shd w:val="clear" w:color="auto" w:fill="auto"/>
            <w:noWrap/>
            <w:vAlign w:val="center"/>
            <w:hideMark/>
          </w:tcPr>
          <w:p w14:paraId="394CE332"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4.557</w:t>
            </w:r>
          </w:p>
        </w:tc>
        <w:tc>
          <w:tcPr>
            <w:tcW w:w="935" w:type="dxa"/>
            <w:tcBorders>
              <w:top w:val="nil"/>
              <w:left w:val="nil"/>
              <w:bottom w:val="nil"/>
              <w:right w:val="nil"/>
            </w:tcBorders>
            <w:shd w:val="clear" w:color="auto" w:fill="auto"/>
            <w:noWrap/>
            <w:vAlign w:val="center"/>
            <w:hideMark/>
          </w:tcPr>
          <w:p w14:paraId="55B4CC88"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2.622</w:t>
            </w:r>
          </w:p>
        </w:tc>
        <w:tc>
          <w:tcPr>
            <w:tcW w:w="935" w:type="dxa"/>
            <w:tcBorders>
              <w:top w:val="nil"/>
              <w:left w:val="nil"/>
              <w:bottom w:val="nil"/>
              <w:right w:val="nil"/>
            </w:tcBorders>
            <w:shd w:val="clear" w:color="auto" w:fill="auto"/>
            <w:noWrap/>
            <w:vAlign w:val="center"/>
            <w:hideMark/>
          </w:tcPr>
          <w:p w14:paraId="14174F4E"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2.951</w:t>
            </w:r>
          </w:p>
        </w:tc>
        <w:tc>
          <w:tcPr>
            <w:tcW w:w="935" w:type="dxa"/>
            <w:tcBorders>
              <w:top w:val="nil"/>
              <w:left w:val="nil"/>
              <w:bottom w:val="nil"/>
              <w:right w:val="nil"/>
            </w:tcBorders>
            <w:shd w:val="clear" w:color="auto" w:fill="auto"/>
            <w:noWrap/>
            <w:vAlign w:val="center"/>
            <w:hideMark/>
          </w:tcPr>
          <w:p w14:paraId="5D4A2B44"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0.422</w:t>
            </w:r>
          </w:p>
        </w:tc>
        <w:tc>
          <w:tcPr>
            <w:tcW w:w="1087" w:type="dxa"/>
            <w:tcBorders>
              <w:top w:val="nil"/>
              <w:left w:val="nil"/>
              <w:bottom w:val="nil"/>
              <w:right w:val="nil"/>
            </w:tcBorders>
            <w:shd w:val="clear" w:color="auto" w:fill="auto"/>
            <w:noWrap/>
            <w:vAlign w:val="center"/>
            <w:hideMark/>
          </w:tcPr>
          <w:p w14:paraId="016AB7EF"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3.042</w:t>
            </w:r>
          </w:p>
        </w:tc>
        <w:tc>
          <w:tcPr>
            <w:tcW w:w="942" w:type="dxa"/>
            <w:tcBorders>
              <w:top w:val="nil"/>
              <w:left w:val="nil"/>
              <w:bottom w:val="nil"/>
              <w:right w:val="single" w:sz="4" w:space="0" w:color="auto"/>
            </w:tcBorders>
            <w:shd w:val="clear" w:color="auto" w:fill="auto"/>
            <w:noWrap/>
            <w:vAlign w:val="center"/>
            <w:hideMark/>
          </w:tcPr>
          <w:p w14:paraId="761EF256"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-1.089</w:t>
            </w:r>
          </w:p>
        </w:tc>
      </w:tr>
      <w:tr w:rsidR="00ED02A4" w:rsidRPr="00570794" w14:paraId="517FDF48"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6C8455B5"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center"/>
            <w:hideMark/>
          </w:tcPr>
          <w:p w14:paraId="2BD8F93D"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0.041</w:t>
            </w:r>
          </w:p>
        </w:tc>
        <w:tc>
          <w:tcPr>
            <w:tcW w:w="1059" w:type="dxa"/>
            <w:tcBorders>
              <w:top w:val="nil"/>
              <w:left w:val="nil"/>
              <w:bottom w:val="nil"/>
              <w:right w:val="nil"/>
            </w:tcBorders>
            <w:shd w:val="clear" w:color="auto" w:fill="auto"/>
            <w:noWrap/>
            <w:vAlign w:val="center"/>
            <w:hideMark/>
          </w:tcPr>
          <w:p w14:paraId="3DDE75FF"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0.533</w:t>
            </w:r>
          </w:p>
        </w:tc>
        <w:tc>
          <w:tcPr>
            <w:tcW w:w="936" w:type="dxa"/>
            <w:tcBorders>
              <w:top w:val="nil"/>
              <w:left w:val="nil"/>
              <w:bottom w:val="nil"/>
              <w:right w:val="nil"/>
            </w:tcBorders>
            <w:shd w:val="clear" w:color="auto" w:fill="auto"/>
            <w:noWrap/>
            <w:vAlign w:val="center"/>
            <w:hideMark/>
          </w:tcPr>
          <w:p w14:paraId="1A619380"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0.128</w:t>
            </w:r>
          </w:p>
        </w:tc>
        <w:tc>
          <w:tcPr>
            <w:tcW w:w="935" w:type="dxa"/>
            <w:tcBorders>
              <w:top w:val="nil"/>
              <w:left w:val="nil"/>
              <w:bottom w:val="nil"/>
              <w:right w:val="nil"/>
            </w:tcBorders>
            <w:shd w:val="clear" w:color="auto" w:fill="auto"/>
            <w:noWrap/>
            <w:vAlign w:val="center"/>
            <w:hideMark/>
          </w:tcPr>
          <w:p w14:paraId="2C646380"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935" w:type="dxa"/>
            <w:tcBorders>
              <w:top w:val="nil"/>
              <w:left w:val="nil"/>
              <w:bottom w:val="nil"/>
              <w:right w:val="nil"/>
            </w:tcBorders>
            <w:shd w:val="clear" w:color="auto" w:fill="auto"/>
            <w:noWrap/>
            <w:vAlign w:val="center"/>
            <w:hideMark/>
          </w:tcPr>
          <w:p w14:paraId="224A02B7"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935" w:type="dxa"/>
            <w:tcBorders>
              <w:top w:val="nil"/>
              <w:left w:val="nil"/>
              <w:bottom w:val="nil"/>
              <w:right w:val="nil"/>
            </w:tcBorders>
            <w:shd w:val="clear" w:color="auto" w:fill="auto"/>
            <w:noWrap/>
            <w:vAlign w:val="center"/>
            <w:hideMark/>
          </w:tcPr>
          <w:p w14:paraId="0C56D876"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0.002</w:t>
            </w:r>
          </w:p>
        </w:tc>
        <w:tc>
          <w:tcPr>
            <w:tcW w:w="935" w:type="dxa"/>
            <w:tcBorders>
              <w:top w:val="nil"/>
              <w:left w:val="nil"/>
              <w:bottom w:val="nil"/>
              <w:right w:val="nil"/>
            </w:tcBorders>
            <w:shd w:val="clear" w:color="auto" w:fill="auto"/>
            <w:noWrap/>
            <w:vAlign w:val="center"/>
            <w:hideMark/>
          </w:tcPr>
          <w:p w14:paraId="7ABAE042"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0.534</w:t>
            </w:r>
          </w:p>
        </w:tc>
        <w:tc>
          <w:tcPr>
            <w:tcW w:w="1087" w:type="dxa"/>
            <w:tcBorders>
              <w:top w:val="nil"/>
              <w:left w:val="nil"/>
              <w:bottom w:val="nil"/>
              <w:right w:val="nil"/>
            </w:tcBorders>
            <w:shd w:val="clear" w:color="auto" w:fill="auto"/>
            <w:noWrap/>
            <w:vAlign w:val="center"/>
            <w:hideMark/>
          </w:tcPr>
          <w:p w14:paraId="6E3A496C"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942" w:type="dxa"/>
            <w:tcBorders>
              <w:top w:val="nil"/>
              <w:left w:val="nil"/>
              <w:bottom w:val="nil"/>
              <w:right w:val="single" w:sz="4" w:space="0" w:color="auto"/>
            </w:tcBorders>
            <w:shd w:val="clear" w:color="auto" w:fill="auto"/>
            <w:noWrap/>
            <w:vAlign w:val="center"/>
            <w:hideMark/>
          </w:tcPr>
          <w:p w14:paraId="4D1FA168"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0.335</w:t>
            </w:r>
          </w:p>
        </w:tc>
      </w:tr>
      <w:tr w:rsidR="00ED02A4" w:rsidRPr="00570794" w14:paraId="153CD8DC"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31A5B874"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ERM</w:t>
            </w:r>
          </w:p>
        </w:tc>
        <w:tc>
          <w:tcPr>
            <w:tcW w:w="1177" w:type="dxa"/>
            <w:tcBorders>
              <w:top w:val="nil"/>
              <w:left w:val="nil"/>
              <w:bottom w:val="nil"/>
              <w:right w:val="nil"/>
            </w:tcBorders>
            <w:shd w:val="clear" w:color="auto" w:fill="auto"/>
            <w:noWrap/>
            <w:vAlign w:val="center"/>
            <w:hideMark/>
          </w:tcPr>
          <w:p w14:paraId="3DA2182D"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-22.817</w:t>
            </w:r>
          </w:p>
        </w:tc>
        <w:tc>
          <w:tcPr>
            <w:tcW w:w="1059" w:type="dxa"/>
            <w:tcBorders>
              <w:top w:val="nil"/>
              <w:left w:val="nil"/>
              <w:bottom w:val="nil"/>
              <w:right w:val="nil"/>
            </w:tcBorders>
            <w:shd w:val="clear" w:color="auto" w:fill="auto"/>
            <w:noWrap/>
            <w:vAlign w:val="center"/>
            <w:hideMark/>
          </w:tcPr>
          <w:p w14:paraId="0E864E9E"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-16.970</w:t>
            </w:r>
          </w:p>
        </w:tc>
        <w:tc>
          <w:tcPr>
            <w:tcW w:w="936" w:type="dxa"/>
            <w:tcBorders>
              <w:top w:val="nil"/>
              <w:left w:val="nil"/>
              <w:bottom w:val="nil"/>
              <w:right w:val="nil"/>
            </w:tcBorders>
            <w:shd w:val="clear" w:color="auto" w:fill="auto"/>
            <w:noWrap/>
            <w:vAlign w:val="center"/>
            <w:hideMark/>
          </w:tcPr>
          <w:p w14:paraId="5182B5D3"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-1.539</w:t>
            </w:r>
          </w:p>
        </w:tc>
        <w:tc>
          <w:tcPr>
            <w:tcW w:w="935" w:type="dxa"/>
            <w:tcBorders>
              <w:top w:val="nil"/>
              <w:left w:val="nil"/>
              <w:bottom w:val="nil"/>
              <w:right w:val="nil"/>
            </w:tcBorders>
            <w:shd w:val="clear" w:color="auto" w:fill="auto"/>
            <w:noWrap/>
            <w:vAlign w:val="center"/>
            <w:hideMark/>
          </w:tcPr>
          <w:p w14:paraId="1E8642DC"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-16.808</w:t>
            </w:r>
          </w:p>
        </w:tc>
        <w:tc>
          <w:tcPr>
            <w:tcW w:w="935" w:type="dxa"/>
            <w:tcBorders>
              <w:top w:val="nil"/>
              <w:left w:val="nil"/>
              <w:bottom w:val="nil"/>
              <w:right w:val="nil"/>
            </w:tcBorders>
            <w:shd w:val="clear" w:color="auto" w:fill="auto"/>
            <w:noWrap/>
            <w:vAlign w:val="center"/>
            <w:hideMark/>
          </w:tcPr>
          <w:p w14:paraId="1FBFB848"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-20.123</w:t>
            </w:r>
          </w:p>
        </w:tc>
        <w:tc>
          <w:tcPr>
            <w:tcW w:w="935" w:type="dxa"/>
            <w:tcBorders>
              <w:top w:val="nil"/>
              <w:left w:val="nil"/>
              <w:bottom w:val="nil"/>
              <w:right w:val="nil"/>
            </w:tcBorders>
            <w:shd w:val="clear" w:color="auto" w:fill="auto"/>
            <w:noWrap/>
            <w:vAlign w:val="center"/>
            <w:hideMark/>
          </w:tcPr>
          <w:p w14:paraId="190D6B24"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-9.907</w:t>
            </w:r>
          </w:p>
        </w:tc>
        <w:tc>
          <w:tcPr>
            <w:tcW w:w="935" w:type="dxa"/>
            <w:tcBorders>
              <w:top w:val="nil"/>
              <w:left w:val="nil"/>
              <w:bottom w:val="nil"/>
              <w:right w:val="nil"/>
            </w:tcBorders>
            <w:shd w:val="clear" w:color="auto" w:fill="auto"/>
            <w:noWrap/>
            <w:vAlign w:val="bottom"/>
            <w:hideMark/>
          </w:tcPr>
          <w:p w14:paraId="32D3F468"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1087" w:type="dxa"/>
            <w:tcBorders>
              <w:top w:val="nil"/>
              <w:left w:val="nil"/>
              <w:bottom w:val="nil"/>
              <w:right w:val="nil"/>
            </w:tcBorders>
            <w:shd w:val="clear" w:color="auto" w:fill="auto"/>
            <w:noWrap/>
            <w:vAlign w:val="bottom"/>
            <w:hideMark/>
          </w:tcPr>
          <w:p w14:paraId="085419B1"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42" w:type="dxa"/>
            <w:tcBorders>
              <w:top w:val="nil"/>
              <w:left w:val="nil"/>
              <w:bottom w:val="nil"/>
              <w:right w:val="single" w:sz="4" w:space="0" w:color="auto"/>
            </w:tcBorders>
            <w:shd w:val="clear" w:color="auto" w:fill="auto"/>
            <w:noWrap/>
            <w:vAlign w:val="bottom"/>
            <w:hideMark/>
          </w:tcPr>
          <w:p w14:paraId="1D6A61F6"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 </w:t>
            </w:r>
          </w:p>
        </w:tc>
      </w:tr>
      <w:tr w:rsidR="00ED02A4" w:rsidRPr="00570794" w14:paraId="31FAE61F"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5A583621"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center"/>
            <w:hideMark/>
          </w:tcPr>
          <w:p w14:paraId="05217166"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1059" w:type="dxa"/>
            <w:tcBorders>
              <w:top w:val="nil"/>
              <w:left w:val="nil"/>
              <w:bottom w:val="nil"/>
              <w:right w:val="nil"/>
            </w:tcBorders>
            <w:shd w:val="clear" w:color="auto" w:fill="auto"/>
            <w:noWrap/>
            <w:vAlign w:val="center"/>
            <w:hideMark/>
          </w:tcPr>
          <w:p w14:paraId="6F080E9F"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0.086</w:t>
            </w:r>
          </w:p>
        </w:tc>
        <w:tc>
          <w:tcPr>
            <w:tcW w:w="936" w:type="dxa"/>
            <w:tcBorders>
              <w:top w:val="nil"/>
              <w:left w:val="nil"/>
              <w:bottom w:val="nil"/>
              <w:right w:val="nil"/>
            </w:tcBorders>
            <w:shd w:val="clear" w:color="auto" w:fill="auto"/>
            <w:noWrap/>
            <w:vAlign w:val="center"/>
            <w:hideMark/>
          </w:tcPr>
          <w:p w14:paraId="2325EF49"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0.547</w:t>
            </w:r>
          </w:p>
        </w:tc>
        <w:tc>
          <w:tcPr>
            <w:tcW w:w="935" w:type="dxa"/>
            <w:tcBorders>
              <w:top w:val="nil"/>
              <w:left w:val="nil"/>
              <w:bottom w:val="nil"/>
              <w:right w:val="nil"/>
            </w:tcBorders>
            <w:shd w:val="clear" w:color="auto" w:fill="auto"/>
            <w:noWrap/>
            <w:vAlign w:val="center"/>
            <w:hideMark/>
          </w:tcPr>
          <w:p w14:paraId="01599139"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935" w:type="dxa"/>
            <w:tcBorders>
              <w:top w:val="nil"/>
              <w:left w:val="nil"/>
              <w:bottom w:val="nil"/>
              <w:right w:val="nil"/>
            </w:tcBorders>
            <w:shd w:val="clear" w:color="auto" w:fill="auto"/>
            <w:noWrap/>
            <w:vAlign w:val="center"/>
            <w:hideMark/>
          </w:tcPr>
          <w:p w14:paraId="6424F90B"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935" w:type="dxa"/>
            <w:tcBorders>
              <w:top w:val="nil"/>
              <w:left w:val="nil"/>
              <w:bottom w:val="nil"/>
              <w:right w:val="nil"/>
            </w:tcBorders>
            <w:shd w:val="clear" w:color="auto" w:fill="auto"/>
            <w:noWrap/>
            <w:vAlign w:val="center"/>
            <w:hideMark/>
          </w:tcPr>
          <w:p w14:paraId="797303D2"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0.019</w:t>
            </w:r>
          </w:p>
        </w:tc>
        <w:tc>
          <w:tcPr>
            <w:tcW w:w="935" w:type="dxa"/>
            <w:tcBorders>
              <w:top w:val="nil"/>
              <w:left w:val="nil"/>
              <w:bottom w:val="nil"/>
              <w:right w:val="nil"/>
            </w:tcBorders>
            <w:shd w:val="clear" w:color="auto" w:fill="auto"/>
            <w:noWrap/>
            <w:vAlign w:val="bottom"/>
            <w:hideMark/>
          </w:tcPr>
          <w:p w14:paraId="4C667903"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1087" w:type="dxa"/>
            <w:tcBorders>
              <w:top w:val="nil"/>
              <w:left w:val="nil"/>
              <w:bottom w:val="nil"/>
              <w:right w:val="nil"/>
            </w:tcBorders>
            <w:shd w:val="clear" w:color="auto" w:fill="auto"/>
            <w:noWrap/>
            <w:vAlign w:val="bottom"/>
            <w:hideMark/>
          </w:tcPr>
          <w:p w14:paraId="123D4D52"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42" w:type="dxa"/>
            <w:tcBorders>
              <w:top w:val="nil"/>
              <w:left w:val="nil"/>
              <w:bottom w:val="nil"/>
              <w:right w:val="single" w:sz="4" w:space="0" w:color="auto"/>
            </w:tcBorders>
            <w:shd w:val="clear" w:color="auto" w:fill="auto"/>
            <w:noWrap/>
            <w:vAlign w:val="bottom"/>
            <w:hideMark/>
          </w:tcPr>
          <w:p w14:paraId="54CC0579"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 </w:t>
            </w:r>
          </w:p>
        </w:tc>
      </w:tr>
      <w:tr w:rsidR="00ED02A4" w:rsidRPr="00570794" w14:paraId="77DE7DB0"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015B1413"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Euro</w:t>
            </w:r>
          </w:p>
        </w:tc>
        <w:tc>
          <w:tcPr>
            <w:tcW w:w="1177" w:type="dxa"/>
            <w:tcBorders>
              <w:top w:val="nil"/>
              <w:left w:val="nil"/>
              <w:bottom w:val="nil"/>
              <w:right w:val="nil"/>
            </w:tcBorders>
            <w:shd w:val="clear" w:color="auto" w:fill="auto"/>
            <w:noWrap/>
            <w:vAlign w:val="center"/>
            <w:hideMark/>
          </w:tcPr>
          <w:p w14:paraId="1E1DC418"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-9.426</w:t>
            </w:r>
          </w:p>
        </w:tc>
        <w:tc>
          <w:tcPr>
            <w:tcW w:w="1059" w:type="dxa"/>
            <w:tcBorders>
              <w:top w:val="nil"/>
              <w:left w:val="nil"/>
              <w:bottom w:val="nil"/>
              <w:right w:val="nil"/>
            </w:tcBorders>
            <w:shd w:val="clear" w:color="auto" w:fill="auto"/>
            <w:noWrap/>
            <w:vAlign w:val="center"/>
            <w:hideMark/>
          </w:tcPr>
          <w:p w14:paraId="76F8801E"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-2.355</w:t>
            </w:r>
          </w:p>
        </w:tc>
        <w:tc>
          <w:tcPr>
            <w:tcW w:w="936" w:type="dxa"/>
            <w:tcBorders>
              <w:top w:val="nil"/>
              <w:left w:val="nil"/>
              <w:bottom w:val="nil"/>
              <w:right w:val="nil"/>
            </w:tcBorders>
            <w:shd w:val="clear" w:color="auto" w:fill="auto"/>
            <w:noWrap/>
            <w:vAlign w:val="center"/>
            <w:hideMark/>
          </w:tcPr>
          <w:p w14:paraId="3657FB78"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-16.301</w:t>
            </w:r>
          </w:p>
        </w:tc>
        <w:tc>
          <w:tcPr>
            <w:tcW w:w="935" w:type="dxa"/>
            <w:tcBorders>
              <w:top w:val="nil"/>
              <w:left w:val="nil"/>
              <w:bottom w:val="nil"/>
              <w:right w:val="nil"/>
            </w:tcBorders>
            <w:shd w:val="clear" w:color="auto" w:fill="auto"/>
            <w:noWrap/>
            <w:vAlign w:val="bottom"/>
            <w:hideMark/>
          </w:tcPr>
          <w:p w14:paraId="6856F05A"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35" w:type="dxa"/>
            <w:tcBorders>
              <w:top w:val="nil"/>
              <w:left w:val="nil"/>
              <w:bottom w:val="nil"/>
              <w:right w:val="nil"/>
            </w:tcBorders>
            <w:shd w:val="clear" w:color="auto" w:fill="auto"/>
            <w:noWrap/>
            <w:vAlign w:val="bottom"/>
            <w:hideMark/>
          </w:tcPr>
          <w:p w14:paraId="6A4F8AA7"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35" w:type="dxa"/>
            <w:tcBorders>
              <w:top w:val="nil"/>
              <w:left w:val="nil"/>
              <w:bottom w:val="nil"/>
              <w:right w:val="nil"/>
            </w:tcBorders>
            <w:shd w:val="clear" w:color="auto" w:fill="auto"/>
            <w:noWrap/>
            <w:vAlign w:val="bottom"/>
            <w:hideMark/>
          </w:tcPr>
          <w:p w14:paraId="08872055"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35" w:type="dxa"/>
            <w:tcBorders>
              <w:top w:val="nil"/>
              <w:left w:val="nil"/>
              <w:bottom w:val="nil"/>
              <w:right w:val="nil"/>
            </w:tcBorders>
            <w:shd w:val="clear" w:color="auto" w:fill="auto"/>
            <w:noWrap/>
            <w:vAlign w:val="center"/>
            <w:hideMark/>
          </w:tcPr>
          <w:p w14:paraId="42F0136D"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-14.295</w:t>
            </w:r>
          </w:p>
        </w:tc>
        <w:tc>
          <w:tcPr>
            <w:tcW w:w="1087" w:type="dxa"/>
            <w:tcBorders>
              <w:top w:val="nil"/>
              <w:left w:val="nil"/>
              <w:bottom w:val="nil"/>
              <w:right w:val="nil"/>
            </w:tcBorders>
            <w:shd w:val="clear" w:color="auto" w:fill="auto"/>
            <w:noWrap/>
            <w:vAlign w:val="center"/>
            <w:hideMark/>
          </w:tcPr>
          <w:p w14:paraId="0F261F6E"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-20.252</w:t>
            </w:r>
          </w:p>
        </w:tc>
        <w:tc>
          <w:tcPr>
            <w:tcW w:w="942" w:type="dxa"/>
            <w:tcBorders>
              <w:top w:val="nil"/>
              <w:left w:val="nil"/>
              <w:bottom w:val="nil"/>
              <w:right w:val="single" w:sz="4" w:space="0" w:color="auto"/>
            </w:tcBorders>
            <w:shd w:val="clear" w:color="auto" w:fill="auto"/>
            <w:noWrap/>
            <w:vAlign w:val="center"/>
            <w:hideMark/>
          </w:tcPr>
          <w:p w14:paraId="449088D7"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-17.330</w:t>
            </w:r>
          </w:p>
        </w:tc>
      </w:tr>
      <w:tr w:rsidR="00ED02A4" w:rsidRPr="00570794" w14:paraId="42AF76CF"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2D88C41F"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center"/>
            <w:hideMark/>
          </w:tcPr>
          <w:p w14:paraId="72D8A469"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0.097</w:t>
            </w:r>
          </w:p>
        </w:tc>
        <w:tc>
          <w:tcPr>
            <w:tcW w:w="1059" w:type="dxa"/>
            <w:tcBorders>
              <w:top w:val="nil"/>
              <w:left w:val="nil"/>
              <w:bottom w:val="nil"/>
              <w:right w:val="nil"/>
            </w:tcBorders>
            <w:shd w:val="clear" w:color="auto" w:fill="auto"/>
            <w:noWrap/>
            <w:vAlign w:val="center"/>
            <w:hideMark/>
          </w:tcPr>
          <w:p w14:paraId="7C285776"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0.585</w:t>
            </w:r>
          </w:p>
        </w:tc>
        <w:tc>
          <w:tcPr>
            <w:tcW w:w="936" w:type="dxa"/>
            <w:tcBorders>
              <w:top w:val="nil"/>
              <w:left w:val="nil"/>
              <w:bottom w:val="nil"/>
              <w:right w:val="nil"/>
            </w:tcBorders>
            <w:shd w:val="clear" w:color="auto" w:fill="auto"/>
            <w:noWrap/>
            <w:vAlign w:val="center"/>
            <w:hideMark/>
          </w:tcPr>
          <w:p w14:paraId="32B04BB8"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935" w:type="dxa"/>
            <w:tcBorders>
              <w:top w:val="nil"/>
              <w:left w:val="nil"/>
              <w:bottom w:val="nil"/>
              <w:right w:val="nil"/>
            </w:tcBorders>
            <w:shd w:val="clear" w:color="auto" w:fill="auto"/>
            <w:noWrap/>
            <w:vAlign w:val="bottom"/>
            <w:hideMark/>
          </w:tcPr>
          <w:p w14:paraId="3055A371"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35" w:type="dxa"/>
            <w:tcBorders>
              <w:top w:val="nil"/>
              <w:left w:val="nil"/>
              <w:bottom w:val="nil"/>
              <w:right w:val="nil"/>
            </w:tcBorders>
            <w:shd w:val="clear" w:color="auto" w:fill="auto"/>
            <w:noWrap/>
            <w:vAlign w:val="bottom"/>
            <w:hideMark/>
          </w:tcPr>
          <w:p w14:paraId="606BF878"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35" w:type="dxa"/>
            <w:tcBorders>
              <w:top w:val="nil"/>
              <w:left w:val="nil"/>
              <w:bottom w:val="nil"/>
              <w:right w:val="nil"/>
            </w:tcBorders>
            <w:shd w:val="clear" w:color="auto" w:fill="auto"/>
            <w:noWrap/>
            <w:vAlign w:val="bottom"/>
            <w:hideMark/>
          </w:tcPr>
          <w:p w14:paraId="29280C4E" w14:textId="77777777" w:rsidR="00ED02A4" w:rsidRPr="00570794" w:rsidRDefault="00ED02A4" w:rsidP="00367A87">
            <w:pPr>
              <w:spacing w:after="0" w:line="240" w:lineRule="auto"/>
              <w:rPr>
                <w:rFonts w:ascii="Calibri" w:eastAsia="Times New Roman" w:hAnsi="Calibri" w:cs="Calibri"/>
                <w:color w:val="000000"/>
                <w:lang w:eastAsia="en-IE"/>
              </w:rPr>
            </w:pPr>
          </w:p>
        </w:tc>
        <w:tc>
          <w:tcPr>
            <w:tcW w:w="935" w:type="dxa"/>
            <w:tcBorders>
              <w:top w:val="nil"/>
              <w:left w:val="nil"/>
              <w:bottom w:val="nil"/>
              <w:right w:val="nil"/>
            </w:tcBorders>
            <w:shd w:val="clear" w:color="auto" w:fill="auto"/>
            <w:noWrap/>
            <w:vAlign w:val="center"/>
            <w:hideMark/>
          </w:tcPr>
          <w:p w14:paraId="006CD7B8"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0.006</w:t>
            </w:r>
          </w:p>
        </w:tc>
        <w:tc>
          <w:tcPr>
            <w:tcW w:w="1087" w:type="dxa"/>
            <w:tcBorders>
              <w:top w:val="nil"/>
              <w:left w:val="nil"/>
              <w:bottom w:val="nil"/>
              <w:right w:val="nil"/>
            </w:tcBorders>
            <w:shd w:val="clear" w:color="auto" w:fill="auto"/>
            <w:noWrap/>
            <w:vAlign w:val="center"/>
            <w:hideMark/>
          </w:tcPr>
          <w:p w14:paraId="6A9C56FA"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0.015</w:t>
            </w:r>
          </w:p>
        </w:tc>
        <w:tc>
          <w:tcPr>
            <w:tcW w:w="942" w:type="dxa"/>
            <w:tcBorders>
              <w:top w:val="nil"/>
              <w:left w:val="nil"/>
              <w:bottom w:val="nil"/>
              <w:right w:val="single" w:sz="4" w:space="0" w:color="auto"/>
            </w:tcBorders>
            <w:shd w:val="clear" w:color="auto" w:fill="auto"/>
            <w:noWrap/>
            <w:vAlign w:val="center"/>
            <w:hideMark/>
          </w:tcPr>
          <w:p w14:paraId="0AC1AA50"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0.081</w:t>
            </w:r>
          </w:p>
        </w:tc>
      </w:tr>
      <w:tr w:rsidR="00ED02A4" w:rsidRPr="00570794" w14:paraId="5027DEAC"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606DC26E"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ECONOMIC</w:t>
            </w:r>
          </w:p>
        </w:tc>
        <w:tc>
          <w:tcPr>
            <w:tcW w:w="1177" w:type="dxa"/>
            <w:tcBorders>
              <w:top w:val="nil"/>
              <w:left w:val="nil"/>
              <w:bottom w:val="nil"/>
              <w:right w:val="nil"/>
            </w:tcBorders>
            <w:shd w:val="clear" w:color="auto" w:fill="auto"/>
            <w:noWrap/>
            <w:vAlign w:val="center"/>
            <w:hideMark/>
          </w:tcPr>
          <w:p w14:paraId="6DC8F0FE"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-0.942</w:t>
            </w:r>
          </w:p>
        </w:tc>
        <w:tc>
          <w:tcPr>
            <w:tcW w:w="1059" w:type="dxa"/>
            <w:tcBorders>
              <w:top w:val="nil"/>
              <w:left w:val="nil"/>
              <w:bottom w:val="nil"/>
              <w:right w:val="nil"/>
            </w:tcBorders>
            <w:shd w:val="clear" w:color="auto" w:fill="auto"/>
            <w:noWrap/>
            <w:vAlign w:val="center"/>
            <w:hideMark/>
          </w:tcPr>
          <w:p w14:paraId="50D223DA"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0.136</w:t>
            </w:r>
          </w:p>
        </w:tc>
        <w:tc>
          <w:tcPr>
            <w:tcW w:w="936" w:type="dxa"/>
            <w:tcBorders>
              <w:top w:val="nil"/>
              <w:left w:val="nil"/>
              <w:bottom w:val="nil"/>
              <w:right w:val="nil"/>
            </w:tcBorders>
            <w:shd w:val="clear" w:color="auto" w:fill="auto"/>
            <w:noWrap/>
            <w:vAlign w:val="center"/>
            <w:hideMark/>
          </w:tcPr>
          <w:p w14:paraId="28B64B79"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-0.131</w:t>
            </w:r>
          </w:p>
        </w:tc>
        <w:tc>
          <w:tcPr>
            <w:tcW w:w="935" w:type="dxa"/>
            <w:tcBorders>
              <w:top w:val="nil"/>
              <w:left w:val="nil"/>
              <w:bottom w:val="nil"/>
              <w:right w:val="nil"/>
            </w:tcBorders>
            <w:shd w:val="clear" w:color="auto" w:fill="auto"/>
            <w:noWrap/>
            <w:vAlign w:val="center"/>
            <w:hideMark/>
          </w:tcPr>
          <w:p w14:paraId="747A1C4C"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0.172</w:t>
            </w:r>
          </w:p>
        </w:tc>
        <w:tc>
          <w:tcPr>
            <w:tcW w:w="935" w:type="dxa"/>
            <w:tcBorders>
              <w:top w:val="nil"/>
              <w:left w:val="nil"/>
              <w:bottom w:val="nil"/>
              <w:right w:val="nil"/>
            </w:tcBorders>
            <w:shd w:val="clear" w:color="auto" w:fill="auto"/>
            <w:noWrap/>
            <w:vAlign w:val="center"/>
            <w:hideMark/>
          </w:tcPr>
          <w:p w14:paraId="0B9C8A6C"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0.406</w:t>
            </w:r>
          </w:p>
        </w:tc>
        <w:tc>
          <w:tcPr>
            <w:tcW w:w="935" w:type="dxa"/>
            <w:tcBorders>
              <w:top w:val="nil"/>
              <w:left w:val="nil"/>
              <w:bottom w:val="nil"/>
              <w:right w:val="nil"/>
            </w:tcBorders>
            <w:shd w:val="clear" w:color="auto" w:fill="auto"/>
            <w:noWrap/>
            <w:vAlign w:val="center"/>
            <w:hideMark/>
          </w:tcPr>
          <w:p w14:paraId="0F76F9A0"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-0.334</w:t>
            </w:r>
          </w:p>
        </w:tc>
        <w:tc>
          <w:tcPr>
            <w:tcW w:w="935" w:type="dxa"/>
            <w:tcBorders>
              <w:top w:val="nil"/>
              <w:left w:val="nil"/>
              <w:bottom w:val="nil"/>
              <w:right w:val="nil"/>
            </w:tcBorders>
            <w:shd w:val="clear" w:color="auto" w:fill="auto"/>
            <w:noWrap/>
            <w:vAlign w:val="center"/>
            <w:hideMark/>
          </w:tcPr>
          <w:p w14:paraId="62531EED"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1.071</w:t>
            </w:r>
          </w:p>
        </w:tc>
        <w:tc>
          <w:tcPr>
            <w:tcW w:w="1087" w:type="dxa"/>
            <w:tcBorders>
              <w:top w:val="nil"/>
              <w:left w:val="nil"/>
              <w:bottom w:val="nil"/>
              <w:right w:val="nil"/>
            </w:tcBorders>
            <w:shd w:val="clear" w:color="auto" w:fill="auto"/>
            <w:noWrap/>
            <w:vAlign w:val="center"/>
            <w:hideMark/>
          </w:tcPr>
          <w:p w14:paraId="29D665F5"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1.435</w:t>
            </w:r>
          </w:p>
        </w:tc>
        <w:tc>
          <w:tcPr>
            <w:tcW w:w="942" w:type="dxa"/>
            <w:tcBorders>
              <w:top w:val="nil"/>
              <w:left w:val="nil"/>
              <w:bottom w:val="nil"/>
              <w:right w:val="single" w:sz="4" w:space="0" w:color="auto"/>
            </w:tcBorders>
            <w:shd w:val="clear" w:color="auto" w:fill="auto"/>
            <w:noWrap/>
            <w:vAlign w:val="center"/>
            <w:hideMark/>
          </w:tcPr>
          <w:p w14:paraId="21122526"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2.760</w:t>
            </w:r>
          </w:p>
        </w:tc>
      </w:tr>
      <w:tr w:rsidR="00ED02A4" w:rsidRPr="00570794" w14:paraId="56D3F772"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24964B58"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center"/>
            <w:hideMark/>
          </w:tcPr>
          <w:p w14:paraId="34D54729"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0.001</w:t>
            </w:r>
          </w:p>
        </w:tc>
        <w:tc>
          <w:tcPr>
            <w:tcW w:w="1059" w:type="dxa"/>
            <w:tcBorders>
              <w:top w:val="nil"/>
              <w:left w:val="nil"/>
              <w:bottom w:val="nil"/>
              <w:right w:val="nil"/>
            </w:tcBorders>
            <w:shd w:val="clear" w:color="auto" w:fill="auto"/>
            <w:noWrap/>
            <w:vAlign w:val="center"/>
            <w:hideMark/>
          </w:tcPr>
          <w:p w14:paraId="7517C1B7"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0.612</w:t>
            </w:r>
          </w:p>
        </w:tc>
        <w:tc>
          <w:tcPr>
            <w:tcW w:w="936" w:type="dxa"/>
            <w:tcBorders>
              <w:top w:val="nil"/>
              <w:left w:val="nil"/>
              <w:bottom w:val="nil"/>
              <w:right w:val="nil"/>
            </w:tcBorders>
            <w:shd w:val="clear" w:color="auto" w:fill="auto"/>
            <w:noWrap/>
            <w:vAlign w:val="center"/>
            <w:hideMark/>
          </w:tcPr>
          <w:p w14:paraId="2B6F70CF"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0.787</w:t>
            </w:r>
          </w:p>
        </w:tc>
        <w:tc>
          <w:tcPr>
            <w:tcW w:w="935" w:type="dxa"/>
            <w:tcBorders>
              <w:top w:val="nil"/>
              <w:left w:val="nil"/>
              <w:bottom w:val="nil"/>
              <w:right w:val="nil"/>
            </w:tcBorders>
            <w:shd w:val="clear" w:color="auto" w:fill="auto"/>
            <w:noWrap/>
            <w:vAlign w:val="center"/>
            <w:hideMark/>
          </w:tcPr>
          <w:p w14:paraId="6D477B41"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0.436</w:t>
            </w:r>
          </w:p>
        </w:tc>
        <w:tc>
          <w:tcPr>
            <w:tcW w:w="935" w:type="dxa"/>
            <w:tcBorders>
              <w:top w:val="nil"/>
              <w:left w:val="nil"/>
              <w:bottom w:val="nil"/>
              <w:right w:val="nil"/>
            </w:tcBorders>
            <w:shd w:val="clear" w:color="auto" w:fill="auto"/>
            <w:noWrap/>
            <w:vAlign w:val="center"/>
            <w:hideMark/>
          </w:tcPr>
          <w:p w14:paraId="6A506672"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0.034</w:t>
            </w:r>
          </w:p>
        </w:tc>
        <w:tc>
          <w:tcPr>
            <w:tcW w:w="935" w:type="dxa"/>
            <w:tcBorders>
              <w:top w:val="nil"/>
              <w:left w:val="nil"/>
              <w:bottom w:val="nil"/>
              <w:right w:val="nil"/>
            </w:tcBorders>
            <w:shd w:val="clear" w:color="auto" w:fill="auto"/>
            <w:noWrap/>
            <w:vAlign w:val="center"/>
            <w:hideMark/>
          </w:tcPr>
          <w:p w14:paraId="29770A98"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0.092</w:t>
            </w:r>
          </w:p>
        </w:tc>
        <w:tc>
          <w:tcPr>
            <w:tcW w:w="935" w:type="dxa"/>
            <w:tcBorders>
              <w:top w:val="nil"/>
              <w:left w:val="nil"/>
              <w:bottom w:val="nil"/>
              <w:right w:val="nil"/>
            </w:tcBorders>
            <w:shd w:val="clear" w:color="auto" w:fill="auto"/>
            <w:noWrap/>
            <w:vAlign w:val="center"/>
            <w:hideMark/>
          </w:tcPr>
          <w:p w14:paraId="56DE2144"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0.015</w:t>
            </w:r>
          </w:p>
        </w:tc>
        <w:tc>
          <w:tcPr>
            <w:tcW w:w="1087" w:type="dxa"/>
            <w:tcBorders>
              <w:top w:val="nil"/>
              <w:left w:val="nil"/>
              <w:bottom w:val="nil"/>
              <w:right w:val="nil"/>
            </w:tcBorders>
            <w:shd w:val="clear" w:color="auto" w:fill="auto"/>
            <w:noWrap/>
            <w:vAlign w:val="center"/>
            <w:hideMark/>
          </w:tcPr>
          <w:p w14:paraId="22AF0273"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0.007</w:t>
            </w:r>
          </w:p>
        </w:tc>
        <w:tc>
          <w:tcPr>
            <w:tcW w:w="942" w:type="dxa"/>
            <w:tcBorders>
              <w:top w:val="nil"/>
              <w:left w:val="nil"/>
              <w:bottom w:val="nil"/>
              <w:right w:val="single" w:sz="4" w:space="0" w:color="auto"/>
            </w:tcBorders>
            <w:shd w:val="clear" w:color="auto" w:fill="auto"/>
            <w:noWrap/>
            <w:vAlign w:val="center"/>
            <w:hideMark/>
          </w:tcPr>
          <w:p w14:paraId="2EFDB9F7"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0.014</w:t>
            </w:r>
          </w:p>
        </w:tc>
      </w:tr>
      <w:tr w:rsidR="00ED02A4" w:rsidRPr="00570794" w14:paraId="3AD4257E"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1CC8AB88"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FINANCIAL</w:t>
            </w:r>
          </w:p>
        </w:tc>
        <w:tc>
          <w:tcPr>
            <w:tcW w:w="1177" w:type="dxa"/>
            <w:tcBorders>
              <w:top w:val="nil"/>
              <w:left w:val="nil"/>
              <w:bottom w:val="nil"/>
              <w:right w:val="nil"/>
            </w:tcBorders>
            <w:shd w:val="clear" w:color="auto" w:fill="auto"/>
            <w:noWrap/>
            <w:vAlign w:val="center"/>
            <w:hideMark/>
          </w:tcPr>
          <w:p w14:paraId="59692F16"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-0.355</w:t>
            </w:r>
          </w:p>
        </w:tc>
        <w:tc>
          <w:tcPr>
            <w:tcW w:w="1059" w:type="dxa"/>
            <w:tcBorders>
              <w:top w:val="nil"/>
              <w:left w:val="nil"/>
              <w:bottom w:val="nil"/>
              <w:right w:val="nil"/>
            </w:tcBorders>
            <w:shd w:val="clear" w:color="auto" w:fill="auto"/>
            <w:noWrap/>
            <w:vAlign w:val="center"/>
            <w:hideMark/>
          </w:tcPr>
          <w:p w14:paraId="33403F0D"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0.529</w:t>
            </w:r>
          </w:p>
        </w:tc>
        <w:tc>
          <w:tcPr>
            <w:tcW w:w="936" w:type="dxa"/>
            <w:tcBorders>
              <w:top w:val="nil"/>
              <w:left w:val="nil"/>
              <w:bottom w:val="nil"/>
              <w:right w:val="nil"/>
            </w:tcBorders>
            <w:shd w:val="clear" w:color="auto" w:fill="auto"/>
            <w:noWrap/>
            <w:vAlign w:val="center"/>
            <w:hideMark/>
          </w:tcPr>
          <w:p w14:paraId="42BFAA51"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0.021</w:t>
            </w:r>
          </w:p>
        </w:tc>
        <w:tc>
          <w:tcPr>
            <w:tcW w:w="935" w:type="dxa"/>
            <w:tcBorders>
              <w:top w:val="nil"/>
              <w:left w:val="nil"/>
              <w:bottom w:val="nil"/>
              <w:right w:val="nil"/>
            </w:tcBorders>
            <w:shd w:val="clear" w:color="auto" w:fill="auto"/>
            <w:noWrap/>
            <w:vAlign w:val="center"/>
            <w:hideMark/>
          </w:tcPr>
          <w:p w14:paraId="4DF5C209"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-0.206</w:t>
            </w:r>
          </w:p>
        </w:tc>
        <w:tc>
          <w:tcPr>
            <w:tcW w:w="935" w:type="dxa"/>
            <w:tcBorders>
              <w:top w:val="nil"/>
              <w:left w:val="nil"/>
              <w:bottom w:val="nil"/>
              <w:right w:val="nil"/>
            </w:tcBorders>
            <w:shd w:val="clear" w:color="auto" w:fill="auto"/>
            <w:noWrap/>
            <w:vAlign w:val="center"/>
            <w:hideMark/>
          </w:tcPr>
          <w:p w14:paraId="6821C096"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0.229</w:t>
            </w:r>
          </w:p>
        </w:tc>
        <w:tc>
          <w:tcPr>
            <w:tcW w:w="935" w:type="dxa"/>
            <w:tcBorders>
              <w:top w:val="nil"/>
              <w:left w:val="nil"/>
              <w:bottom w:val="nil"/>
              <w:right w:val="nil"/>
            </w:tcBorders>
            <w:shd w:val="clear" w:color="auto" w:fill="auto"/>
            <w:noWrap/>
            <w:vAlign w:val="center"/>
            <w:hideMark/>
          </w:tcPr>
          <w:p w14:paraId="71E63B37"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0.995</w:t>
            </w:r>
          </w:p>
        </w:tc>
        <w:tc>
          <w:tcPr>
            <w:tcW w:w="935" w:type="dxa"/>
            <w:tcBorders>
              <w:top w:val="nil"/>
              <w:left w:val="nil"/>
              <w:bottom w:val="nil"/>
              <w:right w:val="nil"/>
            </w:tcBorders>
            <w:shd w:val="clear" w:color="auto" w:fill="auto"/>
            <w:noWrap/>
            <w:vAlign w:val="center"/>
            <w:hideMark/>
          </w:tcPr>
          <w:p w14:paraId="287AAF6F"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-0.209</w:t>
            </w:r>
          </w:p>
        </w:tc>
        <w:tc>
          <w:tcPr>
            <w:tcW w:w="1087" w:type="dxa"/>
            <w:tcBorders>
              <w:top w:val="nil"/>
              <w:left w:val="nil"/>
              <w:bottom w:val="nil"/>
              <w:right w:val="nil"/>
            </w:tcBorders>
            <w:shd w:val="clear" w:color="auto" w:fill="auto"/>
            <w:noWrap/>
            <w:vAlign w:val="center"/>
            <w:hideMark/>
          </w:tcPr>
          <w:p w14:paraId="05A8F1F2"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-1.340</w:t>
            </w:r>
          </w:p>
        </w:tc>
        <w:tc>
          <w:tcPr>
            <w:tcW w:w="942" w:type="dxa"/>
            <w:tcBorders>
              <w:top w:val="nil"/>
              <w:left w:val="nil"/>
              <w:bottom w:val="nil"/>
              <w:right w:val="single" w:sz="4" w:space="0" w:color="auto"/>
            </w:tcBorders>
            <w:shd w:val="clear" w:color="auto" w:fill="auto"/>
            <w:noWrap/>
            <w:vAlign w:val="center"/>
            <w:hideMark/>
          </w:tcPr>
          <w:p w14:paraId="3D56825E"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-1.832</w:t>
            </w:r>
          </w:p>
        </w:tc>
      </w:tr>
      <w:tr w:rsidR="00ED02A4" w:rsidRPr="00570794" w14:paraId="1961F597"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77AF2857"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center"/>
            <w:hideMark/>
          </w:tcPr>
          <w:p w14:paraId="15AB7C15"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0.183</w:t>
            </w:r>
          </w:p>
        </w:tc>
        <w:tc>
          <w:tcPr>
            <w:tcW w:w="1059" w:type="dxa"/>
            <w:tcBorders>
              <w:top w:val="nil"/>
              <w:left w:val="nil"/>
              <w:bottom w:val="nil"/>
              <w:right w:val="nil"/>
            </w:tcBorders>
            <w:shd w:val="clear" w:color="auto" w:fill="auto"/>
            <w:noWrap/>
            <w:vAlign w:val="center"/>
            <w:hideMark/>
          </w:tcPr>
          <w:p w14:paraId="6EC3E973"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936" w:type="dxa"/>
            <w:tcBorders>
              <w:top w:val="nil"/>
              <w:left w:val="nil"/>
              <w:bottom w:val="nil"/>
              <w:right w:val="nil"/>
            </w:tcBorders>
            <w:shd w:val="clear" w:color="auto" w:fill="auto"/>
            <w:noWrap/>
            <w:vAlign w:val="center"/>
            <w:hideMark/>
          </w:tcPr>
          <w:p w14:paraId="6CDFC6FA"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0.962</w:t>
            </w:r>
          </w:p>
        </w:tc>
        <w:tc>
          <w:tcPr>
            <w:tcW w:w="935" w:type="dxa"/>
            <w:tcBorders>
              <w:top w:val="nil"/>
              <w:left w:val="nil"/>
              <w:bottom w:val="nil"/>
              <w:right w:val="nil"/>
            </w:tcBorders>
            <w:shd w:val="clear" w:color="auto" w:fill="auto"/>
            <w:noWrap/>
            <w:vAlign w:val="center"/>
            <w:hideMark/>
          </w:tcPr>
          <w:p w14:paraId="5FE15BBB"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0.056</w:t>
            </w:r>
          </w:p>
        </w:tc>
        <w:tc>
          <w:tcPr>
            <w:tcW w:w="935" w:type="dxa"/>
            <w:tcBorders>
              <w:top w:val="nil"/>
              <w:left w:val="nil"/>
              <w:bottom w:val="nil"/>
              <w:right w:val="nil"/>
            </w:tcBorders>
            <w:shd w:val="clear" w:color="auto" w:fill="auto"/>
            <w:noWrap/>
            <w:vAlign w:val="center"/>
            <w:hideMark/>
          </w:tcPr>
          <w:p w14:paraId="6388F8F6"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0.245</w:t>
            </w:r>
          </w:p>
        </w:tc>
        <w:tc>
          <w:tcPr>
            <w:tcW w:w="935" w:type="dxa"/>
            <w:tcBorders>
              <w:top w:val="nil"/>
              <w:left w:val="nil"/>
              <w:bottom w:val="nil"/>
              <w:right w:val="nil"/>
            </w:tcBorders>
            <w:shd w:val="clear" w:color="auto" w:fill="auto"/>
            <w:noWrap/>
            <w:vAlign w:val="center"/>
            <w:hideMark/>
          </w:tcPr>
          <w:p w14:paraId="18C3E204"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0.002</w:t>
            </w:r>
          </w:p>
        </w:tc>
        <w:tc>
          <w:tcPr>
            <w:tcW w:w="935" w:type="dxa"/>
            <w:tcBorders>
              <w:top w:val="nil"/>
              <w:left w:val="nil"/>
              <w:bottom w:val="nil"/>
              <w:right w:val="nil"/>
            </w:tcBorders>
            <w:shd w:val="clear" w:color="auto" w:fill="auto"/>
            <w:noWrap/>
            <w:vAlign w:val="center"/>
            <w:hideMark/>
          </w:tcPr>
          <w:p w14:paraId="2DC27577"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0.776</w:t>
            </w:r>
          </w:p>
        </w:tc>
        <w:tc>
          <w:tcPr>
            <w:tcW w:w="1087" w:type="dxa"/>
            <w:tcBorders>
              <w:top w:val="nil"/>
              <w:left w:val="nil"/>
              <w:bottom w:val="nil"/>
              <w:right w:val="nil"/>
            </w:tcBorders>
            <w:shd w:val="clear" w:color="auto" w:fill="auto"/>
            <w:noWrap/>
            <w:vAlign w:val="center"/>
            <w:hideMark/>
          </w:tcPr>
          <w:p w14:paraId="1821310C"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0.054</w:t>
            </w:r>
          </w:p>
        </w:tc>
        <w:tc>
          <w:tcPr>
            <w:tcW w:w="942" w:type="dxa"/>
            <w:tcBorders>
              <w:top w:val="nil"/>
              <w:left w:val="nil"/>
              <w:bottom w:val="nil"/>
              <w:right w:val="single" w:sz="4" w:space="0" w:color="auto"/>
            </w:tcBorders>
            <w:shd w:val="clear" w:color="auto" w:fill="auto"/>
            <w:noWrap/>
            <w:vAlign w:val="center"/>
            <w:hideMark/>
          </w:tcPr>
          <w:p w14:paraId="4C635287"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0.023</w:t>
            </w:r>
          </w:p>
        </w:tc>
      </w:tr>
      <w:tr w:rsidR="00ED02A4" w:rsidRPr="00570794" w14:paraId="3F9FAF26"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5E174E96"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POLITICAL</w:t>
            </w:r>
          </w:p>
        </w:tc>
        <w:tc>
          <w:tcPr>
            <w:tcW w:w="1177" w:type="dxa"/>
            <w:tcBorders>
              <w:top w:val="nil"/>
              <w:left w:val="nil"/>
              <w:bottom w:val="nil"/>
              <w:right w:val="nil"/>
            </w:tcBorders>
            <w:shd w:val="clear" w:color="auto" w:fill="auto"/>
            <w:noWrap/>
            <w:vAlign w:val="center"/>
            <w:hideMark/>
          </w:tcPr>
          <w:p w14:paraId="3F2EBB31"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0.280</w:t>
            </w:r>
          </w:p>
        </w:tc>
        <w:tc>
          <w:tcPr>
            <w:tcW w:w="1059" w:type="dxa"/>
            <w:tcBorders>
              <w:top w:val="nil"/>
              <w:left w:val="nil"/>
              <w:bottom w:val="nil"/>
              <w:right w:val="nil"/>
            </w:tcBorders>
            <w:shd w:val="clear" w:color="auto" w:fill="auto"/>
            <w:noWrap/>
            <w:vAlign w:val="center"/>
            <w:hideMark/>
          </w:tcPr>
          <w:p w14:paraId="7ED01373"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-0.808</w:t>
            </w:r>
          </w:p>
        </w:tc>
        <w:tc>
          <w:tcPr>
            <w:tcW w:w="936" w:type="dxa"/>
            <w:tcBorders>
              <w:top w:val="nil"/>
              <w:left w:val="nil"/>
              <w:bottom w:val="nil"/>
              <w:right w:val="nil"/>
            </w:tcBorders>
            <w:shd w:val="clear" w:color="auto" w:fill="auto"/>
            <w:noWrap/>
            <w:vAlign w:val="center"/>
            <w:hideMark/>
          </w:tcPr>
          <w:p w14:paraId="0F871C04"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-0.058</w:t>
            </w:r>
          </w:p>
        </w:tc>
        <w:tc>
          <w:tcPr>
            <w:tcW w:w="935" w:type="dxa"/>
            <w:tcBorders>
              <w:top w:val="nil"/>
              <w:left w:val="nil"/>
              <w:bottom w:val="nil"/>
              <w:right w:val="nil"/>
            </w:tcBorders>
            <w:shd w:val="clear" w:color="auto" w:fill="auto"/>
            <w:noWrap/>
            <w:vAlign w:val="center"/>
            <w:hideMark/>
          </w:tcPr>
          <w:p w14:paraId="4D4A74E2"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-0.699</w:t>
            </w:r>
          </w:p>
        </w:tc>
        <w:tc>
          <w:tcPr>
            <w:tcW w:w="935" w:type="dxa"/>
            <w:tcBorders>
              <w:top w:val="nil"/>
              <w:left w:val="nil"/>
              <w:bottom w:val="nil"/>
              <w:right w:val="nil"/>
            </w:tcBorders>
            <w:shd w:val="clear" w:color="auto" w:fill="auto"/>
            <w:noWrap/>
            <w:vAlign w:val="center"/>
            <w:hideMark/>
          </w:tcPr>
          <w:p w14:paraId="3C72DB1E"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-0.437</w:t>
            </w:r>
          </w:p>
        </w:tc>
        <w:tc>
          <w:tcPr>
            <w:tcW w:w="935" w:type="dxa"/>
            <w:tcBorders>
              <w:top w:val="nil"/>
              <w:left w:val="nil"/>
              <w:bottom w:val="nil"/>
              <w:right w:val="nil"/>
            </w:tcBorders>
            <w:shd w:val="clear" w:color="auto" w:fill="auto"/>
            <w:noWrap/>
            <w:vAlign w:val="center"/>
            <w:hideMark/>
          </w:tcPr>
          <w:p w14:paraId="1D4CDFA6"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-0.312</w:t>
            </w:r>
          </w:p>
        </w:tc>
        <w:tc>
          <w:tcPr>
            <w:tcW w:w="935" w:type="dxa"/>
            <w:tcBorders>
              <w:top w:val="nil"/>
              <w:left w:val="nil"/>
              <w:bottom w:val="nil"/>
              <w:right w:val="nil"/>
            </w:tcBorders>
            <w:shd w:val="clear" w:color="auto" w:fill="auto"/>
            <w:noWrap/>
            <w:vAlign w:val="center"/>
            <w:hideMark/>
          </w:tcPr>
          <w:p w14:paraId="292C9D4D"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-0.511</w:t>
            </w:r>
          </w:p>
        </w:tc>
        <w:tc>
          <w:tcPr>
            <w:tcW w:w="1087" w:type="dxa"/>
            <w:tcBorders>
              <w:top w:val="nil"/>
              <w:left w:val="nil"/>
              <w:bottom w:val="nil"/>
              <w:right w:val="nil"/>
            </w:tcBorders>
            <w:shd w:val="clear" w:color="auto" w:fill="auto"/>
            <w:noWrap/>
            <w:vAlign w:val="center"/>
            <w:hideMark/>
          </w:tcPr>
          <w:p w14:paraId="2F9B5D14"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-0.416</w:t>
            </w:r>
          </w:p>
        </w:tc>
        <w:tc>
          <w:tcPr>
            <w:tcW w:w="942" w:type="dxa"/>
            <w:tcBorders>
              <w:top w:val="nil"/>
              <w:left w:val="nil"/>
              <w:bottom w:val="nil"/>
              <w:right w:val="single" w:sz="4" w:space="0" w:color="auto"/>
            </w:tcBorders>
            <w:shd w:val="clear" w:color="auto" w:fill="auto"/>
            <w:noWrap/>
            <w:vAlign w:val="center"/>
            <w:hideMark/>
          </w:tcPr>
          <w:p w14:paraId="764E9464"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-0.495</w:t>
            </w:r>
          </w:p>
        </w:tc>
      </w:tr>
      <w:tr w:rsidR="00ED02A4" w:rsidRPr="00570794" w14:paraId="66312950"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6C0F1127"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center"/>
            <w:hideMark/>
          </w:tcPr>
          <w:p w14:paraId="191208E5"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0.587</w:t>
            </w:r>
          </w:p>
        </w:tc>
        <w:tc>
          <w:tcPr>
            <w:tcW w:w="1059" w:type="dxa"/>
            <w:tcBorders>
              <w:top w:val="nil"/>
              <w:left w:val="nil"/>
              <w:bottom w:val="nil"/>
              <w:right w:val="nil"/>
            </w:tcBorders>
            <w:shd w:val="clear" w:color="auto" w:fill="auto"/>
            <w:noWrap/>
            <w:vAlign w:val="center"/>
            <w:hideMark/>
          </w:tcPr>
          <w:p w14:paraId="63EBF91A"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936" w:type="dxa"/>
            <w:tcBorders>
              <w:top w:val="nil"/>
              <w:left w:val="nil"/>
              <w:bottom w:val="nil"/>
              <w:right w:val="nil"/>
            </w:tcBorders>
            <w:shd w:val="clear" w:color="auto" w:fill="auto"/>
            <w:noWrap/>
            <w:vAlign w:val="center"/>
            <w:hideMark/>
          </w:tcPr>
          <w:p w14:paraId="6EC05853"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0.751</w:t>
            </w:r>
          </w:p>
        </w:tc>
        <w:tc>
          <w:tcPr>
            <w:tcW w:w="935" w:type="dxa"/>
            <w:tcBorders>
              <w:top w:val="nil"/>
              <w:left w:val="nil"/>
              <w:bottom w:val="nil"/>
              <w:right w:val="nil"/>
            </w:tcBorders>
            <w:shd w:val="clear" w:color="auto" w:fill="auto"/>
            <w:noWrap/>
            <w:vAlign w:val="center"/>
            <w:hideMark/>
          </w:tcPr>
          <w:p w14:paraId="640947FC"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935" w:type="dxa"/>
            <w:tcBorders>
              <w:top w:val="nil"/>
              <w:left w:val="nil"/>
              <w:bottom w:val="nil"/>
              <w:right w:val="nil"/>
            </w:tcBorders>
            <w:shd w:val="clear" w:color="auto" w:fill="auto"/>
            <w:noWrap/>
            <w:vAlign w:val="center"/>
            <w:hideMark/>
          </w:tcPr>
          <w:p w14:paraId="531B74AC"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0.057</w:t>
            </w:r>
          </w:p>
        </w:tc>
        <w:tc>
          <w:tcPr>
            <w:tcW w:w="935" w:type="dxa"/>
            <w:tcBorders>
              <w:top w:val="nil"/>
              <w:left w:val="nil"/>
              <w:bottom w:val="nil"/>
              <w:right w:val="nil"/>
            </w:tcBorders>
            <w:shd w:val="clear" w:color="auto" w:fill="auto"/>
            <w:noWrap/>
            <w:vAlign w:val="center"/>
            <w:hideMark/>
          </w:tcPr>
          <w:p w14:paraId="5F57DA6D"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0.216</w:t>
            </w:r>
          </w:p>
        </w:tc>
        <w:tc>
          <w:tcPr>
            <w:tcW w:w="935" w:type="dxa"/>
            <w:tcBorders>
              <w:top w:val="nil"/>
              <w:left w:val="nil"/>
              <w:bottom w:val="nil"/>
              <w:right w:val="nil"/>
            </w:tcBorders>
            <w:shd w:val="clear" w:color="auto" w:fill="auto"/>
            <w:noWrap/>
            <w:vAlign w:val="center"/>
            <w:hideMark/>
          </w:tcPr>
          <w:p w14:paraId="48636FAC"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0.269</w:t>
            </w:r>
          </w:p>
        </w:tc>
        <w:tc>
          <w:tcPr>
            <w:tcW w:w="1087" w:type="dxa"/>
            <w:tcBorders>
              <w:top w:val="nil"/>
              <w:left w:val="nil"/>
              <w:bottom w:val="nil"/>
              <w:right w:val="nil"/>
            </w:tcBorders>
            <w:shd w:val="clear" w:color="auto" w:fill="auto"/>
            <w:noWrap/>
            <w:vAlign w:val="center"/>
            <w:hideMark/>
          </w:tcPr>
          <w:p w14:paraId="29BFFECA"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0.380</w:t>
            </w:r>
          </w:p>
        </w:tc>
        <w:tc>
          <w:tcPr>
            <w:tcW w:w="942" w:type="dxa"/>
            <w:tcBorders>
              <w:top w:val="nil"/>
              <w:left w:val="nil"/>
              <w:bottom w:val="nil"/>
              <w:right w:val="single" w:sz="4" w:space="0" w:color="auto"/>
            </w:tcBorders>
            <w:shd w:val="clear" w:color="auto" w:fill="auto"/>
            <w:noWrap/>
            <w:vAlign w:val="center"/>
            <w:hideMark/>
          </w:tcPr>
          <w:p w14:paraId="459E550A"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0.507</w:t>
            </w:r>
          </w:p>
        </w:tc>
      </w:tr>
      <w:tr w:rsidR="00ED02A4" w:rsidRPr="00570794" w14:paraId="2439940F"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070AC340"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LIQUIDITY</w:t>
            </w:r>
          </w:p>
        </w:tc>
        <w:tc>
          <w:tcPr>
            <w:tcW w:w="1177" w:type="dxa"/>
            <w:tcBorders>
              <w:top w:val="nil"/>
              <w:left w:val="nil"/>
              <w:bottom w:val="nil"/>
              <w:right w:val="nil"/>
            </w:tcBorders>
            <w:shd w:val="clear" w:color="auto" w:fill="auto"/>
            <w:noWrap/>
            <w:vAlign w:val="center"/>
            <w:hideMark/>
          </w:tcPr>
          <w:p w14:paraId="42F111EB"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42.058</w:t>
            </w:r>
          </w:p>
        </w:tc>
        <w:tc>
          <w:tcPr>
            <w:tcW w:w="1059" w:type="dxa"/>
            <w:tcBorders>
              <w:top w:val="nil"/>
              <w:left w:val="nil"/>
              <w:bottom w:val="nil"/>
              <w:right w:val="nil"/>
            </w:tcBorders>
            <w:shd w:val="clear" w:color="auto" w:fill="auto"/>
            <w:noWrap/>
            <w:vAlign w:val="center"/>
            <w:hideMark/>
          </w:tcPr>
          <w:p w14:paraId="35492988"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73.944</w:t>
            </w:r>
          </w:p>
        </w:tc>
        <w:tc>
          <w:tcPr>
            <w:tcW w:w="936" w:type="dxa"/>
            <w:tcBorders>
              <w:top w:val="nil"/>
              <w:left w:val="nil"/>
              <w:bottom w:val="nil"/>
              <w:right w:val="nil"/>
            </w:tcBorders>
            <w:shd w:val="clear" w:color="auto" w:fill="auto"/>
            <w:noWrap/>
            <w:vAlign w:val="center"/>
            <w:hideMark/>
          </w:tcPr>
          <w:p w14:paraId="52CB12FB"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17.906</w:t>
            </w:r>
          </w:p>
        </w:tc>
        <w:tc>
          <w:tcPr>
            <w:tcW w:w="935" w:type="dxa"/>
            <w:tcBorders>
              <w:top w:val="nil"/>
              <w:left w:val="nil"/>
              <w:bottom w:val="nil"/>
              <w:right w:val="nil"/>
            </w:tcBorders>
            <w:shd w:val="clear" w:color="auto" w:fill="auto"/>
            <w:noWrap/>
            <w:vAlign w:val="center"/>
            <w:hideMark/>
          </w:tcPr>
          <w:p w14:paraId="53A41973"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-0.603</w:t>
            </w:r>
          </w:p>
        </w:tc>
        <w:tc>
          <w:tcPr>
            <w:tcW w:w="935" w:type="dxa"/>
            <w:tcBorders>
              <w:top w:val="nil"/>
              <w:left w:val="nil"/>
              <w:bottom w:val="nil"/>
              <w:right w:val="nil"/>
            </w:tcBorders>
            <w:shd w:val="clear" w:color="auto" w:fill="auto"/>
            <w:noWrap/>
            <w:vAlign w:val="center"/>
            <w:hideMark/>
          </w:tcPr>
          <w:p w14:paraId="59712AB1"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1.208</w:t>
            </w:r>
          </w:p>
        </w:tc>
        <w:tc>
          <w:tcPr>
            <w:tcW w:w="935" w:type="dxa"/>
            <w:tcBorders>
              <w:top w:val="nil"/>
              <w:left w:val="nil"/>
              <w:bottom w:val="nil"/>
              <w:right w:val="nil"/>
            </w:tcBorders>
            <w:shd w:val="clear" w:color="auto" w:fill="auto"/>
            <w:noWrap/>
            <w:vAlign w:val="center"/>
            <w:hideMark/>
          </w:tcPr>
          <w:p w14:paraId="657FA0F0"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-5.083</w:t>
            </w:r>
          </w:p>
        </w:tc>
        <w:tc>
          <w:tcPr>
            <w:tcW w:w="935" w:type="dxa"/>
            <w:tcBorders>
              <w:top w:val="nil"/>
              <w:left w:val="nil"/>
              <w:bottom w:val="nil"/>
              <w:right w:val="nil"/>
            </w:tcBorders>
            <w:shd w:val="clear" w:color="auto" w:fill="auto"/>
            <w:noWrap/>
            <w:vAlign w:val="center"/>
            <w:hideMark/>
          </w:tcPr>
          <w:p w14:paraId="6C4E12D1"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59.288</w:t>
            </w:r>
          </w:p>
        </w:tc>
        <w:tc>
          <w:tcPr>
            <w:tcW w:w="1087" w:type="dxa"/>
            <w:tcBorders>
              <w:top w:val="nil"/>
              <w:left w:val="nil"/>
              <w:bottom w:val="nil"/>
              <w:right w:val="nil"/>
            </w:tcBorders>
            <w:shd w:val="clear" w:color="auto" w:fill="auto"/>
            <w:noWrap/>
            <w:vAlign w:val="center"/>
            <w:hideMark/>
          </w:tcPr>
          <w:p w14:paraId="0A34D0E4"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-334.890</w:t>
            </w:r>
          </w:p>
        </w:tc>
        <w:tc>
          <w:tcPr>
            <w:tcW w:w="942" w:type="dxa"/>
            <w:tcBorders>
              <w:top w:val="nil"/>
              <w:left w:val="nil"/>
              <w:bottom w:val="nil"/>
              <w:right w:val="single" w:sz="4" w:space="0" w:color="auto"/>
            </w:tcBorders>
            <w:shd w:val="clear" w:color="auto" w:fill="auto"/>
            <w:noWrap/>
            <w:vAlign w:val="center"/>
            <w:hideMark/>
          </w:tcPr>
          <w:p w14:paraId="273E8323"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-4.813</w:t>
            </w:r>
          </w:p>
        </w:tc>
      </w:tr>
      <w:tr w:rsidR="00ED02A4" w:rsidRPr="00570794" w14:paraId="345ECC58"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4FF1BBB8"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center"/>
            <w:hideMark/>
          </w:tcPr>
          <w:p w14:paraId="07BB6B7F"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0.027</w:t>
            </w:r>
          </w:p>
        </w:tc>
        <w:tc>
          <w:tcPr>
            <w:tcW w:w="1059" w:type="dxa"/>
            <w:tcBorders>
              <w:top w:val="nil"/>
              <w:left w:val="nil"/>
              <w:bottom w:val="nil"/>
              <w:right w:val="nil"/>
            </w:tcBorders>
            <w:shd w:val="clear" w:color="auto" w:fill="auto"/>
            <w:noWrap/>
            <w:vAlign w:val="center"/>
            <w:hideMark/>
          </w:tcPr>
          <w:p w14:paraId="3C179EF5"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936" w:type="dxa"/>
            <w:tcBorders>
              <w:top w:val="nil"/>
              <w:left w:val="nil"/>
              <w:bottom w:val="nil"/>
              <w:right w:val="nil"/>
            </w:tcBorders>
            <w:shd w:val="clear" w:color="auto" w:fill="auto"/>
            <w:noWrap/>
            <w:vAlign w:val="center"/>
            <w:hideMark/>
          </w:tcPr>
          <w:p w14:paraId="713A0334"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0.007</w:t>
            </w:r>
          </w:p>
        </w:tc>
        <w:tc>
          <w:tcPr>
            <w:tcW w:w="935" w:type="dxa"/>
            <w:tcBorders>
              <w:top w:val="nil"/>
              <w:left w:val="nil"/>
              <w:bottom w:val="nil"/>
              <w:right w:val="nil"/>
            </w:tcBorders>
            <w:shd w:val="clear" w:color="auto" w:fill="auto"/>
            <w:noWrap/>
            <w:vAlign w:val="center"/>
            <w:hideMark/>
          </w:tcPr>
          <w:p w14:paraId="5999D8CD"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0.959</w:t>
            </w:r>
          </w:p>
        </w:tc>
        <w:tc>
          <w:tcPr>
            <w:tcW w:w="935" w:type="dxa"/>
            <w:tcBorders>
              <w:top w:val="nil"/>
              <w:left w:val="nil"/>
              <w:bottom w:val="nil"/>
              <w:right w:val="nil"/>
            </w:tcBorders>
            <w:shd w:val="clear" w:color="auto" w:fill="auto"/>
            <w:noWrap/>
            <w:vAlign w:val="center"/>
            <w:hideMark/>
          </w:tcPr>
          <w:p w14:paraId="7E1F1480"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0.735</w:t>
            </w:r>
          </w:p>
        </w:tc>
        <w:tc>
          <w:tcPr>
            <w:tcW w:w="935" w:type="dxa"/>
            <w:tcBorders>
              <w:top w:val="nil"/>
              <w:left w:val="nil"/>
              <w:bottom w:val="nil"/>
              <w:right w:val="nil"/>
            </w:tcBorders>
            <w:shd w:val="clear" w:color="auto" w:fill="auto"/>
            <w:noWrap/>
            <w:vAlign w:val="center"/>
            <w:hideMark/>
          </w:tcPr>
          <w:p w14:paraId="09625F26"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0.771</w:t>
            </w:r>
          </w:p>
        </w:tc>
        <w:tc>
          <w:tcPr>
            <w:tcW w:w="935" w:type="dxa"/>
            <w:tcBorders>
              <w:top w:val="nil"/>
              <w:left w:val="nil"/>
              <w:bottom w:val="nil"/>
              <w:right w:val="nil"/>
            </w:tcBorders>
            <w:shd w:val="clear" w:color="auto" w:fill="auto"/>
            <w:noWrap/>
            <w:vAlign w:val="center"/>
            <w:hideMark/>
          </w:tcPr>
          <w:p w14:paraId="1DE8F6D2"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0.009</w:t>
            </w:r>
          </w:p>
        </w:tc>
        <w:tc>
          <w:tcPr>
            <w:tcW w:w="1087" w:type="dxa"/>
            <w:tcBorders>
              <w:top w:val="nil"/>
              <w:left w:val="nil"/>
              <w:bottom w:val="nil"/>
              <w:right w:val="nil"/>
            </w:tcBorders>
            <w:shd w:val="clear" w:color="auto" w:fill="auto"/>
            <w:noWrap/>
            <w:vAlign w:val="center"/>
            <w:hideMark/>
          </w:tcPr>
          <w:p w14:paraId="0D518ABE"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0.366</w:t>
            </w:r>
          </w:p>
        </w:tc>
        <w:tc>
          <w:tcPr>
            <w:tcW w:w="942" w:type="dxa"/>
            <w:tcBorders>
              <w:top w:val="nil"/>
              <w:left w:val="nil"/>
              <w:bottom w:val="nil"/>
              <w:right w:val="single" w:sz="4" w:space="0" w:color="auto"/>
            </w:tcBorders>
            <w:shd w:val="clear" w:color="auto" w:fill="auto"/>
            <w:noWrap/>
            <w:vAlign w:val="center"/>
            <w:hideMark/>
          </w:tcPr>
          <w:p w14:paraId="0C445432"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0.875</w:t>
            </w:r>
          </w:p>
        </w:tc>
      </w:tr>
      <w:tr w:rsidR="00ED02A4" w:rsidRPr="00570794" w14:paraId="3EDF4F77"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33D21F11"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DEVPC1</w:t>
            </w:r>
          </w:p>
        </w:tc>
        <w:tc>
          <w:tcPr>
            <w:tcW w:w="1177" w:type="dxa"/>
            <w:tcBorders>
              <w:top w:val="nil"/>
              <w:left w:val="nil"/>
              <w:bottom w:val="nil"/>
              <w:right w:val="nil"/>
            </w:tcBorders>
            <w:shd w:val="clear" w:color="auto" w:fill="auto"/>
            <w:noWrap/>
            <w:vAlign w:val="center"/>
            <w:hideMark/>
          </w:tcPr>
          <w:p w14:paraId="1EFE9383"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-7.891</w:t>
            </w:r>
          </w:p>
        </w:tc>
        <w:tc>
          <w:tcPr>
            <w:tcW w:w="1059" w:type="dxa"/>
            <w:tcBorders>
              <w:top w:val="nil"/>
              <w:left w:val="nil"/>
              <w:bottom w:val="nil"/>
              <w:right w:val="nil"/>
            </w:tcBorders>
            <w:shd w:val="clear" w:color="auto" w:fill="auto"/>
            <w:noWrap/>
            <w:vAlign w:val="center"/>
            <w:hideMark/>
          </w:tcPr>
          <w:p w14:paraId="276DD53E"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-8.480</w:t>
            </w:r>
          </w:p>
        </w:tc>
        <w:tc>
          <w:tcPr>
            <w:tcW w:w="936" w:type="dxa"/>
            <w:tcBorders>
              <w:top w:val="nil"/>
              <w:left w:val="nil"/>
              <w:bottom w:val="nil"/>
              <w:right w:val="nil"/>
            </w:tcBorders>
            <w:shd w:val="clear" w:color="auto" w:fill="auto"/>
            <w:noWrap/>
            <w:vAlign w:val="center"/>
            <w:hideMark/>
          </w:tcPr>
          <w:p w14:paraId="3B9A7E65"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6.619</w:t>
            </w:r>
          </w:p>
        </w:tc>
        <w:tc>
          <w:tcPr>
            <w:tcW w:w="935" w:type="dxa"/>
            <w:tcBorders>
              <w:top w:val="nil"/>
              <w:left w:val="nil"/>
              <w:bottom w:val="nil"/>
              <w:right w:val="nil"/>
            </w:tcBorders>
            <w:shd w:val="clear" w:color="auto" w:fill="auto"/>
            <w:noWrap/>
            <w:vAlign w:val="center"/>
            <w:hideMark/>
          </w:tcPr>
          <w:p w14:paraId="30EFBE7C"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-2.073</w:t>
            </w:r>
          </w:p>
        </w:tc>
        <w:tc>
          <w:tcPr>
            <w:tcW w:w="935" w:type="dxa"/>
            <w:tcBorders>
              <w:top w:val="nil"/>
              <w:left w:val="nil"/>
              <w:bottom w:val="nil"/>
              <w:right w:val="nil"/>
            </w:tcBorders>
            <w:shd w:val="clear" w:color="auto" w:fill="auto"/>
            <w:noWrap/>
            <w:vAlign w:val="center"/>
            <w:hideMark/>
          </w:tcPr>
          <w:p w14:paraId="786B740F"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2.265</w:t>
            </w:r>
          </w:p>
        </w:tc>
        <w:tc>
          <w:tcPr>
            <w:tcW w:w="935" w:type="dxa"/>
            <w:tcBorders>
              <w:top w:val="nil"/>
              <w:left w:val="nil"/>
              <w:bottom w:val="nil"/>
              <w:right w:val="nil"/>
            </w:tcBorders>
            <w:shd w:val="clear" w:color="auto" w:fill="auto"/>
            <w:noWrap/>
            <w:vAlign w:val="center"/>
            <w:hideMark/>
          </w:tcPr>
          <w:p w14:paraId="4D505B8F"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7.509</w:t>
            </w:r>
          </w:p>
        </w:tc>
        <w:tc>
          <w:tcPr>
            <w:tcW w:w="935" w:type="dxa"/>
            <w:tcBorders>
              <w:top w:val="nil"/>
              <w:left w:val="nil"/>
              <w:bottom w:val="nil"/>
              <w:right w:val="nil"/>
            </w:tcBorders>
            <w:shd w:val="clear" w:color="auto" w:fill="auto"/>
            <w:noWrap/>
            <w:vAlign w:val="center"/>
            <w:hideMark/>
          </w:tcPr>
          <w:p w14:paraId="1ED55D62"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-1.454</w:t>
            </w:r>
          </w:p>
        </w:tc>
        <w:tc>
          <w:tcPr>
            <w:tcW w:w="1087" w:type="dxa"/>
            <w:tcBorders>
              <w:top w:val="nil"/>
              <w:left w:val="nil"/>
              <w:bottom w:val="nil"/>
              <w:right w:val="nil"/>
            </w:tcBorders>
            <w:shd w:val="clear" w:color="auto" w:fill="auto"/>
            <w:noWrap/>
            <w:vAlign w:val="center"/>
            <w:hideMark/>
          </w:tcPr>
          <w:p w14:paraId="7A6C49AC"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-1.344</w:t>
            </w:r>
          </w:p>
        </w:tc>
        <w:tc>
          <w:tcPr>
            <w:tcW w:w="942" w:type="dxa"/>
            <w:tcBorders>
              <w:top w:val="nil"/>
              <w:left w:val="nil"/>
              <w:bottom w:val="nil"/>
              <w:right w:val="single" w:sz="4" w:space="0" w:color="auto"/>
            </w:tcBorders>
            <w:shd w:val="clear" w:color="auto" w:fill="auto"/>
            <w:noWrap/>
            <w:vAlign w:val="center"/>
            <w:hideMark/>
          </w:tcPr>
          <w:p w14:paraId="275339DB"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-2.733</w:t>
            </w:r>
          </w:p>
        </w:tc>
      </w:tr>
      <w:tr w:rsidR="00ED02A4" w:rsidRPr="00570794" w14:paraId="21A7A6D4"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17F857F5" w14:textId="77777777" w:rsidR="00ED02A4" w:rsidRPr="00570794" w:rsidRDefault="00ED02A4" w:rsidP="00367A87">
            <w:pPr>
              <w:spacing w:after="0" w:line="240" w:lineRule="auto"/>
              <w:rPr>
                <w:rFonts w:ascii="Calibri" w:eastAsia="Times New Roman" w:hAnsi="Calibri" w:cs="Calibri"/>
                <w:b/>
                <w:bCs/>
                <w:i/>
                <w:iCs/>
                <w:color w:val="000000"/>
                <w:lang w:eastAsia="en-IE"/>
              </w:rPr>
            </w:pPr>
            <w:r w:rsidRPr="00570794">
              <w:rPr>
                <w:rFonts w:ascii="Calibri" w:eastAsia="Times New Roman" w:hAnsi="Calibri" w:cs="Calibri"/>
                <w:b/>
                <w:bCs/>
                <w:i/>
                <w:iCs/>
                <w:color w:val="000000"/>
                <w:lang w:eastAsia="en-IE"/>
              </w:rPr>
              <w:t> </w:t>
            </w:r>
          </w:p>
        </w:tc>
        <w:tc>
          <w:tcPr>
            <w:tcW w:w="1177" w:type="dxa"/>
            <w:tcBorders>
              <w:top w:val="nil"/>
              <w:left w:val="nil"/>
              <w:bottom w:val="nil"/>
              <w:right w:val="nil"/>
            </w:tcBorders>
            <w:shd w:val="clear" w:color="auto" w:fill="auto"/>
            <w:noWrap/>
            <w:vAlign w:val="center"/>
            <w:hideMark/>
          </w:tcPr>
          <w:p w14:paraId="2D530FAC"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1059" w:type="dxa"/>
            <w:tcBorders>
              <w:top w:val="nil"/>
              <w:left w:val="nil"/>
              <w:bottom w:val="nil"/>
              <w:right w:val="nil"/>
            </w:tcBorders>
            <w:shd w:val="clear" w:color="auto" w:fill="auto"/>
            <w:noWrap/>
            <w:vAlign w:val="center"/>
            <w:hideMark/>
          </w:tcPr>
          <w:p w14:paraId="668CFFC4"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936" w:type="dxa"/>
            <w:tcBorders>
              <w:top w:val="nil"/>
              <w:left w:val="nil"/>
              <w:bottom w:val="nil"/>
              <w:right w:val="nil"/>
            </w:tcBorders>
            <w:shd w:val="clear" w:color="auto" w:fill="auto"/>
            <w:noWrap/>
            <w:vAlign w:val="center"/>
            <w:hideMark/>
          </w:tcPr>
          <w:p w14:paraId="4A3CEA94"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0.000</w:t>
            </w:r>
          </w:p>
        </w:tc>
        <w:tc>
          <w:tcPr>
            <w:tcW w:w="935" w:type="dxa"/>
            <w:tcBorders>
              <w:top w:val="nil"/>
              <w:left w:val="nil"/>
              <w:bottom w:val="nil"/>
              <w:right w:val="nil"/>
            </w:tcBorders>
            <w:shd w:val="clear" w:color="auto" w:fill="auto"/>
            <w:noWrap/>
            <w:vAlign w:val="center"/>
            <w:hideMark/>
          </w:tcPr>
          <w:p w14:paraId="1E000A95"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0.344</w:t>
            </w:r>
          </w:p>
        </w:tc>
        <w:tc>
          <w:tcPr>
            <w:tcW w:w="935" w:type="dxa"/>
            <w:tcBorders>
              <w:top w:val="nil"/>
              <w:left w:val="nil"/>
              <w:bottom w:val="nil"/>
              <w:right w:val="nil"/>
            </w:tcBorders>
            <w:shd w:val="clear" w:color="auto" w:fill="auto"/>
            <w:noWrap/>
            <w:vAlign w:val="center"/>
            <w:hideMark/>
          </w:tcPr>
          <w:p w14:paraId="02A2AF4E"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0.001</w:t>
            </w:r>
          </w:p>
        </w:tc>
        <w:tc>
          <w:tcPr>
            <w:tcW w:w="935" w:type="dxa"/>
            <w:tcBorders>
              <w:top w:val="nil"/>
              <w:left w:val="nil"/>
              <w:bottom w:val="nil"/>
              <w:right w:val="nil"/>
            </w:tcBorders>
            <w:shd w:val="clear" w:color="auto" w:fill="auto"/>
            <w:noWrap/>
            <w:vAlign w:val="center"/>
            <w:hideMark/>
          </w:tcPr>
          <w:p w14:paraId="362BE727"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0.062</w:t>
            </w:r>
          </w:p>
        </w:tc>
        <w:tc>
          <w:tcPr>
            <w:tcW w:w="935" w:type="dxa"/>
            <w:tcBorders>
              <w:top w:val="nil"/>
              <w:left w:val="nil"/>
              <w:bottom w:val="nil"/>
              <w:right w:val="nil"/>
            </w:tcBorders>
            <w:shd w:val="clear" w:color="auto" w:fill="auto"/>
            <w:noWrap/>
            <w:vAlign w:val="center"/>
            <w:hideMark/>
          </w:tcPr>
          <w:p w14:paraId="4D4F9644"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0.390</w:t>
            </w:r>
          </w:p>
        </w:tc>
        <w:tc>
          <w:tcPr>
            <w:tcW w:w="1087" w:type="dxa"/>
            <w:tcBorders>
              <w:top w:val="nil"/>
              <w:left w:val="nil"/>
              <w:bottom w:val="nil"/>
              <w:right w:val="nil"/>
            </w:tcBorders>
            <w:shd w:val="clear" w:color="auto" w:fill="auto"/>
            <w:noWrap/>
            <w:vAlign w:val="center"/>
            <w:hideMark/>
          </w:tcPr>
          <w:p w14:paraId="01448A0B"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0.544</w:t>
            </w:r>
          </w:p>
        </w:tc>
        <w:tc>
          <w:tcPr>
            <w:tcW w:w="942" w:type="dxa"/>
            <w:tcBorders>
              <w:top w:val="nil"/>
              <w:left w:val="nil"/>
              <w:bottom w:val="nil"/>
              <w:right w:val="single" w:sz="4" w:space="0" w:color="auto"/>
            </w:tcBorders>
            <w:shd w:val="clear" w:color="auto" w:fill="auto"/>
            <w:noWrap/>
            <w:vAlign w:val="center"/>
            <w:hideMark/>
          </w:tcPr>
          <w:p w14:paraId="3D708B95" w14:textId="77777777" w:rsidR="00ED02A4" w:rsidRPr="00570794" w:rsidRDefault="00ED02A4" w:rsidP="00367A87">
            <w:pPr>
              <w:spacing w:after="0" w:line="240" w:lineRule="auto"/>
              <w:jc w:val="center"/>
              <w:rPr>
                <w:rFonts w:ascii="Calibri" w:eastAsia="Times New Roman" w:hAnsi="Calibri" w:cs="Calibri"/>
                <w:b/>
                <w:bCs/>
                <w:i/>
                <w:iCs/>
                <w:color w:val="000000"/>
                <w:sz w:val="20"/>
                <w:szCs w:val="20"/>
                <w:lang w:eastAsia="en-IE"/>
              </w:rPr>
            </w:pPr>
            <w:r w:rsidRPr="00570794">
              <w:rPr>
                <w:rFonts w:ascii="Calibri" w:eastAsia="Times New Roman" w:hAnsi="Calibri" w:cs="Calibri"/>
                <w:b/>
                <w:bCs/>
                <w:i/>
                <w:iCs/>
                <w:color w:val="000000"/>
                <w:sz w:val="20"/>
                <w:szCs w:val="20"/>
                <w:lang w:eastAsia="en-IE"/>
              </w:rPr>
              <w:t>0.220</w:t>
            </w:r>
          </w:p>
        </w:tc>
      </w:tr>
      <w:tr w:rsidR="00ED02A4" w:rsidRPr="00570794" w14:paraId="7BB961E2" w14:textId="77777777" w:rsidTr="00380104">
        <w:trPr>
          <w:trHeight w:val="288"/>
        </w:trPr>
        <w:tc>
          <w:tcPr>
            <w:tcW w:w="1235" w:type="dxa"/>
            <w:tcBorders>
              <w:top w:val="nil"/>
              <w:left w:val="single" w:sz="4" w:space="0" w:color="auto"/>
              <w:bottom w:val="nil"/>
              <w:right w:val="nil"/>
            </w:tcBorders>
            <w:shd w:val="clear" w:color="auto" w:fill="auto"/>
            <w:noWrap/>
            <w:vAlign w:val="bottom"/>
            <w:hideMark/>
          </w:tcPr>
          <w:p w14:paraId="78CB9EA7"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Nobs</w:t>
            </w:r>
          </w:p>
        </w:tc>
        <w:tc>
          <w:tcPr>
            <w:tcW w:w="1177" w:type="dxa"/>
            <w:tcBorders>
              <w:top w:val="nil"/>
              <w:left w:val="nil"/>
              <w:bottom w:val="nil"/>
              <w:right w:val="nil"/>
            </w:tcBorders>
            <w:shd w:val="clear" w:color="auto" w:fill="auto"/>
            <w:noWrap/>
            <w:vAlign w:val="center"/>
            <w:hideMark/>
          </w:tcPr>
          <w:p w14:paraId="369255F1"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373</w:t>
            </w:r>
          </w:p>
        </w:tc>
        <w:tc>
          <w:tcPr>
            <w:tcW w:w="1059" w:type="dxa"/>
            <w:tcBorders>
              <w:top w:val="nil"/>
              <w:left w:val="nil"/>
              <w:bottom w:val="nil"/>
              <w:right w:val="nil"/>
            </w:tcBorders>
            <w:shd w:val="clear" w:color="auto" w:fill="auto"/>
            <w:noWrap/>
            <w:vAlign w:val="center"/>
            <w:hideMark/>
          </w:tcPr>
          <w:p w14:paraId="26F7E056"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76</w:t>
            </w:r>
          </w:p>
        </w:tc>
        <w:tc>
          <w:tcPr>
            <w:tcW w:w="936" w:type="dxa"/>
            <w:tcBorders>
              <w:top w:val="nil"/>
              <w:left w:val="nil"/>
              <w:bottom w:val="nil"/>
              <w:right w:val="nil"/>
            </w:tcBorders>
            <w:shd w:val="clear" w:color="auto" w:fill="auto"/>
            <w:noWrap/>
            <w:vAlign w:val="center"/>
            <w:hideMark/>
          </w:tcPr>
          <w:p w14:paraId="0E65F84B"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65</w:t>
            </w:r>
          </w:p>
        </w:tc>
        <w:tc>
          <w:tcPr>
            <w:tcW w:w="935" w:type="dxa"/>
            <w:tcBorders>
              <w:top w:val="nil"/>
              <w:left w:val="nil"/>
              <w:bottom w:val="nil"/>
              <w:right w:val="nil"/>
            </w:tcBorders>
            <w:shd w:val="clear" w:color="auto" w:fill="auto"/>
            <w:noWrap/>
            <w:vAlign w:val="center"/>
            <w:hideMark/>
          </w:tcPr>
          <w:p w14:paraId="78F31FCC"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210</w:t>
            </w:r>
          </w:p>
        </w:tc>
        <w:tc>
          <w:tcPr>
            <w:tcW w:w="935" w:type="dxa"/>
            <w:tcBorders>
              <w:top w:val="nil"/>
              <w:left w:val="nil"/>
              <w:bottom w:val="nil"/>
              <w:right w:val="nil"/>
            </w:tcBorders>
            <w:shd w:val="clear" w:color="auto" w:fill="auto"/>
            <w:noWrap/>
            <w:vAlign w:val="center"/>
            <w:hideMark/>
          </w:tcPr>
          <w:p w14:paraId="2217CB0C"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148</w:t>
            </w:r>
          </w:p>
        </w:tc>
        <w:tc>
          <w:tcPr>
            <w:tcW w:w="935" w:type="dxa"/>
            <w:tcBorders>
              <w:top w:val="nil"/>
              <w:left w:val="nil"/>
              <w:bottom w:val="nil"/>
              <w:right w:val="nil"/>
            </w:tcBorders>
            <w:shd w:val="clear" w:color="auto" w:fill="auto"/>
            <w:noWrap/>
            <w:vAlign w:val="center"/>
            <w:hideMark/>
          </w:tcPr>
          <w:p w14:paraId="05D56175"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65</w:t>
            </w:r>
          </w:p>
        </w:tc>
        <w:tc>
          <w:tcPr>
            <w:tcW w:w="935" w:type="dxa"/>
            <w:tcBorders>
              <w:top w:val="nil"/>
              <w:left w:val="nil"/>
              <w:bottom w:val="nil"/>
              <w:right w:val="nil"/>
            </w:tcBorders>
            <w:shd w:val="clear" w:color="auto" w:fill="auto"/>
            <w:noWrap/>
            <w:vAlign w:val="center"/>
            <w:hideMark/>
          </w:tcPr>
          <w:p w14:paraId="66086DAA"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304</w:t>
            </w:r>
          </w:p>
        </w:tc>
        <w:tc>
          <w:tcPr>
            <w:tcW w:w="1087" w:type="dxa"/>
            <w:tcBorders>
              <w:top w:val="nil"/>
              <w:left w:val="nil"/>
              <w:bottom w:val="nil"/>
              <w:right w:val="nil"/>
            </w:tcBorders>
            <w:shd w:val="clear" w:color="auto" w:fill="auto"/>
            <w:noWrap/>
            <w:vAlign w:val="center"/>
            <w:hideMark/>
          </w:tcPr>
          <w:p w14:paraId="6C63FA62"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176</w:t>
            </w:r>
          </w:p>
        </w:tc>
        <w:tc>
          <w:tcPr>
            <w:tcW w:w="942" w:type="dxa"/>
            <w:tcBorders>
              <w:top w:val="nil"/>
              <w:left w:val="nil"/>
              <w:bottom w:val="nil"/>
              <w:right w:val="single" w:sz="4" w:space="0" w:color="auto"/>
            </w:tcBorders>
            <w:shd w:val="clear" w:color="auto" w:fill="auto"/>
            <w:noWrap/>
            <w:vAlign w:val="center"/>
            <w:hideMark/>
          </w:tcPr>
          <w:p w14:paraId="52896375"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117</w:t>
            </w:r>
          </w:p>
        </w:tc>
      </w:tr>
      <w:tr w:rsidR="00ED02A4" w:rsidRPr="00570794" w14:paraId="172B7B3E" w14:textId="77777777" w:rsidTr="00380104">
        <w:trPr>
          <w:trHeight w:val="288"/>
        </w:trPr>
        <w:tc>
          <w:tcPr>
            <w:tcW w:w="1235" w:type="dxa"/>
            <w:tcBorders>
              <w:top w:val="nil"/>
              <w:left w:val="single" w:sz="4" w:space="0" w:color="auto"/>
              <w:bottom w:val="single" w:sz="4" w:space="0" w:color="auto"/>
              <w:right w:val="nil"/>
            </w:tcBorders>
            <w:shd w:val="clear" w:color="auto" w:fill="auto"/>
            <w:noWrap/>
            <w:vAlign w:val="bottom"/>
            <w:hideMark/>
          </w:tcPr>
          <w:p w14:paraId="11ED07E7" w14:textId="77777777" w:rsidR="00ED02A4" w:rsidRPr="00570794" w:rsidRDefault="00ED02A4" w:rsidP="00367A87">
            <w:pPr>
              <w:spacing w:after="0" w:line="240" w:lineRule="auto"/>
              <w:rPr>
                <w:rFonts w:ascii="Calibri" w:eastAsia="Times New Roman" w:hAnsi="Calibri" w:cs="Calibri"/>
                <w:color w:val="000000"/>
                <w:lang w:eastAsia="en-IE"/>
              </w:rPr>
            </w:pPr>
            <w:r w:rsidRPr="00570794">
              <w:rPr>
                <w:rFonts w:ascii="Calibri" w:eastAsia="Times New Roman" w:hAnsi="Calibri" w:cs="Calibri"/>
                <w:color w:val="000000"/>
                <w:lang w:eastAsia="en-IE"/>
              </w:rPr>
              <w:t>Adj. R2</w:t>
            </w:r>
          </w:p>
        </w:tc>
        <w:tc>
          <w:tcPr>
            <w:tcW w:w="1177" w:type="dxa"/>
            <w:tcBorders>
              <w:top w:val="nil"/>
              <w:left w:val="nil"/>
              <w:bottom w:val="single" w:sz="4" w:space="0" w:color="auto"/>
              <w:right w:val="nil"/>
            </w:tcBorders>
            <w:shd w:val="clear" w:color="auto" w:fill="auto"/>
            <w:noWrap/>
            <w:vAlign w:val="center"/>
            <w:hideMark/>
          </w:tcPr>
          <w:p w14:paraId="4D54D281"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0.695</w:t>
            </w:r>
          </w:p>
        </w:tc>
        <w:tc>
          <w:tcPr>
            <w:tcW w:w="1059" w:type="dxa"/>
            <w:tcBorders>
              <w:top w:val="nil"/>
              <w:left w:val="nil"/>
              <w:bottom w:val="single" w:sz="4" w:space="0" w:color="auto"/>
              <w:right w:val="nil"/>
            </w:tcBorders>
            <w:shd w:val="clear" w:color="auto" w:fill="auto"/>
            <w:noWrap/>
            <w:vAlign w:val="center"/>
            <w:hideMark/>
          </w:tcPr>
          <w:p w14:paraId="4A1C716F"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0.612</w:t>
            </w:r>
          </w:p>
        </w:tc>
        <w:tc>
          <w:tcPr>
            <w:tcW w:w="936" w:type="dxa"/>
            <w:tcBorders>
              <w:top w:val="nil"/>
              <w:left w:val="nil"/>
              <w:bottom w:val="single" w:sz="4" w:space="0" w:color="auto"/>
              <w:right w:val="nil"/>
            </w:tcBorders>
            <w:shd w:val="clear" w:color="auto" w:fill="auto"/>
            <w:noWrap/>
            <w:vAlign w:val="center"/>
            <w:hideMark/>
          </w:tcPr>
          <w:p w14:paraId="40388F9B"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0.290</w:t>
            </w:r>
          </w:p>
        </w:tc>
        <w:tc>
          <w:tcPr>
            <w:tcW w:w="935" w:type="dxa"/>
            <w:tcBorders>
              <w:top w:val="nil"/>
              <w:left w:val="nil"/>
              <w:bottom w:val="single" w:sz="4" w:space="0" w:color="auto"/>
              <w:right w:val="nil"/>
            </w:tcBorders>
            <w:shd w:val="clear" w:color="auto" w:fill="auto"/>
            <w:noWrap/>
            <w:vAlign w:val="center"/>
            <w:hideMark/>
          </w:tcPr>
          <w:p w14:paraId="54EA16CF"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0.465</w:t>
            </w:r>
          </w:p>
        </w:tc>
        <w:tc>
          <w:tcPr>
            <w:tcW w:w="935" w:type="dxa"/>
            <w:tcBorders>
              <w:top w:val="nil"/>
              <w:left w:val="nil"/>
              <w:bottom w:val="single" w:sz="4" w:space="0" w:color="auto"/>
              <w:right w:val="nil"/>
            </w:tcBorders>
            <w:shd w:val="clear" w:color="auto" w:fill="auto"/>
            <w:noWrap/>
            <w:vAlign w:val="center"/>
            <w:hideMark/>
          </w:tcPr>
          <w:p w14:paraId="3379D373"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0.730</w:t>
            </w:r>
          </w:p>
        </w:tc>
        <w:tc>
          <w:tcPr>
            <w:tcW w:w="935" w:type="dxa"/>
            <w:tcBorders>
              <w:top w:val="nil"/>
              <w:left w:val="nil"/>
              <w:bottom w:val="single" w:sz="4" w:space="0" w:color="auto"/>
              <w:right w:val="nil"/>
            </w:tcBorders>
            <w:shd w:val="clear" w:color="auto" w:fill="auto"/>
            <w:noWrap/>
            <w:vAlign w:val="center"/>
            <w:hideMark/>
          </w:tcPr>
          <w:p w14:paraId="63B1AADB"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0.201</w:t>
            </w:r>
          </w:p>
        </w:tc>
        <w:tc>
          <w:tcPr>
            <w:tcW w:w="935" w:type="dxa"/>
            <w:tcBorders>
              <w:top w:val="nil"/>
              <w:left w:val="nil"/>
              <w:bottom w:val="single" w:sz="4" w:space="0" w:color="auto"/>
              <w:right w:val="nil"/>
            </w:tcBorders>
            <w:shd w:val="clear" w:color="auto" w:fill="auto"/>
            <w:noWrap/>
            <w:vAlign w:val="center"/>
            <w:hideMark/>
          </w:tcPr>
          <w:p w14:paraId="31F489B9"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0.450</w:t>
            </w:r>
          </w:p>
        </w:tc>
        <w:tc>
          <w:tcPr>
            <w:tcW w:w="1087" w:type="dxa"/>
            <w:tcBorders>
              <w:top w:val="nil"/>
              <w:left w:val="nil"/>
              <w:bottom w:val="single" w:sz="4" w:space="0" w:color="auto"/>
              <w:right w:val="nil"/>
            </w:tcBorders>
            <w:shd w:val="clear" w:color="auto" w:fill="auto"/>
            <w:noWrap/>
            <w:vAlign w:val="center"/>
            <w:hideMark/>
          </w:tcPr>
          <w:p w14:paraId="0D5442D8"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0.540</w:t>
            </w:r>
          </w:p>
        </w:tc>
        <w:tc>
          <w:tcPr>
            <w:tcW w:w="942" w:type="dxa"/>
            <w:tcBorders>
              <w:top w:val="nil"/>
              <w:left w:val="nil"/>
              <w:bottom w:val="single" w:sz="4" w:space="0" w:color="auto"/>
              <w:right w:val="single" w:sz="4" w:space="0" w:color="auto"/>
            </w:tcBorders>
            <w:shd w:val="clear" w:color="auto" w:fill="auto"/>
            <w:noWrap/>
            <w:vAlign w:val="center"/>
            <w:hideMark/>
          </w:tcPr>
          <w:p w14:paraId="74951AA1" w14:textId="77777777" w:rsidR="00ED02A4" w:rsidRPr="00570794" w:rsidRDefault="00ED02A4" w:rsidP="00367A87">
            <w:pPr>
              <w:spacing w:after="0" w:line="240" w:lineRule="auto"/>
              <w:jc w:val="center"/>
              <w:rPr>
                <w:rFonts w:ascii="Calibri" w:eastAsia="Times New Roman" w:hAnsi="Calibri" w:cs="Calibri"/>
                <w:color w:val="000000"/>
                <w:sz w:val="20"/>
                <w:szCs w:val="20"/>
                <w:lang w:eastAsia="en-IE"/>
              </w:rPr>
            </w:pPr>
            <w:r w:rsidRPr="00570794">
              <w:rPr>
                <w:rFonts w:ascii="Calibri" w:eastAsia="Times New Roman" w:hAnsi="Calibri" w:cs="Calibri"/>
                <w:color w:val="000000"/>
                <w:sz w:val="20"/>
                <w:szCs w:val="20"/>
                <w:lang w:eastAsia="en-IE"/>
              </w:rPr>
              <w:t>0.594</w:t>
            </w:r>
          </w:p>
        </w:tc>
      </w:tr>
    </w:tbl>
    <w:p w14:paraId="652BBEE7" w14:textId="77777777" w:rsidR="009468B1" w:rsidRDefault="009468B1" w:rsidP="00ED02A4">
      <w:pPr>
        <w:jc w:val="both"/>
        <w:rPr>
          <w:rFonts w:ascii="Calibri" w:eastAsia="Times New Roman" w:hAnsi="Calibri" w:cs="Times New Roman"/>
          <w:color w:val="000000"/>
          <w:lang w:eastAsia="en-IE"/>
        </w:rPr>
      </w:pPr>
    </w:p>
    <w:p w14:paraId="2B7D58A6" w14:textId="2D0FFEBD" w:rsidR="00FD4A57" w:rsidRPr="00ED02A4" w:rsidRDefault="00ED02A4" w:rsidP="00380104">
      <w:pPr>
        <w:spacing w:line="240" w:lineRule="auto"/>
        <w:jc w:val="both"/>
        <w:rPr>
          <w:rFonts w:ascii="Calibri" w:eastAsia="Times New Roman" w:hAnsi="Calibri" w:cs="Times New Roman"/>
          <w:color w:val="000000"/>
          <w:lang w:eastAsia="en-IE"/>
        </w:rPr>
      </w:pPr>
      <w:r w:rsidRPr="00FD1730">
        <w:rPr>
          <w:rFonts w:ascii="Calibri" w:eastAsia="Times New Roman" w:hAnsi="Calibri" w:cs="Times New Roman"/>
          <w:color w:val="000000"/>
          <w:lang w:eastAsia="en-IE"/>
        </w:rPr>
        <w:t xml:space="preserve">This table replicates the unbalanced panel regressions in Table </w:t>
      </w:r>
      <w:r>
        <w:rPr>
          <w:rFonts w:ascii="Calibri" w:eastAsia="Times New Roman" w:hAnsi="Calibri" w:cs="Times New Roman"/>
          <w:color w:val="000000"/>
          <w:lang w:eastAsia="en-IE"/>
        </w:rPr>
        <w:t>10</w:t>
      </w:r>
      <w:r w:rsidRPr="00FD1730">
        <w:rPr>
          <w:rFonts w:ascii="Calibri" w:eastAsia="Times New Roman" w:hAnsi="Calibri" w:cs="Times New Roman"/>
          <w:color w:val="000000"/>
          <w:lang w:eastAsia="en-IE"/>
        </w:rPr>
        <w:t xml:space="preserve"> with </w:t>
      </w:r>
      <w:r>
        <w:rPr>
          <w:rFonts w:ascii="Calibri" w:eastAsia="Times New Roman" w:hAnsi="Calibri" w:cs="Times New Roman"/>
          <w:color w:val="000000"/>
          <w:lang w:eastAsia="en-IE"/>
        </w:rPr>
        <w:t xml:space="preserve">the use of an alternative developmental factor.  </w:t>
      </w:r>
      <w:r w:rsidRPr="00FD1730">
        <w:rPr>
          <w:rFonts w:ascii="Calibri" w:eastAsia="Times New Roman" w:hAnsi="Calibri" w:cs="Times New Roman"/>
          <w:color w:val="000000"/>
          <w:lang w:eastAsia="en-IE"/>
        </w:rPr>
        <w:t xml:space="preserve">The first Principal Component of a set of </w:t>
      </w:r>
      <w:r w:rsidR="0064075D" w:rsidRPr="0064075D">
        <w:rPr>
          <w:rFonts w:ascii="Calibri" w:eastAsia="Times New Roman" w:hAnsi="Calibri" w:cs="Times New Roman"/>
          <w:color w:val="000000"/>
          <w:lang w:eastAsia="en-IE"/>
        </w:rPr>
        <w:t xml:space="preserve">country level </w:t>
      </w:r>
      <w:r w:rsidRPr="00FD1730">
        <w:rPr>
          <w:rFonts w:ascii="Calibri" w:eastAsia="Times New Roman" w:hAnsi="Calibri" w:cs="Times New Roman"/>
          <w:color w:val="000000"/>
          <w:lang w:eastAsia="en-IE"/>
        </w:rPr>
        <w:t xml:space="preserve">developmental factors, DEVPC1, is included separately as a developmental factor instead of internet.  </w:t>
      </w:r>
      <w:r w:rsidRPr="007F148E">
        <w:rPr>
          <w:rFonts w:ascii="Calibri" w:eastAsia="Times New Roman" w:hAnsi="Calibri" w:cs="Times New Roman"/>
          <w:color w:val="000000"/>
          <w:lang w:eastAsia="en-IE"/>
        </w:rPr>
        <w:t xml:space="preserve">The unbalanced regressions estimate the relation between the diversification indexes and proxies for macro-financial and developmental factors.  Results are reported for unbalanced panels with a timeframe 1986-2012.  </w:t>
      </w:r>
      <w:r>
        <w:rPr>
          <w:rFonts w:ascii="Calibri" w:eastAsia="Times New Roman" w:hAnsi="Calibri" w:cs="Times New Roman"/>
          <w:color w:val="000000"/>
          <w:lang w:eastAsia="en-IE"/>
        </w:rPr>
        <w:t xml:space="preserve">A geographical breakout is presented for Developed, Emerging and Frontier markets.  Due to a lack of country level diversification indexes this geographical analysis is completed for equities only.  The time cohorts break up the regression analysis to pre and post 2000.  </w:t>
      </w:r>
      <w:r w:rsidRPr="007F148E">
        <w:rPr>
          <w:rFonts w:ascii="Calibri" w:eastAsia="Times New Roman" w:hAnsi="Calibri" w:cs="Times New Roman"/>
          <w:color w:val="000000"/>
          <w:lang w:eastAsia="en-IE"/>
        </w:rPr>
        <w:t xml:space="preserve">Country fixed effects are included in all regressions.  </w:t>
      </w:r>
      <w:r w:rsidRPr="00020590">
        <w:rPr>
          <w:rFonts w:ascii="Calibri" w:eastAsia="Times New Roman" w:hAnsi="Calibri" w:cs="Times New Roman"/>
          <w:color w:val="000000"/>
          <w:lang w:eastAsia="en-IE"/>
        </w:rPr>
        <w:t xml:space="preserve">The identification of developed and emerging economies uses the United Nations Human Development Index that incorporates </w:t>
      </w:r>
      <w:proofErr w:type="gramStart"/>
      <w:r w:rsidRPr="00020590">
        <w:rPr>
          <w:rFonts w:ascii="Calibri" w:eastAsia="Times New Roman" w:hAnsi="Calibri" w:cs="Times New Roman"/>
          <w:color w:val="000000"/>
          <w:lang w:eastAsia="en-IE"/>
        </w:rPr>
        <w:t>a number of</w:t>
      </w:r>
      <w:proofErr w:type="gramEnd"/>
      <w:r w:rsidRPr="00020590">
        <w:rPr>
          <w:rFonts w:ascii="Calibri" w:eastAsia="Times New Roman" w:hAnsi="Calibri" w:cs="Times New Roman"/>
          <w:color w:val="000000"/>
          <w:lang w:eastAsia="en-IE"/>
        </w:rPr>
        <w:t xml:space="preserve"> distinguishing features such as income and education.  The United Nations country title of ‘very high human development’ is designated as developed economies and those outside this list as emerging economies.  </w:t>
      </w:r>
      <w:r>
        <w:rPr>
          <w:rFonts w:ascii="Calibri" w:eastAsia="Times New Roman" w:hAnsi="Calibri" w:cs="Times New Roman"/>
          <w:color w:val="000000"/>
          <w:lang w:eastAsia="en-IE"/>
        </w:rPr>
        <w:t xml:space="preserve">These lists were further stratified by the </w:t>
      </w:r>
      <w:r w:rsidRPr="00014028">
        <w:rPr>
          <w:rFonts w:ascii="Calibri" w:eastAsia="Times New Roman" w:hAnsi="Calibri" w:cs="Times New Roman"/>
          <w:color w:val="000000"/>
          <w:lang w:eastAsia="en-IE"/>
        </w:rPr>
        <w:t>Standard &amp; Poor's list</w:t>
      </w:r>
      <w:r>
        <w:rPr>
          <w:rFonts w:ascii="Calibri" w:eastAsia="Times New Roman" w:hAnsi="Calibri" w:cs="Times New Roman"/>
          <w:color w:val="000000"/>
          <w:lang w:eastAsia="en-IE"/>
        </w:rPr>
        <w:t xml:space="preserve"> of Frontier markets to detail markets that were developing but too small to be considered emerging markets. </w:t>
      </w:r>
      <w:r w:rsidRPr="00CB2465">
        <w:rPr>
          <w:rFonts w:ascii="Calibri" w:eastAsia="Times New Roman" w:hAnsi="Calibri" w:cs="Times New Roman"/>
          <w:color w:val="000000"/>
          <w:lang w:eastAsia="en-IE"/>
        </w:rPr>
        <w:t xml:space="preserve">P-values are in bold and italics. </w:t>
      </w:r>
    </w:p>
    <w:sectPr w:rsidR="00FD4A57" w:rsidRPr="00ED02A4" w:rsidSect="000F4708">
      <w:footerReference w:type="default" r:id="rId4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07F1A" w14:textId="77777777" w:rsidR="00677748" w:rsidRDefault="00677748" w:rsidP="00C22CAF">
      <w:pPr>
        <w:spacing w:after="0" w:line="240" w:lineRule="auto"/>
      </w:pPr>
      <w:r>
        <w:separator/>
      </w:r>
    </w:p>
  </w:endnote>
  <w:endnote w:type="continuationSeparator" w:id="0">
    <w:p w14:paraId="043B27D6" w14:textId="77777777" w:rsidR="00677748" w:rsidRDefault="00677748" w:rsidP="00C22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3554852"/>
      <w:docPartObj>
        <w:docPartGallery w:val="Page Numbers (Bottom of Page)"/>
        <w:docPartUnique/>
      </w:docPartObj>
    </w:sdtPr>
    <w:sdtEndPr>
      <w:rPr>
        <w:noProof/>
      </w:rPr>
    </w:sdtEndPr>
    <w:sdtContent>
      <w:p w14:paraId="56740376" w14:textId="3D566931" w:rsidR="00EE6318" w:rsidRDefault="00EE6318">
        <w:pPr>
          <w:pStyle w:val="Footer"/>
          <w:jc w:val="center"/>
        </w:pPr>
        <w:r>
          <w:fldChar w:fldCharType="begin"/>
        </w:r>
        <w:r>
          <w:instrText xml:space="preserve"> PAGE   \* MERGEFORMAT </w:instrText>
        </w:r>
        <w:r>
          <w:fldChar w:fldCharType="separate"/>
        </w:r>
        <w:r>
          <w:rPr>
            <w:noProof/>
          </w:rPr>
          <w:t>48</w:t>
        </w:r>
        <w:r>
          <w:rPr>
            <w:noProof/>
          </w:rPr>
          <w:fldChar w:fldCharType="end"/>
        </w:r>
      </w:p>
    </w:sdtContent>
  </w:sdt>
  <w:p w14:paraId="3BB5B24A" w14:textId="77777777" w:rsidR="00EE6318" w:rsidRDefault="00EE6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C55BC" w14:textId="77777777" w:rsidR="00677748" w:rsidRDefault="00677748" w:rsidP="00C22CAF">
      <w:pPr>
        <w:spacing w:after="0" w:line="240" w:lineRule="auto"/>
      </w:pPr>
      <w:r>
        <w:separator/>
      </w:r>
    </w:p>
  </w:footnote>
  <w:footnote w:type="continuationSeparator" w:id="0">
    <w:p w14:paraId="6C406209" w14:textId="77777777" w:rsidR="00677748" w:rsidRDefault="00677748" w:rsidP="00C22CAF">
      <w:pPr>
        <w:spacing w:after="0" w:line="240" w:lineRule="auto"/>
      </w:pPr>
      <w:r>
        <w:continuationSeparator/>
      </w:r>
    </w:p>
  </w:footnote>
  <w:footnote w:id="1">
    <w:p w14:paraId="4D6B68C9" w14:textId="77777777" w:rsidR="00EE6318" w:rsidRPr="00046825" w:rsidRDefault="00EE6318" w:rsidP="00C316B4">
      <w:pPr>
        <w:spacing w:after="0"/>
        <w:jc w:val="both"/>
        <w:rPr>
          <w:rFonts w:eastAsia="Cambria" w:cs="Cambria"/>
          <w:noProof/>
        </w:rPr>
      </w:pPr>
      <w:r>
        <w:rPr>
          <w:rStyle w:val="FootnoteReference"/>
        </w:rPr>
        <w:footnoteRef/>
      </w:r>
      <w:r w:rsidRPr="00777364">
        <w:rPr>
          <w:rFonts w:eastAsia="Cambria" w:cs="Cambria"/>
          <w:noProof/>
        </w:rPr>
        <w:t xml:space="preserve">School of Business, University College Dublin, </w:t>
      </w:r>
      <w:r>
        <w:rPr>
          <w:rFonts w:eastAsia="Cambria" w:cs="Cambria"/>
          <w:noProof/>
        </w:rPr>
        <w:t xml:space="preserve">Blackrock, Co. Dublin, Ireland, </w:t>
      </w:r>
      <w:r w:rsidRPr="00777364">
        <w:rPr>
          <w:rFonts w:eastAsia="Cambria" w:cs="Cambria"/>
          <w:noProof/>
        </w:rPr>
        <w:t xml:space="preserve">and Research Fellow, </w:t>
      </w:r>
      <w:r>
        <w:rPr>
          <w:rFonts w:eastAsia="Cambria" w:cs="Cambria"/>
          <w:noProof/>
        </w:rPr>
        <w:t>UCLA Ziman Center for Real Estate,</w:t>
      </w:r>
      <w:r w:rsidRPr="00777364">
        <w:rPr>
          <w:rFonts w:eastAsia="Cambria" w:cs="Cambria"/>
          <w:noProof/>
        </w:rPr>
        <w:t xml:space="preserve"> </w:t>
      </w:r>
      <w:hyperlink r:id="rId1" w:history="1">
        <w:r w:rsidRPr="00777364">
          <w:rPr>
            <w:rFonts w:eastAsia="Cambria" w:cs="Cambria"/>
            <w:noProof/>
            <w:color w:val="0000FF"/>
            <w:u w:val="single"/>
          </w:rPr>
          <w:t>john.cotter@ucd.ie</w:t>
        </w:r>
      </w:hyperlink>
      <w:r w:rsidRPr="00777364">
        <w:rPr>
          <w:rFonts w:eastAsia="Cambria" w:cs="Cambria"/>
          <w:noProof/>
        </w:rPr>
        <w:t xml:space="preserve"> </w:t>
      </w:r>
    </w:p>
  </w:footnote>
  <w:footnote w:id="2">
    <w:p w14:paraId="2C9FD5EB" w14:textId="77777777" w:rsidR="00EE6318" w:rsidRPr="00046825" w:rsidRDefault="00EE6318" w:rsidP="00C316B4">
      <w:pPr>
        <w:spacing w:after="0"/>
        <w:jc w:val="both"/>
        <w:rPr>
          <w:rFonts w:eastAsia="Cambria" w:cs="Cambria"/>
        </w:rPr>
      </w:pPr>
      <w:r>
        <w:rPr>
          <w:rStyle w:val="FootnoteReference"/>
        </w:rPr>
        <w:footnoteRef/>
      </w:r>
      <w:r>
        <w:rPr>
          <w:rFonts w:eastAsia="Cambria" w:cs="Cambria"/>
          <w:color w:val="000000"/>
        </w:rPr>
        <w:t>A</w:t>
      </w:r>
      <w:r w:rsidRPr="00777364">
        <w:rPr>
          <w:rFonts w:eastAsia="Cambria" w:cs="Cambria"/>
          <w:color w:val="000000"/>
        </w:rPr>
        <w:t xml:space="preserve">nderson School of </w:t>
      </w:r>
      <w:r>
        <w:rPr>
          <w:rFonts w:eastAsia="Cambria" w:cs="Cambria"/>
          <w:color w:val="000000"/>
        </w:rPr>
        <w:t>Management, University of California, Los Angeles, CA</w:t>
      </w:r>
      <w:r w:rsidRPr="00777364">
        <w:rPr>
          <w:rFonts w:eastAsia="Cambria" w:cs="Cambria"/>
          <w:color w:val="000000"/>
        </w:rPr>
        <w:t xml:space="preserve">, </w:t>
      </w:r>
      <w:hyperlink r:id="rId2" w:history="1">
        <w:r w:rsidRPr="00777364">
          <w:rPr>
            <w:rFonts w:eastAsia="Cambria" w:cs="Cambria"/>
            <w:color w:val="0000FF"/>
            <w:u w:val="single"/>
          </w:rPr>
          <w:t>stuart.gabriel@anderson.ucla.edu</w:t>
        </w:r>
      </w:hyperlink>
    </w:p>
  </w:footnote>
  <w:footnote w:id="3">
    <w:p w14:paraId="0DCB6D1A" w14:textId="1023B131" w:rsidR="00EE6318" w:rsidRDefault="00EE6318" w:rsidP="0041573D">
      <w:pPr>
        <w:spacing w:after="0"/>
        <w:jc w:val="both"/>
      </w:pPr>
      <w:r>
        <w:rPr>
          <w:rStyle w:val="FootnoteReference"/>
        </w:rPr>
        <w:footnoteRef/>
      </w:r>
      <w:r w:rsidRPr="00777364">
        <w:rPr>
          <w:rFonts w:eastAsia="Cambria" w:cs="Cambria"/>
        </w:rPr>
        <w:t>Cali</w:t>
      </w:r>
      <w:r>
        <w:rPr>
          <w:rFonts w:eastAsia="Cambria" w:cs="Cambria"/>
        </w:rPr>
        <w:t>f</w:t>
      </w:r>
      <w:r w:rsidRPr="00777364">
        <w:rPr>
          <w:rFonts w:eastAsia="Cambria" w:cs="Cambria"/>
        </w:rPr>
        <w:t>ornia Institute o</w:t>
      </w:r>
      <w:r>
        <w:rPr>
          <w:rFonts w:eastAsia="Cambria" w:cs="Cambria"/>
        </w:rPr>
        <w:t>f Technology, Pasadena, CA</w:t>
      </w:r>
      <w:r w:rsidRPr="00777364">
        <w:rPr>
          <w:rFonts w:eastAsia="Cambria" w:cs="Cambria"/>
        </w:rPr>
        <w:t xml:space="preserve">, </w:t>
      </w:r>
      <w:hyperlink r:id="rId3" w:history="1">
        <w:r w:rsidRPr="00BB7003">
          <w:rPr>
            <w:rStyle w:val="Hyperlink"/>
            <w:rFonts w:eastAsia="Cambria" w:cs="Arial"/>
          </w:rPr>
          <w:t>rroll@</w:t>
        </w:r>
        <w:r w:rsidRPr="00BB7003">
          <w:rPr>
            <w:rStyle w:val="Hyperlink"/>
            <w:rFonts w:eastAsia="Cambria" w:cs="Cambria"/>
          </w:rPr>
          <w:t>caltech.edu</w:t>
        </w:r>
      </w:hyperlink>
    </w:p>
  </w:footnote>
  <w:footnote w:id="4">
    <w:p w14:paraId="262EFAE7" w14:textId="77777777" w:rsidR="00EE6318" w:rsidRPr="00610456" w:rsidRDefault="00EE6318" w:rsidP="00D906C2">
      <w:pPr>
        <w:pStyle w:val="FootnoteText"/>
      </w:pPr>
      <w:r>
        <w:rPr>
          <w:rStyle w:val="FootnoteReference"/>
        </w:rPr>
        <w:footnoteRef/>
      </w:r>
      <w:r>
        <w:t xml:space="preserve"> </w:t>
      </w:r>
      <w:r w:rsidRPr="00610456">
        <w:t>Morningstar Investment Advisory Services advocates diversification to provide exposure across sectors and geographies and to reduce portfolio risk.</w:t>
      </w:r>
    </w:p>
  </w:footnote>
  <w:footnote w:id="5">
    <w:p w14:paraId="27CE27FB" w14:textId="7DEA8393" w:rsidR="00EE6318" w:rsidRPr="009943E4" w:rsidRDefault="00EE6318" w:rsidP="00795849">
      <w:pPr>
        <w:pStyle w:val="FootnoteText"/>
        <w:jc w:val="both"/>
        <w:rPr>
          <w:rFonts w:cstheme="minorHAnsi"/>
          <w:lang w:val="en-US"/>
        </w:rPr>
      </w:pPr>
      <w:r w:rsidRPr="009943E4">
        <w:rPr>
          <w:rStyle w:val="FootnoteReference"/>
          <w:rFonts w:eastAsiaTheme="majorEastAsia" w:cstheme="minorHAnsi"/>
        </w:rPr>
        <w:footnoteRef/>
      </w:r>
      <w:r w:rsidRPr="009943E4">
        <w:rPr>
          <w:rFonts w:cstheme="minorHAnsi"/>
        </w:rPr>
        <w:t xml:space="preserve"> </w:t>
      </w:r>
      <w:r w:rsidRPr="00CE15D8">
        <w:rPr>
          <w:rFonts w:cstheme="minorHAnsi"/>
        </w:rPr>
        <w:t xml:space="preserve">When multiple factors drive returns, markets may be imperfectly correlated but perfectly integrated.   As shown by Pukthuanthong and Roll (2009), while perfect integration implies that identical global factors fully explain index returns across countries, some countries may differ in their sensitivities to those factors and accordingly not exhibit perfect correlation.  </w:t>
      </w:r>
      <w:r w:rsidRPr="009943E4">
        <w:rPr>
          <w:rFonts w:cstheme="minorHAnsi"/>
          <w:lang w:val="en-US"/>
        </w:rPr>
        <w:t xml:space="preserve">In the presence of multiple factors, the simple correlation between </w:t>
      </w:r>
      <w:r>
        <w:rPr>
          <w:rFonts w:cstheme="minorHAnsi"/>
          <w:lang w:val="en-US"/>
        </w:rPr>
        <w:t>index returns</w:t>
      </w:r>
      <w:r w:rsidRPr="009943E4">
        <w:rPr>
          <w:rFonts w:cstheme="minorHAnsi"/>
          <w:lang w:val="en-US"/>
        </w:rPr>
        <w:t xml:space="preserve"> could be a flawed measure of integration </w:t>
      </w:r>
      <w:r>
        <w:rPr>
          <w:rFonts w:cstheme="minorHAnsi"/>
          <w:lang w:val="en-US"/>
        </w:rPr>
        <w:t xml:space="preserve">unless </w:t>
      </w:r>
      <w:r w:rsidRPr="009943E4">
        <w:rPr>
          <w:rFonts w:cstheme="minorHAnsi"/>
          <w:lang w:val="en-US"/>
        </w:rPr>
        <w:t>the estimated coefficient vectors</w:t>
      </w:r>
      <w:r>
        <w:rPr>
          <w:rFonts w:cstheme="minorHAnsi"/>
          <w:lang w:val="en-US"/>
        </w:rPr>
        <w:t xml:space="preserve"> from factor regressions</w:t>
      </w:r>
      <w:r w:rsidRPr="009943E4">
        <w:rPr>
          <w:rFonts w:cstheme="minorHAnsi"/>
          <w:lang w:val="en-US"/>
        </w:rPr>
        <w:t xml:space="preserve"> are exactly proportional. </w:t>
      </w:r>
    </w:p>
    <w:p w14:paraId="2AE08C5F" w14:textId="77777777" w:rsidR="00EE6318" w:rsidRPr="009943E4" w:rsidRDefault="00EE6318" w:rsidP="00795849">
      <w:pPr>
        <w:pStyle w:val="FootnoteText"/>
        <w:jc w:val="both"/>
        <w:rPr>
          <w:rFonts w:cstheme="minorHAnsi"/>
          <w:lang w:val="en-US"/>
        </w:rPr>
      </w:pPr>
    </w:p>
  </w:footnote>
  <w:footnote w:id="6">
    <w:p w14:paraId="0375D73B" w14:textId="77777777" w:rsidR="00EE6318" w:rsidRDefault="00EE6318" w:rsidP="00795849">
      <w:pPr>
        <w:pStyle w:val="FootnoteText"/>
        <w:jc w:val="both"/>
        <w:rPr>
          <w:rFonts w:cstheme="minorHAnsi"/>
          <w:lang w:val="en-US"/>
        </w:rPr>
      </w:pPr>
      <w:r w:rsidRPr="009943E4">
        <w:rPr>
          <w:rStyle w:val="FootnoteReference"/>
          <w:rFonts w:eastAsiaTheme="majorEastAsia" w:cstheme="minorHAnsi"/>
        </w:rPr>
        <w:footnoteRef/>
      </w:r>
      <w:r w:rsidRPr="009943E4">
        <w:rPr>
          <w:rFonts w:cstheme="minorHAnsi"/>
        </w:rPr>
        <w:t xml:space="preserve"> </w:t>
      </w:r>
      <w:r w:rsidRPr="009943E4">
        <w:rPr>
          <w:rFonts w:cstheme="minorHAnsi"/>
          <w:lang w:val="en-US"/>
        </w:rPr>
        <w:t>According to this definition, a country is perfectly integrated if the country-specific variance is zero after controlling for global factors.  In the case of two perfectly integrated countries, market indexes would have zero residual variance.  See Pukthuanthong and Roll (20</w:t>
      </w:r>
      <w:r>
        <w:rPr>
          <w:rFonts w:cstheme="minorHAnsi"/>
          <w:lang w:val="en-US"/>
        </w:rPr>
        <w:t>09</w:t>
      </w:r>
      <w:r w:rsidRPr="009943E4">
        <w:rPr>
          <w:rFonts w:cstheme="minorHAnsi"/>
          <w:lang w:val="en-US"/>
        </w:rPr>
        <w:t>) for discussion and details.</w:t>
      </w:r>
    </w:p>
    <w:p w14:paraId="5ACEA72F" w14:textId="77777777" w:rsidR="00EE6318" w:rsidRPr="009943E4" w:rsidRDefault="00EE6318" w:rsidP="00795849">
      <w:pPr>
        <w:pStyle w:val="FootnoteText"/>
        <w:jc w:val="both"/>
        <w:rPr>
          <w:rFonts w:cstheme="minorHAnsi"/>
          <w:lang w:val="en-US"/>
        </w:rPr>
      </w:pPr>
    </w:p>
  </w:footnote>
  <w:footnote w:id="7">
    <w:p w14:paraId="0059C448" w14:textId="77777777" w:rsidR="00EE6318" w:rsidRPr="00C25F4C" w:rsidRDefault="00EE6318" w:rsidP="005E22D9">
      <w:pPr>
        <w:pStyle w:val="FootnoteText"/>
      </w:pPr>
      <w:r>
        <w:rPr>
          <w:rStyle w:val="FootnoteReference"/>
        </w:rPr>
        <w:footnoteRef/>
      </w:r>
      <w:r w:rsidRPr="00C25F4C">
        <w:t xml:space="preserve">The formal proof </w:t>
      </w:r>
      <w:r>
        <w:t>is delivered by</w:t>
      </w:r>
      <w:r w:rsidRPr="00C25F4C">
        <w:t xml:space="preserve"> the Cauchy inequality</w:t>
      </w:r>
      <w:r>
        <w:t xml:space="preserve">.  The correlation is +1 (-1) when k is the same for all pairs of </w:t>
      </w:r>
      <w:r w:rsidRPr="0005548E">
        <w:rPr>
          <w:position w:val="-10"/>
        </w:rPr>
        <w:object w:dxaOrig="360" w:dyaOrig="300" w14:anchorId="57CFEA4F">
          <v:shape id="_x0000_i1031" type="#_x0000_t75" style="width:18.7pt;height:14.9pt" o:ole="">
            <v:imagedata r:id="rId4" o:title=""/>
          </v:shape>
          <o:OLEObject Type="Embed" ProgID="Equation.DSMT4" ShapeID="_x0000_i1031" DrawAspect="Content" ObjectID="_1666022428" r:id="rId5"/>
        </w:object>
      </w:r>
      <w:r>
        <w:t xml:space="preserve"> and k &gt; (&lt;) 0.</w:t>
      </w:r>
    </w:p>
    <w:p w14:paraId="0ECBB049" w14:textId="77777777" w:rsidR="00EE6318" w:rsidRDefault="00EE6318" w:rsidP="005E22D9">
      <w:pPr>
        <w:pStyle w:val="FootnoteText"/>
      </w:pPr>
    </w:p>
  </w:footnote>
  <w:footnote w:id="8">
    <w:p w14:paraId="6CE3B4CB" w14:textId="77777777" w:rsidR="00EE6318" w:rsidRPr="0017603B" w:rsidRDefault="00EE6318" w:rsidP="00D87285">
      <w:pPr>
        <w:pStyle w:val="FootnoteText"/>
        <w:jc w:val="both"/>
      </w:pPr>
      <w:r>
        <w:rPr>
          <w:rStyle w:val="FootnoteReference"/>
        </w:rPr>
        <w:footnoteRef/>
      </w:r>
      <w:r>
        <w:t xml:space="preserve"> </w:t>
      </w:r>
      <w:r w:rsidRPr="0017603B">
        <w:t xml:space="preserve">Another example is suggested by the frequently-observed low correlations across some country equity indexes.  For example, Hong Kong and Saudi Arabia are undoubtedly driven differentially by global energy shocks.  Saudi stocks are driven upward by energy price increases but the opposite is true for Hong Kong, an energy importer.  These two countries could be very well integrated in the sense that they both depend on the same global factors, yet their simple correlation could be small or even negative depending on the volatility of energy shocks relative to other common factors.  </w:t>
      </w:r>
    </w:p>
    <w:p w14:paraId="3CA02DE4" w14:textId="646A73CF" w:rsidR="00EE6318" w:rsidRPr="00D87285" w:rsidRDefault="00EE6318" w:rsidP="00D87285">
      <w:pPr>
        <w:pStyle w:val="FootnoteText"/>
        <w:jc w:val="both"/>
        <w:rPr>
          <w:lang w:val="en-US"/>
        </w:rPr>
      </w:pPr>
    </w:p>
  </w:footnote>
  <w:footnote w:id="9">
    <w:p w14:paraId="3C308321" w14:textId="43E3BAC9" w:rsidR="00EE6318" w:rsidRPr="006D14AE" w:rsidRDefault="00EE6318" w:rsidP="00D87285">
      <w:pPr>
        <w:pStyle w:val="FootnoteText"/>
        <w:jc w:val="both"/>
      </w:pPr>
      <w:r>
        <w:rPr>
          <w:rStyle w:val="FootnoteReference"/>
        </w:rPr>
        <w:footnoteRef/>
      </w:r>
      <w:r>
        <w:t xml:space="preserve"> </w:t>
      </w:r>
      <w:r w:rsidRPr="006D14AE">
        <w:t>To see the extent of this issue, consider again two diversified portfolio indexes A and B, perhaps in different asset classes or countries, whose returns are driven by the same underlying systematic factors but with diverse sensitivities (</w:t>
      </w:r>
      <w:r w:rsidRPr="006D14AE">
        <w:object w:dxaOrig="380" w:dyaOrig="320" w14:anchorId="762576E9">
          <v:shape id="_x0000_i1033" type="#_x0000_t75" style="width:14.9pt;height:12.5pt" o:ole="">
            <v:imagedata r:id="rId6" o:title=""/>
          </v:shape>
          <o:OLEObject Type="Embed" ProgID="Equation.DSMT4" ShapeID="_x0000_i1033" DrawAspect="Content" ObjectID="_1666022429" r:id="rId7"/>
        </w:object>
      </w:r>
      <w:r w:rsidRPr="006D14AE">
        <w:t>).  Assume that their simple correlation is relatively low.  Diversification into the two indexes might seem powerful because various allocations between them (such as 50-50) appear to substantially reduce volatility.  But this overstates the true diversification benefit because the respective index compositions are held constant when making such allocations.</w:t>
      </w:r>
      <w:r>
        <w:t xml:space="preserve">  </w:t>
      </w:r>
      <w:r w:rsidRPr="006D14AE">
        <w:t xml:space="preserve">Instead of allocating a fraction of investment funds to index A and the complementary fraction to index B, consider structuring a different investment portfolio from the </w:t>
      </w:r>
      <w:r w:rsidRPr="006D14AE">
        <w:rPr>
          <w:u w:val="single"/>
        </w:rPr>
        <w:t>individual</w:t>
      </w:r>
      <w:r w:rsidRPr="006D14AE">
        <w:t xml:space="preserve"> assets within index A that matches the factor sensitivities of index B.  This is feasible when there is a large enough menu of available derivatives or when short positions are inexpensive.  The resulting returns, index B and the re-structured version of index A, denoted A*, would then conform to the following return generating multi-factor models:</w:t>
      </w:r>
    </w:p>
    <w:p w14:paraId="2C236E71" w14:textId="37B47F33" w:rsidR="00EE6318" w:rsidRPr="00D87285" w:rsidRDefault="00EE6318" w:rsidP="006D14AE">
      <w:pPr>
        <w:pStyle w:val="FootnoteText"/>
        <w:rPr>
          <w:sz w:val="16"/>
          <w:szCs w:val="16"/>
        </w:rPr>
      </w:pPr>
      <w:r w:rsidRPr="00B41FD3">
        <w:rPr>
          <w:sz w:val="16"/>
          <w:szCs w:val="16"/>
        </w:rPr>
        <w:object w:dxaOrig="4720" w:dyaOrig="380" w14:anchorId="164FC494">
          <v:shape id="_x0000_i1035" type="#_x0000_t75" style="width:198.25pt;height:17.75pt" o:ole="">
            <v:imagedata r:id="rId8" o:title=""/>
          </v:shape>
          <o:OLEObject Type="Embed" ProgID="Equation.DSMT4" ShapeID="_x0000_i1035" DrawAspect="Content" ObjectID="_1666022430" r:id="rId9"/>
        </w:object>
      </w:r>
    </w:p>
    <w:p w14:paraId="6650BCA4" w14:textId="403D53BA" w:rsidR="00EE6318" w:rsidRPr="00D87285" w:rsidRDefault="00EE6318" w:rsidP="006D14AE">
      <w:pPr>
        <w:pStyle w:val="FootnoteText"/>
        <w:rPr>
          <w:sz w:val="16"/>
          <w:szCs w:val="16"/>
        </w:rPr>
      </w:pPr>
      <w:r w:rsidRPr="00B41FD3">
        <w:rPr>
          <w:sz w:val="16"/>
          <w:szCs w:val="16"/>
        </w:rPr>
        <w:object w:dxaOrig="4480" w:dyaOrig="380" w14:anchorId="0D352607">
          <v:shape id="_x0000_i1037" type="#_x0000_t75" style="width:198.25pt;height:17.75pt" o:ole="">
            <v:imagedata r:id="rId10" o:title=""/>
          </v:shape>
          <o:OLEObject Type="Embed" ProgID="Equation.DSMT4" ShapeID="_x0000_i1037" DrawAspect="Content" ObjectID="_1666022431" r:id="rId11"/>
        </w:object>
      </w:r>
    </w:p>
    <w:p w14:paraId="094846E5" w14:textId="480F56BE" w:rsidR="00EE6318" w:rsidRPr="006D14AE" w:rsidRDefault="00EE6318" w:rsidP="00D87285">
      <w:pPr>
        <w:pStyle w:val="FootnoteText"/>
        <w:jc w:val="both"/>
      </w:pPr>
      <w:r w:rsidRPr="006D14AE">
        <w:t>Notice that the sensitivity coefficients (</w:t>
      </w:r>
      <w:r w:rsidRPr="006D14AE">
        <w:rPr>
          <w:lang w:val="el-GR"/>
        </w:rPr>
        <w:t>β</w:t>
      </w:r>
      <w:r w:rsidRPr="006D14AE">
        <w:t xml:space="preserve">’s) from the restructured portfolio A* of A assets now match the original sensitivity coefficients of index B.  What, then, is the actual diversification benefit available from combining A and B? </w:t>
      </w:r>
      <w:r>
        <w:t xml:space="preserve"> </w:t>
      </w:r>
      <w:r w:rsidRPr="006D14AE">
        <w:t>In words, if the re-structured portfolio A* from the class A assets has no idiosyncratic component, diversifying with B brings absolutely no benefit in terms of risk reduction; w is zero.  This is true even when, as we assumed initially, the correlation is weak between the original indexes of classes A and B.  Any benefit from combining B with A would have to be in terms of enhanced return, not reduced risk.</w:t>
      </w:r>
      <w:r>
        <w:t xml:space="preserve">  </w:t>
      </w:r>
      <w:r w:rsidRPr="006D14AE">
        <w:t>If the re-structured A-asset-only portfolio A* retains some idiosyncratic risk, there is a diversification benefit.  But that benefit has nothing to do with the correlation between the original indexes A and B.  This result leads directly to our proposed measure of diversification potential.</w:t>
      </w:r>
    </w:p>
    <w:p w14:paraId="34D467E1" w14:textId="0AFB269F" w:rsidR="00EE6318" w:rsidRPr="006D14AE" w:rsidRDefault="00EE6318" w:rsidP="00D87285">
      <w:pPr>
        <w:pStyle w:val="FootnoteText"/>
        <w:jc w:val="both"/>
      </w:pPr>
      <w:r w:rsidRPr="006D14AE">
        <w:t xml:space="preserve">If the </w:t>
      </w:r>
      <w:r w:rsidRPr="006D14AE">
        <w:rPr>
          <w:lang w:val="el-GR"/>
        </w:rPr>
        <w:t>β</w:t>
      </w:r>
      <w:r w:rsidRPr="006D14AE">
        <w:rPr>
          <w:vertAlign w:val="subscript"/>
        </w:rPr>
        <w:t>B</w:t>
      </w:r>
      <w:r w:rsidRPr="006D14AE">
        <w:t xml:space="preserve">-structured B-mimicking portfolio A* composed of A assets has an r-square on the underlying factors close to 1.0, then </w:t>
      </w:r>
      <w:r w:rsidRPr="006D14AE">
        <w:object w:dxaOrig="1020" w:dyaOrig="380" w14:anchorId="720FA80F">
          <v:shape id="_x0000_i1039" type="#_x0000_t75" style="width:35.05pt;height:13.9pt" o:ole="">
            <v:imagedata r:id="rId12" o:title=""/>
          </v:shape>
          <o:OLEObject Type="Embed" ProgID="Equation.DSMT4" ShapeID="_x0000_i1039" DrawAspect="Content" ObjectID="_1666022432" r:id="rId13"/>
        </w:object>
      </w:r>
      <w:r w:rsidRPr="006D14AE">
        <w:t xml:space="preserve"> will be very small, so there will be negligible diversification benefits from combining B and A. (The same would be true going the other direction; i.e., restructuring B to match the factor sensitivities of the A index.)  Hence, we compute the r-square (denoted </w:t>
      </w:r>
      <w:r w:rsidRPr="006D14AE">
        <w:object w:dxaOrig="175" w:dyaOrig="225" w14:anchorId="5DAF433B">
          <v:shape id="_x0000_i1041" type="#_x0000_t75" style="width:8.65pt;height:11.05pt">
            <v:imagedata r:id="rId14" o:title=""/>
          </v:shape>
          <o:OLEObject Type="Embed" ProgID="Equation.DSMT4" ShapeID="_x0000_i1041" DrawAspect="Content" ObjectID="_1666022433" r:id="rId15"/>
        </w:object>
      </w:r>
      <w:r w:rsidRPr="006D14AE">
        <w:t>) from multi-factor regressions for each asset class and country and then measure the benefit of diversifying with that class or country by 1-</w:t>
      </w:r>
      <w:r w:rsidRPr="006D14AE">
        <w:object w:dxaOrig="250" w:dyaOrig="225" w14:anchorId="27B30AF9">
          <v:shape id="_x0000_i1043" type="#_x0000_t75" style="width:12.5pt;height:11.05pt">
            <v:imagedata r:id="rId14" o:title=""/>
          </v:shape>
          <o:OLEObject Type="Embed" ProgID="Equation.DSMT4" ShapeID="_x0000_i1043" DrawAspect="Content" ObjectID="_1666022434" r:id="rId16"/>
        </w:object>
      </w:r>
      <w:r w:rsidRPr="006D14AE">
        <w:t xml:space="preserve">.   If </w:t>
      </w:r>
      <w:r w:rsidRPr="006D14AE">
        <w:object w:dxaOrig="238" w:dyaOrig="213" w14:anchorId="1AB8B273">
          <v:shape id="_x0000_i1045" type="#_x0000_t75" style="width:12pt;height:10.55pt">
            <v:imagedata r:id="rId14" o:title=""/>
          </v:shape>
          <o:OLEObject Type="Embed" ProgID="Equation.DSMT4" ShapeID="_x0000_i1045" DrawAspect="Content" ObjectID="_1666022435" r:id="rId17"/>
        </w:object>
      </w:r>
      <w:r w:rsidRPr="006D14AE">
        <w:t xml:space="preserve">= 1.0, there is no benefit while if </w:t>
      </w:r>
      <w:r w:rsidRPr="006D14AE">
        <w:object w:dxaOrig="250" w:dyaOrig="213" w14:anchorId="3AA29DE6">
          <v:shape id="_x0000_i1047" type="#_x0000_t75" style="width:12.5pt;height:10.55pt">
            <v:imagedata r:id="rId14" o:title=""/>
          </v:shape>
          <o:OLEObject Type="Embed" ProgID="Equation.DSMT4" ShapeID="_x0000_i1047" DrawAspect="Content" ObjectID="_1666022436" r:id="rId18"/>
        </w:object>
      </w:r>
      <w:r w:rsidRPr="006D14AE">
        <w:t xml:space="preserve">is close to zero, the benefit is large.  </w:t>
      </w:r>
    </w:p>
    <w:p w14:paraId="7ACCF6AC" w14:textId="0037C52C" w:rsidR="00EE6318" w:rsidRPr="00D87285" w:rsidRDefault="00EE6318">
      <w:pPr>
        <w:pStyle w:val="FootnoteText"/>
        <w:rPr>
          <w:lang w:val="en-US"/>
        </w:rPr>
      </w:pPr>
    </w:p>
  </w:footnote>
  <w:footnote w:id="10">
    <w:p w14:paraId="104D4CA9" w14:textId="65EBF65B" w:rsidR="00EE6318" w:rsidRDefault="00EE6318" w:rsidP="001A7D23">
      <w:pPr>
        <w:pStyle w:val="FootnoteText"/>
        <w:jc w:val="both"/>
      </w:pPr>
      <w:r>
        <w:rPr>
          <w:rStyle w:val="FootnoteReference"/>
        </w:rPr>
        <w:footnoteRef/>
      </w:r>
      <w:r>
        <w:t xml:space="preserve"> Although Datastream gives us the greatest coverage it is not without its faults.  That dataset </w:t>
      </w:r>
      <w:r w:rsidRPr="00DE413D">
        <w:t>is biased towards large capitali</w:t>
      </w:r>
      <w:r>
        <w:t>z</w:t>
      </w:r>
      <w:r w:rsidRPr="00DE413D">
        <w:t xml:space="preserve">ation stocks but we argue that investors would create their diversified portfolio using these assets </w:t>
      </w:r>
      <w:r>
        <w:t>as those assets</w:t>
      </w:r>
      <w:r w:rsidRPr="00DE413D">
        <w:t xml:space="preserve"> </w:t>
      </w:r>
      <w:r>
        <w:t xml:space="preserve">are more likely to be </w:t>
      </w:r>
      <w:r w:rsidRPr="00DE413D">
        <w:t xml:space="preserve">well known to them, </w:t>
      </w:r>
      <w:r>
        <w:t xml:space="preserve">have </w:t>
      </w:r>
      <w:r w:rsidRPr="00DE413D">
        <w:t xml:space="preserve">less political risk and </w:t>
      </w:r>
      <w:r>
        <w:t xml:space="preserve">are </w:t>
      </w:r>
      <w:r w:rsidRPr="00DE413D">
        <w:t xml:space="preserve">relatively liquid.  </w:t>
      </w:r>
      <w:r>
        <w:t>This would certainly be true for international investors.</w:t>
      </w:r>
    </w:p>
    <w:p w14:paraId="2856FD11" w14:textId="77777777" w:rsidR="00EE6318" w:rsidRPr="00BE1548" w:rsidRDefault="00EE6318" w:rsidP="001A7D23">
      <w:pPr>
        <w:pStyle w:val="FootnoteText"/>
        <w:jc w:val="both"/>
        <w:rPr>
          <w:lang w:val="en-GB"/>
        </w:rPr>
      </w:pPr>
    </w:p>
  </w:footnote>
  <w:footnote w:id="11">
    <w:p w14:paraId="60162F1D" w14:textId="77777777" w:rsidR="00EE6318" w:rsidRDefault="00EE6318" w:rsidP="00116357">
      <w:pPr>
        <w:pStyle w:val="FootnoteText"/>
      </w:pPr>
      <w:r>
        <w:rPr>
          <w:rStyle w:val="FootnoteReference"/>
        </w:rPr>
        <w:footnoteRef/>
      </w:r>
      <w:r>
        <w:t xml:space="preserve"> </w:t>
      </w:r>
      <w:r w:rsidRPr="00116357">
        <w:t>5-year sovereign bond indices are chosen as there are more of these than their 10-year counterpart.</w:t>
      </w:r>
    </w:p>
    <w:p w14:paraId="44F08B1E" w14:textId="48DCF7AB" w:rsidR="00EE6318" w:rsidRPr="00116357" w:rsidRDefault="00EE6318" w:rsidP="00116357">
      <w:pPr>
        <w:pStyle w:val="FootnoteText"/>
      </w:pPr>
      <w:r w:rsidRPr="00116357">
        <w:t xml:space="preserve">  </w:t>
      </w:r>
    </w:p>
  </w:footnote>
  <w:footnote w:id="12">
    <w:p w14:paraId="5B15DDF5" w14:textId="77777777" w:rsidR="00EE6318" w:rsidRDefault="00EE6318" w:rsidP="00573C91">
      <w:pPr>
        <w:pStyle w:val="FootnoteText"/>
        <w:jc w:val="both"/>
      </w:pPr>
      <w:r>
        <w:rPr>
          <w:rStyle w:val="FootnoteReference"/>
        </w:rPr>
        <w:footnoteRef/>
      </w:r>
      <w:r>
        <w:t xml:space="preserve"> The pre-1986 markets include</w:t>
      </w:r>
      <w:r w:rsidRPr="0005511B">
        <w:t xml:space="preserve"> Equity: Australia, Austria, Belgium, Canada, Denmark, France, Germany, Hong Kong, Ireland, Italy, Japan, Netherlands, Singapore, South Africa, Switzerland, UK, US, Brazil, Malaysia, Norway, South Korea, Spain, Sweden; Bond: Austria, Belgium, Canada, Denmark, France, Germany, Ireland, Japan, Netherlands, Sweden, Switzerland, UK, US, and REIT: Australia, Netherlands, UK, and US. </w:t>
      </w:r>
      <w:r>
        <w:t xml:space="preserve"> </w:t>
      </w:r>
    </w:p>
    <w:p w14:paraId="70F0D498" w14:textId="77777777" w:rsidR="00EE6318" w:rsidRPr="0005511B" w:rsidRDefault="00EE6318" w:rsidP="00573C91">
      <w:pPr>
        <w:pStyle w:val="FootnoteText"/>
        <w:jc w:val="both"/>
      </w:pPr>
    </w:p>
  </w:footnote>
  <w:footnote w:id="13">
    <w:p w14:paraId="6218CE31" w14:textId="0CA3057C" w:rsidR="00EE6318" w:rsidRDefault="00EE6318" w:rsidP="00573C91">
      <w:pPr>
        <w:pStyle w:val="FootnoteText"/>
        <w:jc w:val="both"/>
      </w:pPr>
      <w:r>
        <w:rPr>
          <w:rStyle w:val="FootnoteReference"/>
        </w:rPr>
        <w:footnoteRef/>
      </w:r>
      <w:r>
        <w:t xml:space="preserve"> This non-synchronous trading issue arises because North America is the last region to trade on a given calendar day.  If a globally-significant event occurs after the Asian or European markets close but while the North American markets are still open, there could be a co-movement between North America returns and returns in other regions the next day.  Including the lagged North American markets yields a 45x45 covariance matrix including lags for 3 asset classes in the US and in Canada.    </w:t>
      </w:r>
    </w:p>
    <w:p w14:paraId="6CAB1B1E" w14:textId="77777777" w:rsidR="00EE6318" w:rsidRPr="00573C91" w:rsidRDefault="00EE6318" w:rsidP="00573C91">
      <w:pPr>
        <w:pStyle w:val="FootnoteText"/>
        <w:jc w:val="both"/>
      </w:pPr>
    </w:p>
  </w:footnote>
  <w:footnote w:id="14">
    <w:p w14:paraId="7B3C4E9F" w14:textId="194052DF" w:rsidR="00EE6318" w:rsidRPr="005B148B" w:rsidRDefault="00EE6318" w:rsidP="00177E4A">
      <w:pPr>
        <w:pStyle w:val="FootnoteText"/>
        <w:jc w:val="both"/>
      </w:pPr>
      <w:r>
        <w:rPr>
          <w:rStyle w:val="FootnoteReference"/>
        </w:rPr>
        <w:footnoteRef/>
      </w:r>
      <w:r>
        <w:t xml:space="preserve">This is </w:t>
      </w:r>
      <w:r w:rsidRPr="005B148B">
        <w:t xml:space="preserve">to avoid any </w:t>
      </w:r>
      <w:r>
        <w:t xml:space="preserve">possible </w:t>
      </w:r>
      <w:r w:rsidRPr="005B148B">
        <w:t xml:space="preserve">bias in the regression of a </w:t>
      </w:r>
      <w:r>
        <w:t xml:space="preserve">pre-1986 </w:t>
      </w:r>
      <w:r w:rsidRPr="005B148B">
        <w:t xml:space="preserve">country’s returns on </w:t>
      </w:r>
      <w:r>
        <w:t xml:space="preserve">the </w:t>
      </w:r>
      <w:r w:rsidRPr="005B148B">
        <w:t>global factors associated with that country being heavily weighted in the principal components</w:t>
      </w:r>
      <w:r>
        <w:t>.  Since we exclude a pre-1986 country from the PCs when that country is the dependent variable, the potential bias is obviated.</w:t>
      </w:r>
      <w:r w:rsidRPr="005B148B">
        <w:t xml:space="preserve">     </w:t>
      </w:r>
    </w:p>
  </w:footnote>
  <w:footnote w:id="15">
    <w:p w14:paraId="69556046" w14:textId="77777777" w:rsidR="00EE6318" w:rsidRDefault="00EE6318">
      <w:pPr>
        <w:pStyle w:val="FootnoteText"/>
      </w:pPr>
    </w:p>
    <w:p w14:paraId="13E8E585" w14:textId="4791CB98" w:rsidR="00EE6318" w:rsidRDefault="00EE6318" w:rsidP="0034508F">
      <w:pPr>
        <w:pStyle w:val="FootnoteText"/>
        <w:jc w:val="both"/>
      </w:pPr>
      <w:r>
        <w:rPr>
          <w:rStyle w:val="FootnoteReference"/>
        </w:rPr>
        <w:footnoteRef/>
      </w:r>
      <w:r>
        <w:t xml:space="preserve"> We also examine the asset classes in isolation, obtaining separate principal components to explain respective asset classes. The findings are consistent with using principal components for the combination of assets.  Further, as in Pukthuanthong and Roll (2009) there was negligible impact on the trend of R-squared estimates when the number of principal components were allowed to vary from 16.  </w:t>
      </w:r>
    </w:p>
  </w:footnote>
  <w:footnote w:id="16">
    <w:p w14:paraId="2A7DE4F6" w14:textId="76F2723F" w:rsidR="00EE6318" w:rsidRPr="00D87285" w:rsidRDefault="00EE6318" w:rsidP="00BB772F">
      <w:pPr>
        <w:pStyle w:val="FootnoteText"/>
        <w:jc w:val="both"/>
      </w:pPr>
      <w:r>
        <w:rPr>
          <w:rStyle w:val="FootnoteReference"/>
        </w:rPr>
        <w:footnoteRef/>
      </w:r>
      <w:r>
        <w:t xml:space="preserve"> Although as noted correlation and integration are not necessarily direct substitutes of each other w</w:t>
      </w:r>
      <w:r w:rsidRPr="00D87285">
        <w:t>e also look at correlation trends by estimating the Dynamic Conditional Correlation (DCC) (Engle, 2002) for each asset class.  With an overlapping time sample we find a very similar pattern for correlation and our integration trends with, for instance, correlation between the estimates for equities being 0.907, and is supportive of the evidence we present for our measure.  Our analysis goes further however, given the fact that we analyse the measure of diversification potential, rather than integration.</w:t>
      </w:r>
    </w:p>
    <w:p w14:paraId="37449014" w14:textId="77777777" w:rsidR="00EE6318" w:rsidRDefault="00EE6318" w:rsidP="00BB772F">
      <w:pPr>
        <w:pStyle w:val="FootnoteText"/>
        <w:jc w:val="both"/>
      </w:pPr>
    </w:p>
    <w:p w14:paraId="3AC573C1" w14:textId="08476D9B" w:rsidR="00EE6318" w:rsidRDefault="00EE6318" w:rsidP="00BB772F">
      <w:pPr>
        <w:pStyle w:val="FootnoteText"/>
        <w:jc w:val="both"/>
      </w:pPr>
      <w:r w:rsidRPr="001E2D47">
        <w:t xml:space="preserve">  </w:t>
      </w:r>
    </w:p>
    <w:p w14:paraId="12DD0AA2" w14:textId="6E3C2A06" w:rsidR="00EE6318" w:rsidRPr="00D87285" w:rsidRDefault="00EE6318">
      <w:pPr>
        <w:pStyle w:val="FootnoteText"/>
        <w:rPr>
          <w:lang w:val="en-US"/>
        </w:rPr>
      </w:pPr>
    </w:p>
  </w:footnote>
  <w:footnote w:id="17">
    <w:p w14:paraId="53A12C5C" w14:textId="6865A0B2" w:rsidR="00EE6318" w:rsidRDefault="00EE6318" w:rsidP="00172E43">
      <w:pPr>
        <w:pStyle w:val="FootnoteText"/>
        <w:jc w:val="both"/>
      </w:pPr>
      <w:r>
        <w:rPr>
          <w:rStyle w:val="FootnoteReference"/>
        </w:rPr>
        <w:footnoteRef/>
      </w:r>
      <w:r>
        <w:t xml:space="preserve"> The pre-1974 equity market cohort includes the major advanced modern economies of Australia, Austria, Belgium, Canada, Denmark, France, Germany, Hong Kong, Ireland, Japan, Netherlands, Singapore, South Africa, Switzerland, the UK and the USA.</w:t>
      </w:r>
    </w:p>
    <w:p w14:paraId="692FB656" w14:textId="77777777" w:rsidR="00EE6318" w:rsidRPr="009519F6" w:rsidRDefault="00EE6318">
      <w:pPr>
        <w:pStyle w:val="FootnoteText"/>
      </w:pPr>
    </w:p>
  </w:footnote>
  <w:footnote w:id="18">
    <w:p w14:paraId="6672F72D" w14:textId="147ACB23" w:rsidR="00EE6318" w:rsidRPr="009519F6" w:rsidRDefault="00EE6318">
      <w:pPr>
        <w:pStyle w:val="FootnoteText"/>
        <w:rPr>
          <w:lang w:val="en-US"/>
        </w:rPr>
      </w:pPr>
      <w:r>
        <w:rPr>
          <w:rStyle w:val="FootnoteReference"/>
        </w:rPr>
        <w:footnoteRef/>
      </w:r>
      <w:r>
        <w:t xml:space="preserve"> </w:t>
      </w:r>
      <w:r>
        <w:rPr>
          <w:lang w:val="en-US"/>
        </w:rPr>
        <w:t>The post-1999 bond cohort includes China, the Czech Republic, Mexico, Poland, and South Africa.</w:t>
      </w:r>
    </w:p>
  </w:footnote>
  <w:footnote w:id="19">
    <w:p w14:paraId="74AC670B" w14:textId="25CAF97F" w:rsidR="00EE6318" w:rsidRPr="005E0BB1" w:rsidRDefault="00EE6318" w:rsidP="007116C8">
      <w:pPr>
        <w:pStyle w:val="FootnoteText"/>
        <w:jc w:val="both"/>
        <w:rPr>
          <w:lang w:val="en-US"/>
        </w:rPr>
      </w:pPr>
      <w:r w:rsidRPr="007116C8">
        <w:rPr>
          <w:rStyle w:val="FootnoteReference"/>
        </w:rPr>
        <w:footnoteRef/>
      </w:r>
      <w:r w:rsidRPr="007116C8">
        <w:t xml:space="preserve"> </w:t>
      </w:r>
      <w:r w:rsidRPr="007116C8">
        <w:rPr>
          <w:lang w:val="en-US"/>
        </w:rPr>
        <w:t>For equities</w:t>
      </w:r>
      <w:r w:rsidRPr="00B41CEB">
        <w:rPr>
          <w:lang w:val="en-US"/>
        </w:rPr>
        <w:t xml:space="preserve"> the developed markets are: Argentina, Australia, Austria, Bahrain, Belgium, Canada, Chile, Croatia, Cyprus, Czech Rep., Denmark, Estonia, Finland, France, Germany, Greece, Hong Kong, Hungary, Iceland, Ireland, Israel, Italy, Japan, Kuwait, Latvia, Lithuania, Luxembourg, Malta, Netherlands, New Zealand, Norway, Poland, Portugal, Qatar, Saudi Arabia, Singapore, Slovakia, Slovenia, Spain, Sweden, Switzerland, UAE, UK and US.  The associated emerging equity markets are: Bangladesh, Botswana, Brazil, Bulgaria, China, Colombia, Cote d'Ivoire, Ecuador, Egypt, Ghana, India, Indonesia, Jamaica, Jordan, Kazakhstan, Kenya, Lebanon, Macedonia, Malaysia, Mauritius, Mexico, Montenegro, Morocco, Namibia, Nigeria, Oman, Pakistan, Panama, Peru, Philippines, Romania, Russia, Serbia, South Africa, South Korea, Sri Lanka, Taiwan, Thailand, Trinidad, Tunisia, Turkey, Ukraine, Venezuela, Vietnam and Zambia.</w:t>
      </w:r>
      <w:r>
        <w:rPr>
          <w:lang w:val="en-US"/>
        </w:rPr>
        <w:t xml:space="preserve">  </w:t>
      </w:r>
      <w:r w:rsidRPr="00B41CEB">
        <w:rPr>
          <w:lang w:val="en-US"/>
        </w:rPr>
        <w:t>For bonds the developed markets are: Australia, Austria, Belgium, Canada, Czech Rep., Denmark, Finland, France, Germany, Ireland, Italy, Japan, Netherlands, New Zealand, Norway, Poland, Portugal, Spain, Sweden, Switzerland, UK and US.  The associated emerging bond markets are: China, Mexico and South Africa.</w:t>
      </w:r>
      <w:r>
        <w:rPr>
          <w:lang w:val="en-US"/>
        </w:rPr>
        <w:t xml:space="preserve">  </w:t>
      </w:r>
      <w:r w:rsidRPr="00B41CEB">
        <w:rPr>
          <w:lang w:val="en-US"/>
        </w:rPr>
        <w:t>For REITs the developed markets are: Australia, Belgium, Canada, France, Germany, Greece, Hong Kong, Italy, Japan, Netherlands, New Zealand, Singapore, UK and US.  The associated emerging REIT markets are: Bulgaria, Malaysia, Mexico, South Africa and Turkey.</w:t>
      </w:r>
    </w:p>
  </w:footnote>
  <w:footnote w:id="20">
    <w:p w14:paraId="14FA194B" w14:textId="77777777" w:rsidR="00EE6318" w:rsidRDefault="00EE6318" w:rsidP="00D469C2">
      <w:pPr>
        <w:pStyle w:val="FootnoteText"/>
        <w:jc w:val="both"/>
        <w:rPr>
          <w:lang w:val="en-US"/>
        </w:rPr>
      </w:pPr>
      <w:r>
        <w:rPr>
          <w:rStyle w:val="FootnoteReference"/>
        </w:rPr>
        <w:footnoteRef/>
      </w:r>
      <w:r>
        <w:t xml:space="preserve"> </w:t>
      </w:r>
      <w:r>
        <w:rPr>
          <w:lang w:val="en-US"/>
        </w:rPr>
        <w:t>The dating of NBER and IMF recession periods is almost identical from the 1970s to 2009.  The only exception is the Russian crisis of 1998 which is designated as a global recession by the IMF but not as a US recession by the NBER.  The IMF changed its recession dating methodology in 2009.  In the new methodology, the US dot-com bust of 2001-02 is absent from the IMF list of global recessions.  Source: IMF World Economic Outlook: Crisis and Recovery, April 2009 (</w:t>
      </w:r>
      <w:hyperlink r:id="rId19" w:history="1">
        <w:r w:rsidRPr="005F327D">
          <w:rPr>
            <w:rStyle w:val="Hyperlink"/>
            <w:lang w:val="en-US"/>
          </w:rPr>
          <w:t>http://www.imf.org/external/pubs/ft/weo/2009/01/pdf/text.pdf</w:t>
        </w:r>
      </w:hyperlink>
      <w:r>
        <w:rPr>
          <w:lang w:val="en-US"/>
        </w:rPr>
        <w:t>).</w:t>
      </w:r>
    </w:p>
    <w:p w14:paraId="59A9154E" w14:textId="77777777" w:rsidR="00EE6318" w:rsidRPr="000764BC" w:rsidRDefault="00EE6318" w:rsidP="00D469C2">
      <w:pPr>
        <w:pStyle w:val="FootnoteText"/>
        <w:jc w:val="both"/>
        <w:rPr>
          <w:lang w:val="en-US"/>
        </w:rPr>
      </w:pPr>
      <w:r>
        <w:rPr>
          <w:lang w:val="en-US"/>
        </w:rPr>
        <w:t xml:space="preserve"> </w:t>
      </w:r>
    </w:p>
  </w:footnote>
  <w:footnote w:id="21">
    <w:p w14:paraId="46A340FB" w14:textId="77777777" w:rsidR="00EE6318" w:rsidRPr="00340CB4" w:rsidRDefault="00EE6318" w:rsidP="000C00E3">
      <w:pPr>
        <w:pStyle w:val="FootnoteText"/>
        <w:jc w:val="both"/>
      </w:pPr>
      <w:r>
        <w:rPr>
          <w:rStyle w:val="FootnoteReference"/>
        </w:rPr>
        <w:footnoteRef/>
      </w:r>
      <w:r>
        <w:t xml:space="preserve"> </w:t>
      </w:r>
      <w:r w:rsidRPr="00AF1E40">
        <w:t>The CBOE Volatility Index (VIX Index) is a barometer of equity market volatility. The VIX Index is based on real-time prices of options on the S&amp;P 500 Index and is designed to reflect investors' consensus view of future (30-day) expected stock market volatility. The VIX Index is often referred to as the market's "fear gauge."</w:t>
      </w:r>
      <w:r>
        <w:t xml:space="preserve">  </w:t>
      </w:r>
      <w:r w:rsidRPr="00340CB4">
        <w:t xml:space="preserve">LIBOR measures the interbank lending rate so as the spread between </w:t>
      </w:r>
      <w:r>
        <w:t>The TED spread, defined as the basis point differential between the 3-month LIBOR and the 3-month T-bill, measures perceived credit risk in the general economy.  A rising TED spread</w:t>
      </w:r>
      <w:r w:rsidRPr="00340CB4">
        <w:t xml:space="preserve"> shows an accelerating lack of trust between banks and a corresponding tightening of credit for all other counterparties.</w:t>
      </w:r>
    </w:p>
  </w:footnote>
  <w:footnote w:id="22">
    <w:p w14:paraId="0000A964" w14:textId="52D5EC26" w:rsidR="00EE6318" w:rsidRPr="0049440E" w:rsidRDefault="00EE6318" w:rsidP="0049440E">
      <w:pPr>
        <w:pStyle w:val="FootnoteText"/>
        <w:jc w:val="both"/>
        <w:rPr>
          <w:lang w:val="en-US"/>
        </w:rPr>
      </w:pPr>
      <w:r>
        <w:rPr>
          <w:rStyle w:val="FootnoteReference"/>
        </w:rPr>
        <w:footnoteRef/>
      </w:r>
      <w:r>
        <w:t xml:space="preserve"> </w:t>
      </w:r>
      <w:r w:rsidRPr="0049440E">
        <w:t xml:space="preserve">As shown in Panel B of Appendix </w:t>
      </w:r>
      <w:r>
        <w:t>Figure</w:t>
      </w:r>
      <w:r w:rsidRPr="0049440E">
        <w:t xml:space="preserve"> 4, we plot the average annual VIX against the difference between the asset-specific diversification index values for high and low VIX days.  We do this for each of the three equity, bond, and real estate asset classes.  Average annual VIX values are computed from daily VIX observations in each year.  The difference between high and low asset-specific diversification values is computed as the difference in average R-square for the diversification index between high and low VIX periods for a given year, where the high and low groups are based on being above and below the median annual VIX value.  As is broadly appreciated, the mean VIX runs up sharply and then substantially contracts during the run-up and afterma</w:t>
      </w:r>
      <w:r>
        <w:t>t</w:t>
      </w:r>
      <w:r w:rsidRPr="0049440E">
        <w:t xml:space="preserve">h to the 2000s crisis period.  </w:t>
      </w:r>
      <w:r>
        <w:t xml:space="preserve">In a similar manner, in Panel C of the Appendix Figure 4, we plot the average annual TED spread against the difference between the asset-specific diversification index for high and low TED spread days.  </w:t>
      </w:r>
    </w:p>
  </w:footnote>
  <w:footnote w:id="23">
    <w:p w14:paraId="2269283E" w14:textId="2A46E2BC" w:rsidR="00EE6318" w:rsidRDefault="00EE6318" w:rsidP="00FC4A5A">
      <w:pPr>
        <w:pStyle w:val="FootnoteText"/>
        <w:jc w:val="both"/>
      </w:pPr>
      <w:r>
        <w:rPr>
          <w:rStyle w:val="FootnoteReference"/>
        </w:rPr>
        <w:footnoteRef/>
      </w:r>
      <w:r>
        <w:t xml:space="preserve"> </w:t>
      </w:r>
      <w:r w:rsidRPr="00D87285">
        <w:t xml:space="preserve">Our analysis examines </w:t>
      </w:r>
      <w:r>
        <w:t>multiple</w:t>
      </w:r>
      <w:r w:rsidRPr="00D87285">
        <w:t xml:space="preserve"> specifications for the relationship between the diversification indexes and their drivers.  The </w:t>
      </w:r>
      <w:r>
        <w:t xml:space="preserve">below findings are </w:t>
      </w:r>
      <w:r w:rsidRPr="00D87285">
        <w:t xml:space="preserve">reported </w:t>
      </w:r>
      <w:r>
        <w:t>in</w:t>
      </w:r>
      <w:r w:rsidRPr="00D87285">
        <w:t xml:space="preserve"> levels of all </w:t>
      </w:r>
      <w:r>
        <w:t xml:space="preserve">regression terms with the exception of the last panel in Table 7 where we included the change in level of internet diffusion.  We do this as there is a mechanical negative relation between the trends in diversification (upward) and internet diffusion (downward) over our period of analysis. </w:t>
      </w:r>
      <w:r w:rsidRPr="00D87285">
        <w:t xml:space="preserve">We also </w:t>
      </w:r>
      <w:r>
        <w:t>estimated models</w:t>
      </w:r>
      <w:r w:rsidRPr="00D87285">
        <w:t xml:space="preserve"> with the change in levels of all variables, the change in levels of all right-hand side variables, and a relationship between lagged right-hand side variables and contemporaneous diversification.  The findings are consistent for these different models.  </w:t>
      </w:r>
    </w:p>
    <w:p w14:paraId="59B21CBC" w14:textId="6394557B" w:rsidR="00EE6318" w:rsidRPr="00D87285" w:rsidRDefault="00EE6318" w:rsidP="00FC4A5A">
      <w:pPr>
        <w:pStyle w:val="FootnoteText"/>
        <w:rPr>
          <w:lang w:val="en-US"/>
        </w:rPr>
      </w:pPr>
    </w:p>
  </w:footnote>
  <w:footnote w:id="24">
    <w:p w14:paraId="02AFAEF3" w14:textId="77777777" w:rsidR="00EE6318" w:rsidRPr="00F07407" w:rsidRDefault="00EE6318" w:rsidP="00D87285">
      <w:pPr>
        <w:pStyle w:val="FootnoteText"/>
        <w:spacing w:after="240"/>
        <w:jc w:val="both"/>
        <w:rPr>
          <w:lang w:val="en-US"/>
        </w:rPr>
      </w:pPr>
      <w:r>
        <w:rPr>
          <w:rStyle w:val="FootnoteReference"/>
        </w:rPr>
        <w:footnoteRef/>
      </w:r>
      <w:r>
        <w:t xml:space="preserve"> N</w:t>
      </w:r>
      <w:r w:rsidRPr="008751FF">
        <w:rPr>
          <w:bCs/>
          <w:lang w:val="en-US"/>
        </w:rPr>
        <w:t xml:space="preserve">ote other economic events </w:t>
      </w:r>
      <w:r>
        <w:rPr>
          <w:bCs/>
          <w:lang w:val="en-US"/>
        </w:rPr>
        <w:t>s</w:t>
      </w:r>
      <w:r w:rsidRPr="008751FF">
        <w:rPr>
          <w:bCs/>
          <w:lang w:val="en-US"/>
        </w:rPr>
        <w:t>uch as the 1987 stock market crash were also examined but were not found to be signi</w:t>
      </w:r>
      <w:r>
        <w:rPr>
          <w:bCs/>
          <w:lang w:val="en-US"/>
        </w:rPr>
        <w:t>fi</w:t>
      </w:r>
      <w:r w:rsidRPr="008751FF">
        <w:rPr>
          <w:bCs/>
          <w:lang w:val="en-US"/>
        </w:rPr>
        <w:t xml:space="preserve">cant and are not reported.   </w:t>
      </w:r>
    </w:p>
  </w:footnote>
  <w:footnote w:id="25">
    <w:p w14:paraId="23BFE496" w14:textId="2709368D" w:rsidR="00EE6318" w:rsidRPr="00830AEF" w:rsidRDefault="00EE6318" w:rsidP="00E52BCA">
      <w:pPr>
        <w:pStyle w:val="FootnoteText"/>
        <w:jc w:val="both"/>
        <w:rPr>
          <w:lang w:val="en-US"/>
        </w:rPr>
      </w:pPr>
      <w:r>
        <w:rPr>
          <w:rStyle w:val="FootnoteReference"/>
        </w:rPr>
        <w:footnoteRef/>
      </w:r>
      <w:r>
        <w:t xml:space="preserve"> </w:t>
      </w:r>
      <w:r w:rsidRPr="002B3B3A">
        <w:rPr>
          <w:bCs/>
        </w:rPr>
        <w:t xml:space="preserve">The one exception is that increases in U.S. short-term interest rates, as proxied by the Fed Funds Rate, is now significantly associated with </w:t>
      </w:r>
      <w:r>
        <w:rPr>
          <w:bCs/>
        </w:rPr>
        <w:t xml:space="preserve">increased </w:t>
      </w:r>
      <w:r w:rsidRPr="002B3B3A">
        <w:rPr>
          <w:bCs/>
        </w:rPr>
        <w:t xml:space="preserve">diversification potential in bond markets.  </w:t>
      </w:r>
    </w:p>
  </w:footnote>
  <w:footnote w:id="26">
    <w:p w14:paraId="13B108CA" w14:textId="498FED4B" w:rsidR="00EE6318" w:rsidRDefault="00EE6318" w:rsidP="00E52BCA">
      <w:pPr>
        <w:pStyle w:val="FootnoteText"/>
        <w:jc w:val="both"/>
        <w:rPr>
          <w:lang w:val="en-US"/>
        </w:rPr>
      </w:pPr>
      <w:r>
        <w:rPr>
          <w:rStyle w:val="FootnoteReference"/>
        </w:rPr>
        <w:footnoteRef/>
      </w:r>
      <w:r>
        <w:t xml:space="preserve"> </w:t>
      </w:r>
      <w:r>
        <w:rPr>
          <w:lang w:val="en-US"/>
        </w:rPr>
        <w:t xml:space="preserve">We estimate models throughout for balanced country panels.  For instance, those results that mirror Table 8 are contained in Appendix Table 4. The balanced panels are estimated for the 1996-2010 timeframe whereas the unbalanced panels span the years 1986-2012. In general, findings are robust to estimation of balanced panels.  </w:t>
      </w:r>
    </w:p>
    <w:p w14:paraId="318F2BAA" w14:textId="77777777" w:rsidR="00EE6318" w:rsidRPr="00830AEF" w:rsidRDefault="00EE6318" w:rsidP="00E52BCA">
      <w:pPr>
        <w:pStyle w:val="FootnoteText"/>
        <w:jc w:val="both"/>
        <w:rPr>
          <w:lang w:val="en-US"/>
        </w:rPr>
      </w:pPr>
    </w:p>
  </w:footnote>
  <w:footnote w:id="27">
    <w:p w14:paraId="09AAED00" w14:textId="77777777" w:rsidR="00EE6318" w:rsidRPr="00DB5247" w:rsidRDefault="00EE6318" w:rsidP="00E52BCA">
      <w:pPr>
        <w:pStyle w:val="FootnoteText"/>
        <w:jc w:val="both"/>
        <w:rPr>
          <w:lang w:val="en-US"/>
        </w:rPr>
      </w:pPr>
      <w:r>
        <w:rPr>
          <w:rStyle w:val="FootnoteReference"/>
        </w:rPr>
        <w:footnoteRef/>
      </w:r>
      <w:r>
        <w:t xml:space="preserve"> </w:t>
      </w:r>
      <w:r w:rsidRPr="00757C96">
        <w:rPr>
          <w:lang w:val="en-US"/>
        </w:rPr>
        <w:t xml:space="preserve">The ICRG model for </w:t>
      </w:r>
      <w:r>
        <w:rPr>
          <w:lang w:val="en-US"/>
        </w:rPr>
        <w:t>assessment of</w:t>
      </w:r>
      <w:r w:rsidRPr="00757C96">
        <w:rPr>
          <w:lang w:val="en-US"/>
        </w:rPr>
        <w:t xml:space="preserve"> financial, economic, and political risk </w:t>
      </w:r>
      <w:r>
        <w:rPr>
          <w:lang w:val="en-US"/>
        </w:rPr>
        <w:t>dates to</w:t>
      </w:r>
      <w:r w:rsidRPr="00757C96">
        <w:rPr>
          <w:lang w:val="en-US"/>
        </w:rPr>
        <w:t xml:space="preserve"> 1980</w:t>
      </w:r>
      <w:r>
        <w:rPr>
          <w:lang w:val="en-US"/>
        </w:rPr>
        <w:t xml:space="preserve"> and is published online by the PRS Group.  </w:t>
      </w:r>
      <w:r w:rsidRPr="00DB5247">
        <w:rPr>
          <w:bCs/>
          <w:lang w:val="en-US"/>
        </w:rPr>
        <w:t>The system is based on a set of 22 components grouped into three major categories of risk: political, financial, and economic, with political risk comprising 12 components (and 15 subcomponents), and financial and economic risk each comprising five components.</w:t>
      </w:r>
      <w:r>
        <w:rPr>
          <w:bCs/>
          <w:lang w:val="en-US"/>
        </w:rPr>
        <w:t xml:space="preserve">  The political risk components include g</w:t>
      </w:r>
      <w:r w:rsidRPr="00F258A2">
        <w:rPr>
          <w:bCs/>
          <w:lang w:val="en-US"/>
        </w:rPr>
        <w:t xml:space="preserve">overnment </w:t>
      </w:r>
      <w:r>
        <w:rPr>
          <w:bCs/>
          <w:lang w:val="en-US"/>
        </w:rPr>
        <w:t>s</w:t>
      </w:r>
      <w:r w:rsidRPr="00F258A2">
        <w:rPr>
          <w:bCs/>
          <w:lang w:val="en-US"/>
        </w:rPr>
        <w:t>tability</w:t>
      </w:r>
      <w:r>
        <w:rPr>
          <w:bCs/>
          <w:lang w:val="en-US"/>
        </w:rPr>
        <w:t>,</w:t>
      </w:r>
      <w:r w:rsidRPr="00F258A2">
        <w:rPr>
          <w:bCs/>
          <w:lang w:val="en-US"/>
        </w:rPr>
        <w:t xml:space="preserve"> </w:t>
      </w:r>
      <w:r>
        <w:rPr>
          <w:bCs/>
          <w:lang w:val="en-US"/>
        </w:rPr>
        <w:t>s</w:t>
      </w:r>
      <w:r w:rsidRPr="00F258A2">
        <w:rPr>
          <w:bCs/>
          <w:lang w:val="en-US"/>
        </w:rPr>
        <w:t xml:space="preserve">ocioeconomic </w:t>
      </w:r>
      <w:r>
        <w:rPr>
          <w:bCs/>
          <w:lang w:val="en-US"/>
        </w:rPr>
        <w:t>c</w:t>
      </w:r>
      <w:r w:rsidRPr="00F258A2">
        <w:rPr>
          <w:bCs/>
          <w:lang w:val="en-US"/>
        </w:rPr>
        <w:t>onditions</w:t>
      </w:r>
      <w:r>
        <w:rPr>
          <w:bCs/>
          <w:lang w:val="en-US"/>
        </w:rPr>
        <w:t>,</w:t>
      </w:r>
      <w:r w:rsidRPr="00F258A2">
        <w:rPr>
          <w:bCs/>
          <w:lang w:val="en-US"/>
        </w:rPr>
        <w:t xml:space="preserve"> </w:t>
      </w:r>
      <w:r>
        <w:rPr>
          <w:bCs/>
          <w:lang w:val="en-US"/>
        </w:rPr>
        <w:t>i</w:t>
      </w:r>
      <w:r w:rsidRPr="00F258A2">
        <w:rPr>
          <w:bCs/>
          <w:lang w:val="en-US"/>
        </w:rPr>
        <w:t xml:space="preserve">nvestment </w:t>
      </w:r>
      <w:r>
        <w:rPr>
          <w:bCs/>
          <w:lang w:val="en-US"/>
        </w:rPr>
        <w:t>p</w:t>
      </w:r>
      <w:r w:rsidRPr="00F258A2">
        <w:rPr>
          <w:bCs/>
          <w:lang w:val="en-US"/>
        </w:rPr>
        <w:t>rofile</w:t>
      </w:r>
      <w:r>
        <w:rPr>
          <w:bCs/>
          <w:lang w:val="en-US"/>
        </w:rPr>
        <w:t>, i</w:t>
      </w:r>
      <w:r w:rsidRPr="00F258A2">
        <w:rPr>
          <w:bCs/>
          <w:lang w:val="en-US"/>
        </w:rPr>
        <w:t xml:space="preserve">nternal </w:t>
      </w:r>
      <w:r>
        <w:rPr>
          <w:bCs/>
          <w:lang w:val="en-US"/>
        </w:rPr>
        <w:t>c</w:t>
      </w:r>
      <w:r w:rsidRPr="00F258A2">
        <w:rPr>
          <w:bCs/>
          <w:lang w:val="en-US"/>
        </w:rPr>
        <w:t>onflict</w:t>
      </w:r>
      <w:r>
        <w:rPr>
          <w:bCs/>
          <w:lang w:val="en-US"/>
        </w:rPr>
        <w:t>,</w:t>
      </w:r>
      <w:r w:rsidRPr="00F258A2">
        <w:rPr>
          <w:bCs/>
          <w:lang w:val="en-US"/>
        </w:rPr>
        <w:t xml:space="preserve"> </w:t>
      </w:r>
      <w:r>
        <w:rPr>
          <w:bCs/>
          <w:lang w:val="en-US"/>
        </w:rPr>
        <w:t>e</w:t>
      </w:r>
      <w:r w:rsidRPr="00F258A2">
        <w:rPr>
          <w:bCs/>
          <w:lang w:val="en-US"/>
        </w:rPr>
        <w:t xml:space="preserve">xternal </w:t>
      </w:r>
      <w:r>
        <w:rPr>
          <w:bCs/>
          <w:lang w:val="en-US"/>
        </w:rPr>
        <w:t>c</w:t>
      </w:r>
      <w:r w:rsidRPr="00F258A2">
        <w:rPr>
          <w:bCs/>
          <w:lang w:val="en-US"/>
        </w:rPr>
        <w:t>onflict</w:t>
      </w:r>
      <w:r>
        <w:rPr>
          <w:bCs/>
          <w:lang w:val="en-US"/>
        </w:rPr>
        <w:t>,</w:t>
      </w:r>
      <w:r w:rsidRPr="00F258A2">
        <w:rPr>
          <w:bCs/>
          <w:lang w:val="en-US"/>
        </w:rPr>
        <w:t xml:space="preserve"> </w:t>
      </w:r>
      <w:r>
        <w:rPr>
          <w:bCs/>
          <w:lang w:val="en-US"/>
        </w:rPr>
        <w:t>c</w:t>
      </w:r>
      <w:r w:rsidRPr="00F258A2">
        <w:rPr>
          <w:bCs/>
          <w:lang w:val="en-US"/>
        </w:rPr>
        <w:t>orruption</w:t>
      </w:r>
      <w:r>
        <w:rPr>
          <w:bCs/>
          <w:lang w:val="en-US"/>
        </w:rPr>
        <w:t>,</w:t>
      </w:r>
      <w:r w:rsidRPr="00F258A2">
        <w:rPr>
          <w:bCs/>
          <w:lang w:val="en-US"/>
        </w:rPr>
        <w:t xml:space="preserve"> </w:t>
      </w:r>
      <w:r>
        <w:rPr>
          <w:bCs/>
          <w:lang w:val="en-US"/>
        </w:rPr>
        <w:t>m</w:t>
      </w:r>
      <w:r w:rsidRPr="00F258A2">
        <w:rPr>
          <w:bCs/>
          <w:lang w:val="en-US"/>
        </w:rPr>
        <w:t xml:space="preserve">ilitary in </w:t>
      </w:r>
      <w:r>
        <w:rPr>
          <w:bCs/>
          <w:lang w:val="en-US"/>
        </w:rPr>
        <w:t>p</w:t>
      </w:r>
      <w:r w:rsidRPr="00F258A2">
        <w:rPr>
          <w:bCs/>
          <w:lang w:val="en-US"/>
        </w:rPr>
        <w:t>olitics</w:t>
      </w:r>
      <w:r>
        <w:rPr>
          <w:bCs/>
          <w:lang w:val="en-US"/>
        </w:rPr>
        <w:t>,</w:t>
      </w:r>
      <w:r w:rsidRPr="00F258A2">
        <w:rPr>
          <w:bCs/>
          <w:lang w:val="en-US"/>
        </w:rPr>
        <w:t xml:space="preserve"> </w:t>
      </w:r>
      <w:r>
        <w:rPr>
          <w:bCs/>
          <w:lang w:val="en-US"/>
        </w:rPr>
        <w:t>r</w:t>
      </w:r>
      <w:r w:rsidRPr="00F258A2">
        <w:rPr>
          <w:bCs/>
          <w:lang w:val="en-US"/>
        </w:rPr>
        <w:t xml:space="preserve">eligious </w:t>
      </w:r>
      <w:r>
        <w:rPr>
          <w:bCs/>
          <w:lang w:val="en-US"/>
        </w:rPr>
        <w:t>t</w:t>
      </w:r>
      <w:r w:rsidRPr="00F258A2">
        <w:rPr>
          <w:bCs/>
          <w:lang w:val="en-US"/>
        </w:rPr>
        <w:t>ensions</w:t>
      </w:r>
      <w:r>
        <w:rPr>
          <w:bCs/>
          <w:lang w:val="en-US"/>
        </w:rPr>
        <w:t>,</w:t>
      </w:r>
      <w:r w:rsidRPr="00F258A2">
        <w:rPr>
          <w:bCs/>
          <w:lang w:val="en-US"/>
        </w:rPr>
        <w:t xml:space="preserve"> </w:t>
      </w:r>
      <w:r>
        <w:rPr>
          <w:bCs/>
          <w:lang w:val="en-US"/>
        </w:rPr>
        <w:t>l</w:t>
      </w:r>
      <w:r w:rsidRPr="00F258A2">
        <w:rPr>
          <w:bCs/>
          <w:lang w:val="en-US"/>
        </w:rPr>
        <w:t xml:space="preserve">aw and </w:t>
      </w:r>
      <w:r>
        <w:rPr>
          <w:bCs/>
          <w:lang w:val="en-US"/>
        </w:rPr>
        <w:t>o</w:t>
      </w:r>
      <w:r w:rsidRPr="00F258A2">
        <w:rPr>
          <w:bCs/>
          <w:lang w:val="en-US"/>
        </w:rPr>
        <w:t>rder</w:t>
      </w:r>
      <w:r>
        <w:rPr>
          <w:bCs/>
          <w:lang w:val="en-US"/>
        </w:rPr>
        <w:t>,</w:t>
      </w:r>
      <w:r w:rsidRPr="00F258A2">
        <w:rPr>
          <w:bCs/>
          <w:lang w:val="en-US"/>
        </w:rPr>
        <w:t xml:space="preserve"> </w:t>
      </w:r>
      <w:r>
        <w:rPr>
          <w:bCs/>
          <w:lang w:val="en-US"/>
        </w:rPr>
        <w:t>e</w:t>
      </w:r>
      <w:r w:rsidRPr="00F258A2">
        <w:rPr>
          <w:bCs/>
          <w:lang w:val="en-US"/>
        </w:rPr>
        <w:t xml:space="preserve">thnic </w:t>
      </w:r>
      <w:r>
        <w:rPr>
          <w:bCs/>
          <w:lang w:val="en-US"/>
        </w:rPr>
        <w:t>t</w:t>
      </w:r>
      <w:r w:rsidRPr="00F258A2">
        <w:rPr>
          <w:bCs/>
          <w:lang w:val="en-US"/>
        </w:rPr>
        <w:t>ensions</w:t>
      </w:r>
      <w:r>
        <w:rPr>
          <w:bCs/>
          <w:lang w:val="en-US"/>
        </w:rPr>
        <w:t>, d</w:t>
      </w:r>
      <w:r w:rsidRPr="00F258A2">
        <w:rPr>
          <w:bCs/>
          <w:lang w:val="en-US"/>
        </w:rPr>
        <w:t xml:space="preserve">emocratic </w:t>
      </w:r>
      <w:r>
        <w:rPr>
          <w:bCs/>
          <w:lang w:val="en-US"/>
        </w:rPr>
        <w:t>a</w:t>
      </w:r>
      <w:r w:rsidRPr="00F258A2">
        <w:rPr>
          <w:bCs/>
          <w:lang w:val="en-US"/>
        </w:rPr>
        <w:t>ccountability</w:t>
      </w:r>
      <w:r>
        <w:rPr>
          <w:bCs/>
          <w:lang w:val="en-US"/>
        </w:rPr>
        <w:t>, and b</w:t>
      </w:r>
      <w:r w:rsidRPr="00F258A2">
        <w:rPr>
          <w:bCs/>
          <w:lang w:val="en-US"/>
        </w:rPr>
        <w:t xml:space="preserve">ureaucracy </w:t>
      </w:r>
      <w:r>
        <w:rPr>
          <w:bCs/>
          <w:lang w:val="en-US"/>
        </w:rPr>
        <w:t>q</w:t>
      </w:r>
      <w:r w:rsidRPr="00F258A2">
        <w:rPr>
          <w:bCs/>
          <w:lang w:val="en-US"/>
        </w:rPr>
        <w:t>uality</w:t>
      </w:r>
      <w:r>
        <w:rPr>
          <w:bCs/>
          <w:lang w:val="en-US"/>
        </w:rPr>
        <w:t>. The economic risk components include GDP per capita, real GDP growth rate,</w:t>
      </w:r>
      <w:r w:rsidRPr="00F258A2">
        <w:rPr>
          <w:bCs/>
          <w:lang w:val="en-US"/>
        </w:rPr>
        <w:t xml:space="preserve"> </w:t>
      </w:r>
      <w:r>
        <w:rPr>
          <w:bCs/>
          <w:lang w:val="en-US"/>
        </w:rPr>
        <w:t>inflation rate, government budgetary deficit as a share of GDP, and current account as a share of GDP.  Financial risk is comprised of foreign debt as a share of GDP, foreign debt service as a share of exports of goods and services, current account as a share of exports of goods and services, net international liquidity as months of import cover, and exchange rate stability.</w:t>
      </w:r>
    </w:p>
  </w:footnote>
  <w:footnote w:id="28">
    <w:p w14:paraId="6DB487E5" w14:textId="352C03B7" w:rsidR="00EE6318" w:rsidRPr="00830AEF" w:rsidRDefault="00EE6318" w:rsidP="00E52BCA">
      <w:pPr>
        <w:pStyle w:val="FootnoteText"/>
        <w:jc w:val="both"/>
        <w:rPr>
          <w:lang w:val="en-US"/>
        </w:rPr>
      </w:pPr>
      <w:r>
        <w:rPr>
          <w:rStyle w:val="FootnoteReference"/>
        </w:rPr>
        <w:footnoteRef/>
      </w:r>
      <w:r>
        <w:t xml:space="preserve"> </w:t>
      </w:r>
      <w:r>
        <w:rPr>
          <w:lang w:val="en-US"/>
        </w:rPr>
        <w:t>Results using the development principal components factor in place of internet diffusion are contained in Appendix Table 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260"/>
    <w:multiLevelType w:val="hybridMultilevel"/>
    <w:tmpl w:val="79BA42B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496A71"/>
    <w:multiLevelType w:val="hybridMultilevel"/>
    <w:tmpl w:val="86F876A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156D20BC"/>
    <w:multiLevelType w:val="hybridMultilevel"/>
    <w:tmpl w:val="C9D4649E"/>
    <w:lvl w:ilvl="0" w:tplc="22F0B8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FC78368C">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F1110"/>
    <w:multiLevelType w:val="hybridMultilevel"/>
    <w:tmpl w:val="85C8C08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F1567FC"/>
    <w:multiLevelType w:val="hybridMultilevel"/>
    <w:tmpl w:val="7598C668"/>
    <w:lvl w:ilvl="0" w:tplc="18090017">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304625D0"/>
    <w:multiLevelType w:val="hybridMultilevel"/>
    <w:tmpl w:val="A51C9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E14723"/>
    <w:multiLevelType w:val="hybridMultilevel"/>
    <w:tmpl w:val="E9BEBA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11A5107"/>
    <w:multiLevelType w:val="hybridMultilevel"/>
    <w:tmpl w:val="5A6E80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32071AD"/>
    <w:multiLevelType w:val="hybridMultilevel"/>
    <w:tmpl w:val="E1343002"/>
    <w:lvl w:ilvl="0" w:tplc="88FA68AA">
      <w:start w:val="1"/>
      <w:numFmt w:val="upperRoman"/>
      <w:lvlText w:val="%1."/>
      <w:lvlJc w:val="left"/>
      <w:pPr>
        <w:ind w:left="750" w:hanging="72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7"/>
  </w:num>
  <w:num w:numId="2">
    <w:abstractNumId w:val="4"/>
  </w:num>
  <w:num w:numId="3">
    <w:abstractNumId w:val="2"/>
  </w:num>
  <w:num w:numId="4">
    <w:abstractNumId w:val="1"/>
  </w:num>
  <w:num w:numId="5">
    <w:abstractNumId w:val="8"/>
  </w:num>
  <w:num w:numId="6">
    <w:abstractNumId w:val="5"/>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0CC"/>
    <w:rsid w:val="00000FED"/>
    <w:rsid w:val="00004783"/>
    <w:rsid w:val="00005CEA"/>
    <w:rsid w:val="00006685"/>
    <w:rsid w:val="000103AD"/>
    <w:rsid w:val="000130D3"/>
    <w:rsid w:val="000131DB"/>
    <w:rsid w:val="0001433D"/>
    <w:rsid w:val="000155D6"/>
    <w:rsid w:val="00022748"/>
    <w:rsid w:val="00024637"/>
    <w:rsid w:val="00025C6A"/>
    <w:rsid w:val="00026F96"/>
    <w:rsid w:val="00027423"/>
    <w:rsid w:val="00034650"/>
    <w:rsid w:val="00034F5B"/>
    <w:rsid w:val="0003773D"/>
    <w:rsid w:val="000400AF"/>
    <w:rsid w:val="00040D90"/>
    <w:rsid w:val="0004215B"/>
    <w:rsid w:val="00042383"/>
    <w:rsid w:val="00044725"/>
    <w:rsid w:val="00044FB0"/>
    <w:rsid w:val="000464B9"/>
    <w:rsid w:val="00047801"/>
    <w:rsid w:val="00047CB9"/>
    <w:rsid w:val="000513BD"/>
    <w:rsid w:val="000521F4"/>
    <w:rsid w:val="0005511B"/>
    <w:rsid w:val="000574F8"/>
    <w:rsid w:val="00061E99"/>
    <w:rsid w:val="0006245B"/>
    <w:rsid w:val="000734F7"/>
    <w:rsid w:val="00073FC1"/>
    <w:rsid w:val="000751F3"/>
    <w:rsid w:val="000764BC"/>
    <w:rsid w:val="000771CD"/>
    <w:rsid w:val="0007721A"/>
    <w:rsid w:val="00077834"/>
    <w:rsid w:val="00082403"/>
    <w:rsid w:val="00085B1B"/>
    <w:rsid w:val="0008761D"/>
    <w:rsid w:val="00087B61"/>
    <w:rsid w:val="00087F85"/>
    <w:rsid w:val="00090354"/>
    <w:rsid w:val="00090C90"/>
    <w:rsid w:val="000910EF"/>
    <w:rsid w:val="00092AFE"/>
    <w:rsid w:val="0009405C"/>
    <w:rsid w:val="0009438B"/>
    <w:rsid w:val="00095B16"/>
    <w:rsid w:val="00096997"/>
    <w:rsid w:val="00097166"/>
    <w:rsid w:val="000A0B8A"/>
    <w:rsid w:val="000A0FA2"/>
    <w:rsid w:val="000A141D"/>
    <w:rsid w:val="000A2890"/>
    <w:rsid w:val="000A4D1F"/>
    <w:rsid w:val="000A4D21"/>
    <w:rsid w:val="000A4F76"/>
    <w:rsid w:val="000A5D6B"/>
    <w:rsid w:val="000A7D8A"/>
    <w:rsid w:val="000B0065"/>
    <w:rsid w:val="000B3F60"/>
    <w:rsid w:val="000B42D9"/>
    <w:rsid w:val="000C00E3"/>
    <w:rsid w:val="000C0446"/>
    <w:rsid w:val="000C10F9"/>
    <w:rsid w:val="000C1BF3"/>
    <w:rsid w:val="000C6697"/>
    <w:rsid w:val="000D0597"/>
    <w:rsid w:val="000D23E6"/>
    <w:rsid w:val="000D3091"/>
    <w:rsid w:val="000D3F08"/>
    <w:rsid w:val="000D4CA6"/>
    <w:rsid w:val="000D71F7"/>
    <w:rsid w:val="000E6A23"/>
    <w:rsid w:val="000E6D0F"/>
    <w:rsid w:val="000F058B"/>
    <w:rsid w:val="000F1E7F"/>
    <w:rsid w:val="000F4163"/>
    <w:rsid w:val="000F45B6"/>
    <w:rsid w:val="000F4708"/>
    <w:rsid w:val="000F56D6"/>
    <w:rsid w:val="000F6440"/>
    <w:rsid w:val="000F665B"/>
    <w:rsid w:val="000F6FEB"/>
    <w:rsid w:val="00103B07"/>
    <w:rsid w:val="001055FB"/>
    <w:rsid w:val="0010645E"/>
    <w:rsid w:val="00107EFD"/>
    <w:rsid w:val="00112019"/>
    <w:rsid w:val="0011281D"/>
    <w:rsid w:val="00112F97"/>
    <w:rsid w:val="001130CC"/>
    <w:rsid w:val="00116357"/>
    <w:rsid w:val="00117B31"/>
    <w:rsid w:val="00120E32"/>
    <w:rsid w:val="00122A2D"/>
    <w:rsid w:val="001247A3"/>
    <w:rsid w:val="0012485D"/>
    <w:rsid w:val="0012626E"/>
    <w:rsid w:val="00126628"/>
    <w:rsid w:val="0013140C"/>
    <w:rsid w:val="001361F6"/>
    <w:rsid w:val="001367F5"/>
    <w:rsid w:val="001367F7"/>
    <w:rsid w:val="001404BA"/>
    <w:rsid w:val="001448F0"/>
    <w:rsid w:val="0014577A"/>
    <w:rsid w:val="00151998"/>
    <w:rsid w:val="00153F73"/>
    <w:rsid w:val="00156262"/>
    <w:rsid w:val="001564B8"/>
    <w:rsid w:val="00156DB9"/>
    <w:rsid w:val="00157378"/>
    <w:rsid w:val="001575B2"/>
    <w:rsid w:val="00157613"/>
    <w:rsid w:val="00165D7A"/>
    <w:rsid w:val="00165D88"/>
    <w:rsid w:val="001708C1"/>
    <w:rsid w:val="00171AB7"/>
    <w:rsid w:val="00171C30"/>
    <w:rsid w:val="00172326"/>
    <w:rsid w:val="00172E43"/>
    <w:rsid w:val="00173A71"/>
    <w:rsid w:val="0017603B"/>
    <w:rsid w:val="00176B2F"/>
    <w:rsid w:val="00177E4A"/>
    <w:rsid w:val="00183559"/>
    <w:rsid w:val="001835AF"/>
    <w:rsid w:val="00184F1B"/>
    <w:rsid w:val="001857FD"/>
    <w:rsid w:val="00186BEE"/>
    <w:rsid w:val="00186CE7"/>
    <w:rsid w:val="001878EB"/>
    <w:rsid w:val="00187F1A"/>
    <w:rsid w:val="001902FB"/>
    <w:rsid w:val="00191473"/>
    <w:rsid w:val="0019442E"/>
    <w:rsid w:val="001A07CD"/>
    <w:rsid w:val="001A1929"/>
    <w:rsid w:val="001A2152"/>
    <w:rsid w:val="001A314A"/>
    <w:rsid w:val="001A3C2B"/>
    <w:rsid w:val="001A4C17"/>
    <w:rsid w:val="001A585F"/>
    <w:rsid w:val="001A70B9"/>
    <w:rsid w:val="001A7D23"/>
    <w:rsid w:val="001B1813"/>
    <w:rsid w:val="001B3175"/>
    <w:rsid w:val="001B3BBB"/>
    <w:rsid w:val="001B3CC7"/>
    <w:rsid w:val="001B42B2"/>
    <w:rsid w:val="001B46A1"/>
    <w:rsid w:val="001B56B9"/>
    <w:rsid w:val="001B7E13"/>
    <w:rsid w:val="001C111E"/>
    <w:rsid w:val="001C238A"/>
    <w:rsid w:val="001C3FF9"/>
    <w:rsid w:val="001C6931"/>
    <w:rsid w:val="001C6945"/>
    <w:rsid w:val="001C6CBB"/>
    <w:rsid w:val="001C7309"/>
    <w:rsid w:val="001D2C83"/>
    <w:rsid w:val="001D32CC"/>
    <w:rsid w:val="001D413E"/>
    <w:rsid w:val="001D5314"/>
    <w:rsid w:val="001D56CB"/>
    <w:rsid w:val="001D56EB"/>
    <w:rsid w:val="001D5775"/>
    <w:rsid w:val="001E1D07"/>
    <w:rsid w:val="001E2551"/>
    <w:rsid w:val="001E5490"/>
    <w:rsid w:val="001E657A"/>
    <w:rsid w:val="001E6EA2"/>
    <w:rsid w:val="001E6F19"/>
    <w:rsid w:val="001E7105"/>
    <w:rsid w:val="001E7F79"/>
    <w:rsid w:val="001F17A6"/>
    <w:rsid w:val="001F2A6A"/>
    <w:rsid w:val="001F3492"/>
    <w:rsid w:val="001F5085"/>
    <w:rsid w:val="001F6C2C"/>
    <w:rsid w:val="001F74A6"/>
    <w:rsid w:val="00200F0A"/>
    <w:rsid w:val="002020A5"/>
    <w:rsid w:val="002059DE"/>
    <w:rsid w:val="00205E26"/>
    <w:rsid w:val="0020615E"/>
    <w:rsid w:val="0020659A"/>
    <w:rsid w:val="00207935"/>
    <w:rsid w:val="0021010E"/>
    <w:rsid w:val="00211558"/>
    <w:rsid w:val="00211A54"/>
    <w:rsid w:val="00211E96"/>
    <w:rsid w:val="00211FEC"/>
    <w:rsid w:val="00212813"/>
    <w:rsid w:val="00213A4B"/>
    <w:rsid w:val="00215E9C"/>
    <w:rsid w:val="0021612C"/>
    <w:rsid w:val="00216562"/>
    <w:rsid w:val="00217FD5"/>
    <w:rsid w:val="00220A07"/>
    <w:rsid w:val="00221146"/>
    <w:rsid w:val="00222BA5"/>
    <w:rsid w:val="00223461"/>
    <w:rsid w:val="00223E5C"/>
    <w:rsid w:val="00233797"/>
    <w:rsid w:val="00234038"/>
    <w:rsid w:val="00234E12"/>
    <w:rsid w:val="00235422"/>
    <w:rsid w:val="00242AC1"/>
    <w:rsid w:val="0024465D"/>
    <w:rsid w:val="002454A3"/>
    <w:rsid w:val="0024695E"/>
    <w:rsid w:val="00246A50"/>
    <w:rsid w:val="002506BF"/>
    <w:rsid w:val="002516E4"/>
    <w:rsid w:val="00253B80"/>
    <w:rsid w:val="00253FC9"/>
    <w:rsid w:val="002548F2"/>
    <w:rsid w:val="002559AF"/>
    <w:rsid w:val="00257D41"/>
    <w:rsid w:val="00257EEA"/>
    <w:rsid w:val="0026111E"/>
    <w:rsid w:val="00262C2E"/>
    <w:rsid w:val="00262CE4"/>
    <w:rsid w:val="00270ECC"/>
    <w:rsid w:val="00272632"/>
    <w:rsid w:val="00274788"/>
    <w:rsid w:val="00275AEB"/>
    <w:rsid w:val="0027630F"/>
    <w:rsid w:val="00276A54"/>
    <w:rsid w:val="00280215"/>
    <w:rsid w:val="00280996"/>
    <w:rsid w:val="00280C3F"/>
    <w:rsid w:val="00280F34"/>
    <w:rsid w:val="0028190A"/>
    <w:rsid w:val="002859E9"/>
    <w:rsid w:val="00285EF3"/>
    <w:rsid w:val="00286DBA"/>
    <w:rsid w:val="0028786F"/>
    <w:rsid w:val="00287A45"/>
    <w:rsid w:val="002908F1"/>
    <w:rsid w:val="00291633"/>
    <w:rsid w:val="00291DFF"/>
    <w:rsid w:val="00292E03"/>
    <w:rsid w:val="002A0889"/>
    <w:rsid w:val="002A1DF9"/>
    <w:rsid w:val="002A20BD"/>
    <w:rsid w:val="002A359C"/>
    <w:rsid w:val="002A44F1"/>
    <w:rsid w:val="002A7038"/>
    <w:rsid w:val="002A7A9B"/>
    <w:rsid w:val="002B092B"/>
    <w:rsid w:val="002B1E0B"/>
    <w:rsid w:val="002B452E"/>
    <w:rsid w:val="002B668A"/>
    <w:rsid w:val="002C07FB"/>
    <w:rsid w:val="002C12B0"/>
    <w:rsid w:val="002C3CC6"/>
    <w:rsid w:val="002C5ADA"/>
    <w:rsid w:val="002D0896"/>
    <w:rsid w:val="002D17BC"/>
    <w:rsid w:val="002D33EE"/>
    <w:rsid w:val="002D511A"/>
    <w:rsid w:val="002D688F"/>
    <w:rsid w:val="002D68CF"/>
    <w:rsid w:val="002E448B"/>
    <w:rsid w:val="002E6BB7"/>
    <w:rsid w:val="002F0689"/>
    <w:rsid w:val="002F1C9B"/>
    <w:rsid w:val="002F2AE4"/>
    <w:rsid w:val="002F311B"/>
    <w:rsid w:val="002F3369"/>
    <w:rsid w:val="002F3818"/>
    <w:rsid w:val="002F6F62"/>
    <w:rsid w:val="003006A0"/>
    <w:rsid w:val="003014B5"/>
    <w:rsid w:val="00303C3D"/>
    <w:rsid w:val="00304288"/>
    <w:rsid w:val="00306E07"/>
    <w:rsid w:val="00306F6A"/>
    <w:rsid w:val="003101AB"/>
    <w:rsid w:val="003128B9"/>
    <w:rsid w:val="0031295D"/>
    <w:rsid w:val="00317F96"/>
    <w:rsid w:val="00320D8F"/>
    <w:rsid w:val="00321BB5"/>
    <w:rsid w:val="00322116"/>
    <w:rsid w:val="00322F48"/>
    <w:rsid w:val="00323885"/>
    <w:rsid w:val="0032410E"/>
    <w:rsid w:val="00327A60"/>
    <w:rsid w:val="00330247"/>
    <w:rsid w:val="003320CB"/>
    <w:rsid w:val="003336B8"/>
    <w:rsid w:val="0033731D"/>
    <w:rsid w:val="0034050E"/>
    <w:rsid w:val="00340CB4"/>
    <w:rsid w:val="00341818"/>
    <w:rsid w:val="00341F17"/>
    <w:rsid w:val="00342413"/>
    <w:rsid w:val="003434D0"/>
    <w:rsid w:val="00343882"/>
    <w:rsid w:val="0034508F"/>
    <w:rsid w:val="003453A8"/>
    <w:rsid w:val="00345D77"/>
    <w:rsid w:val="00345EE3"/>
    <w:rsid w:val="00352CFE"/>
    <w:rsid w:val="00353377"/>
    <w:rsid w:val="0035538F"/>
    <w:rsid w:val="003561E9"/>
    <w:rsid w:val="00356347"/>
    <w:rsid w:val="00360BC6"/>
    <w:rsid w:val="00362DA2"/>
    <w:rsid w:val="003632C1"/>
    <w:rsid w:val="00366B56"/>
    <w:rsid w:val="003675AF"/>
    <w:rsid w:val="00367A87"/>
    <w:rsid w:val="00370387"/>
    <w:rsid w:val="00370966"/>
    <w:rsid w:val="00371E1F"/>
    <w:rsid w:val="0037228A"/>
    <w:rsid w:val="003724F1"/>
    <w:rsid w:val="00372C53"/>
    <w:rsid w:val="003745CF"/>
    <w:rsid w:val="0037508F"/>
    <w:rsid w:val="00376CCD"/>
    <w:rsid w:val="00380104"/>
    <w:rsid w:val="0039087D"/>
    <w:rsid w:val="00390E15"/>
    <w:rsid w:val="00391A00"/>
    <w:rsid w:val="0039636A"/>
    <w:rsid w:val="003A1EC8"/>
    <w:rsid w:val="003A2626"/>
    <w:rsid w:val="003A3781"/>
    <w:rsid w:val="003A43A9"/>
    <w:rsid w:val="003A5CC9"/>
    <w:rsid w:val="003B061D"/>
    <w:rsid w:val="003B0687"/>
    <w:rsid w:val="003B1012"/>
    <w:rsid w:val="003B2563"/>
    <w:rsid w:val="003B361A"/>
    <w:rsid w:val="003B5911"/>
    <w:rsid w:val="003B6398"/>
    <w:rsid w:val="003B7619"/>
    <w:rsid w:val="003C0130"/>
    <w:rsid w:val="003C286F"/>
    <w:rsid w:val="003C3025"/>
    <w:rsid w:val="003C4722"/>
    <w:rsid w:val="003C5869"/>
    <w:rsid w:val="003C7B4E"/>
    <w:rsid w:val="003D1E94"/>
    <w:rsid w:val="003D27B2"/>
    <w:rsid w:val="003D57F8"/>
    <w:rsid w:val="003D5C8D"/>
    <w:rsid w:val="003D66D1"/>
    <w:rsid w:val="003D6EFE"/>
    <w:rsid w:val="003D7999"/>
    <w:rsid w:val="003D7B4F"/>
    <w:rsid w:val="003E03FE"/>
    <w:rsid w:val="003E1826"/>
    <w:rsid w:val="003E2CBA"/>
    <w:rsid w:val="003E2F52"/>
    <w:rsid w:val="003E397B"/>
    <w:rsid w:val="003E415E"/>
    <w:rsid w:val="003E53DA"/>
    <w:rsid w:val="003E54F2"/>
    <w:rsid w:val="003E72B8"/>
    <w:rsid w:val="003F7080"/>
    <w:rsid w:val="00402EBC"/>
    <w:rsid w:val="00403294"/>
    <w:rsid w:val="00405332"/>
    <w:rsid w:val="00406534"/>
    <w:rsid w:val="004067EA"/>
    <w:rsid w:val="00406D27"/>
    <w:rsid w:val="0040787E"/>
    <w:rsid w:val="00407ABA"/>
    <w:rsid w:val="004119FF"/>
    <w:rsid w:val="00413D5A"/>
    <w:rsid w:val="004153AD"/>
    <w:rsid w:val="0041563B"/>
    <w:rsid w:val="0041573D"/>
    <w:rsid w:val="004170BF"/>
    <w:rsid w:val="004179D1"/>
    <w:rsid w:val="004179F1"/>
    <w:rsid w:val="00417D83"/>
    <w:rsid w:val="00420033"/>
    <w:rsid w:val="00421058"/>
    <w:rsid w:val="00422BA6"/>
    <w:rsid w:val="00424234"/>
    <w:rsid w:val="0042567A"/>
    <w:rsid w:val="0042582A"/>
    <w:rsid w:val="00426DD4"/>
    <w:rsid w:val="00427C92"/>
    <w:rsid w:val="00427CB1"/>
    <w:rsid w:val="00432807"/>
    <w:rsid w:val="00433A1E"/>
    <w:rsid w:val="00433C89"/>
    <w:rsid w:val="00436770"/>
    <w:rsid w:val="004400AB"/>
    <w:rsid w:val="004405D7"/>
    <w:rsid w:val="004410C5"/>
    <w:rsid w:val="004411C6"/>
    <w:rsid w:val="00441C15"/>
    <w:rsid w:val="00441F3B"/>
    <w:rsid w:val="00441F9B"/>
    <w:rsid w:val="00443284"/>
    <w:rsid w:val="00444138"/>
    <w:rsid w:val="00444893"/>
    <w:rsid w:val="00445D9E"/>
    <w:rsid w:val="00446D63"/>
    <w:rsid w:val="00447958"/>
    <w:rsid w:val="00450409"/>
    <w:rsid w:val="00451CE9"/>
    <w:rsid w:val="0045419A"/>
    <w:rsid w:val="0045532B"/>
    <w:rsid w:val="004563AF"/>
    <w:rsid w:val="004575F8"/>
    <w:rsid w:val="00460344"/>
    <w:rsid w:val="00460CBF"/>
    <w:rsid w:val="00461737"/>
    <w:rsid w:val="00461888"/>
    <w:rsid w:val="004628AD"/>
    <w:rsid w:val="00462EEC"/>
    <w:rsid w:val="004630E1"/>
    <w:rsid w:val="004634FC"/>
    <w:rsid w:val="00463F22"/>
    <w:rsid w:val="00466334"/>
    <w:rsid w:val="004663F3"/>
    <w:rsid w:val="004672FB"/>
    <w:rsid w:val="004673DF"/>
    <w:rsid w:val="004674AD"/>
    <w:rsid w:val="00467D57"/>
    <w:rsid w:val="00470572"/>
    <w:rsid w:val="004707E3"/>
    <w:rsid w:val="00470883"/>
    <w:rsid w:val="004724B0"/>
    <w:rsid w:val="00472E4E"/>
    <w:rsid w:val="00473BBF"/>
    <w:rsid w:val="004743E1"/>
    <w:rsid w:val="004744CF"/>
    <w:rsid w:val="00476462"/>
    <w:rsid w:val="004779B5"/>
    <w:rsid w:val="00481A6D"/>
    <w:rsid w:val="004820F7"/>
    <w:rsid w:val="00482921"/>
    <w:rsid w:val="004850AC"/>
    <w:rsid w:val="004851C4"/>
    <w:rsid w:val="00486AD1"/>
    <w:rsid w:val="00487221"/>
    <w:rsid w:val="004877A0"/>
    <w:rsid w:val="00491117"/>
    <w:rsid w:val="00491F9C"/>
    <w:rsid w:val="004922ED"/>
    <w:rsid w:val="00493775"/>
    <w:rsid w:val="00493F10"/>
    <w:rsid w:val="0049440E"/>
    <w:rsid w:val="0049465A"/>
    <w:rsid w:val="0049692D"/>
    <w:rsid w:val="004972A4"/>
    <w:rsid w:val="00497F97"/>
    <w:rsid w:val="004A041F"/>
    <w:rsid w:val="004A1F31"/>
    <w:rsid w:val="004A3E8E"/>
    <w:rsid w:val="004A6449"/>
    <w:rsid w:val="004A6902"/>
    <w:rsid w:val="004A6E48"/>
    <w:rsid w:val="004A753C"/>
    <w:rsid w:val="004A7CA0"/>
    <w:rsid w:val="004B153D"/>
    <w:rsid w:val="004B1D96"/>
    <w:rsid w:val="004B1F79"/>
    <w:rsid w:val="004B3692"/>
    <w:rsid w:val="004B45DF"/>
    <w:rsid w:val="004B485D"/>
    <w:rsid w:val="004B5C73"/>
    <w:rsid w:val="004B658C"/>
    <w:rsid w:val="004C4C72"/>
    <w:rsid w:val="004C69E0"/>
    <w:rsid w:val="004C6FEF"/>
    <w:rsid w:val="004C737E"/>
    <w:rsid w:val="004D01C6"/>
    <w:rsid w:val="004D1B83"/>
    <w:rsid w:val="004D395E"/>
    <w:rsid w:val="004D5510"/>
    <w:rsid w:val="004E0C20"/>
    <w:rsid w:val="004E1884"/>
    <w:rsid w:val="004E1BC5"/>
    <w:rsid w:val="004E29CA"/>
    <w:rsid w:val="004E47ED"/>
    <w:rsid w:val="004E7ADC"/>
    <w:rsid w:val="004F167E"/>
    <w:rsid w:val="004F1B60"/>
    <w:rsid w:val="004F2799"/>
    <w:rsid w:val="004F3AEA"/>
    <w:rsid w:val="004F501E"/>
    <w:rsid w:val="004F579B"/>
    <w:rsid w:val="004F61D6"/>
    <w:rsid w:val="004F6D9E"/>
    <w:rsid w:val="00501356"/>
    <w:rsid w:val="00501944"/>
    <w:rsid w:val="00501A7A"/>
    <w:rsid w:val="00502974"/>
    <w:rsid w:val="00503201"/>
    <w:rsid w:val="00503B67"/>
    <w:rsid w:val="0050404D"/>
    <w:rsid w:val="00505523"/>
    <w:rsid w:val="005071E0"/>
    <w:rsid w:val="00511DB7"/>
    <w:rsid w:val="00512644"/>
    <w:rsid w:val="00513BD1"/>
    <w:rsid w:val="00514C58"/>
    <w:rsid w:val="0051519D"/>
    <w:rsid w:val="00515475"/>
    <w:rsid w:val="00515B6A"/>
    <w:rsid w:val="005179C8"/>
    <w:rsid w:val="00517DE4"/>
    <w:rsid w:val="00520147"/>
    <w:rsid w:val="005213EB"/>
    <w:rsid w:val="00521CB8"/>
    <w:rsid w:val="0052218B"/>
    <w:rsid w:val="005222AA"/>
    <w:rsid w:val="005233A6"/>
    <w:rsid w:val="00523805"/>
    <w:rsid w:val="00524C58"/>
    <w:rsid w:val="00524DC1"/>
    <w:rsid w:val="00525318"/>
    <w:rsid w:val="0052570A"/>
    <w:rsid w:val="00525D50"/>
    <w:rsid w:val="00526523"/>
    <w:rsid w:val="00526D73"/>
    <w:rsid w:val="00527BC3"/>
    <w:rsid w:val="00530468"/>
    <w:rsid w:val="005311A5"/>
    <w:rsid w:val="00531D4C"/>
    <w:rsid w:val="00532C38"/>
    <w:rsid w:val="00532D82"/>
    <w:rsid w:val="00536B43"/>
    <w:rsid w:val="00540271"/>
    <w:rsid w:val="005417E9"/>
    <w:rsid w:val="00544932"/>
    <w:rsid w:val="00545180"/>
    <w:rsid w:val="00546DFC"/>
    <w:rsid w:val="005472DC"/>
    <w:rsid w:val="00554135"/>
    <w:rsid w:val="00554757"/>
    <w:rsid w:val="005551BC"/>
    <w:rsid w:val="005556A0"/>
    <w:rsid w:val="0056126D"/>
    <w:rsid w:val="00562289"/>
    <w:rsid w:val="00563D45"/>
    <w:rsid w:val="00564A7B"/>
    <w:rsid w:val="0056503B"/>
    <w:rsid w:val="00566A99"/>
    <w:rsid w:val="005676CF"/>
    <w:rsid w:val="0057003E"/>
    <w:rsid w:val="00570C27"/>
    <w:rsid w:val="00573764"/>
    <w:rsid w:val="00573C91"/>
    <w:rsid w:val="00586033"/>
    <w:rsid w:val="00592054"/>
    <w:rsid w:val="0059229B"/>
    <w:rsid w:val="005930D4"/>
    <w:rsid w:val="005936FC"/>
    <w:rsid w:val="00595C57"/>
    <w:rsid w:val="005963DE"/>
    <w:rsid w:val="0059664D"/>
    <w:rsid w:val="005A0CCC"/>
    <w:rsid w:val="005A1CCC"/>
    <w:rsid w:val="005A2AFA"/>
    <w:rsid w:val="005A57F8"/>
    <w:rsid w:val="005A57FC"/>
    <w:rsid w:val="005A58B3"/>
    <w:rsid w:val="005A5B51"/>
    <w:rsid w:val="005A5D0C"/>
    <w:rsid w:val="005A5FD2"/>
    <w:rsid w:val="005A6A91"/>
    <w:rsid w:val="005B0FDA"/>
    <w:rsid w:val="005B148B"/>
    <w:rsid w:val="005B415E"/>
    <w:rsid w:val="005B5375"/>
    <w:rsid w:val="005B7FAE"/>
    <w:rsid w:val="005C1CF5"/>
    <w:rsid w:val="005C6283"/>
    <w:rsid w:val="005C7525"/>
    <w:rsid w:val="005D1231"/>
    <w:rsid w:val="005D14A5"/>
    <w:rsid w:val="005D1A5E"/>
    <w:rsid w:val="005D2981"/>
    <w:rsid w:val="005D2BB8"/>
    <w:rsid w:val="005D3494"/>
    <w:rsid w:val="005D3ECA"/>
    <w:rsid w:val="005D74DB"/>
    <w:rsid w:val="005E0BB1"/>
    <w:rsid w:val="005E22D9"/>
    <w:rsid w:val="005E5672"/>
    <w:rsid w:val="005E5A12"/>
    <w:rsid w:val="005E6445"/>
    <w:rsid w:val="005F4360"/>
    <w:rsid w:val="005F45F1"/>
    <w:rsid w:val="005F6509"/>
    <w:rsid w:val="0060039C"/>
    <w:rsid w:val="006012A2"/>
    <w:rsid w:val="00606409"/>
    <w:rsid w:val="00610456"/>
    <w:rsid w:val="00611826"/>
    <w:rsid w:val="00611D21"/>
    <w:rsid w:val="00613E45"/>
    <w:rsid w:val="00622A96"/>
    <w:rsid w:val="00623AE6"/>
    <w:rsid w:val="00623E65"/>
    <w:rsid w:val="00623FFF"/>
    <w:rsid w:val="00625D62"/>
    <w:rsid w:val="006267D0"/>
    <w:rsid w:val="00626845"/>
    <w:rsid w:val="00631092"/>
    <w:rsid w:val="006333A4"/>
    <w:rsid w:val="006337D6"/>
    <w:rsid w:val="00633C42"/>
    <w:rsid w:val="00634473"/>
    <w:rsid w:val="00634B16"/>
    <w:rsid w:val="00636713"/>
    <w:rsid w:val="00637B3D"/>
    <w:rsid w:val="0064075D"/>
    <w:rsid w:val="00640E01"/>
    <w:rsid w:val="00642733"/>
    <w:rsid w:val="00642BCB"/>
    <w:rsid w:val="00646E7C"/>
    <w:rsid w:val="006475FE"/>
    <w:rsid w:val="00650C85"/>
    <w:rsid w:val="00651FE9"/>
    <w:rsid w:val="00652BBC"/>
    <w:rsid w:val="00652D80"/>
    <w:rsid w:val="0065388F"/>
    <w:rsid w:val="00653B31"/>
    <w:rsid w:val="0065517E"/>
    <w:rsid w:val="00655625"/>
    <w:rsid w:val="00655961"/>
    <w:rsid w:val="006605CC"/>
    <w:rsid w:val="006627CF"/>
    <w:rsid w:val="00662B71"/>
    <w:rsid w:val="0066313D"/>
    <w:rsid w:val="006648B0"/>
    <w:rsid w:val="00664F32"/>
    <w:rsid w:val="006663C3"/>
    <w:rsid w:val="00667038"/>
    <w:rsid w:val="00667893"/>
    <w:rsid w:val="00670398"/>
    <w:rsid w:val="00674B8B"/>
    <w:rsid w:val="0067579B"/>
    <w:rsid w:val="00675A3E"/>
    <w:rsid w:val="00677284"/>
    <w:rsid w:val="006775F9"/>
    <w:rsid w:val="00677748"/>
    <w:rsid w:val="006807C6"/>
    <w:rsid w:val="00685C9F"/>
    <w:rsid w:val="00686962"/>
    <w:rsid w:val="00686CFA"/>
    <w:rsid w:val="00687ECB"/>
    <w:rsid w:val="0069001C"/>
    <w:rsid w:val="00690C47"/>
    <w:rsid w:val="006A02BA"/>
    <w:rsid w:val="006A14F1"/>
    <w:rsid w:val="006A1F17"/>
    <w:rsid w:val="006A4517"/>
    <w:rsid w:val="006A57A8"/>
    <w:rsid w:val="006A79B3"/>
    <w:rsid w:val="006B1758"/>
    <w:rsid w:val="006B2501"/>
    <w:rsid w:val="006B2B8B"/>
    <w:rsid w:val="006B2E17"/>
    <w:rsid w:val="006B327F"/>
    <w:rsid w:val="006B6331"/>
    <w:rsid w:val="006B6FCA"/>
    <w:rsid w:val="006B725C"/>
    <w:rsid w:val="006C02C6"/>
    <w:rsid w:val="006C0419"/>
    <w:rsid w:val="006C06B4"/>
    <w:rsid w:val="006C200C"/>
    <w:rsid w:val="006C2BFD"/>
    <w:rsid w:val="006C3141"/>
    <w:rsid w:val="006C57ED"/>
    <w:rsid w:val="006C6666"/>
    <w:rsid w:val="006C75D4"/>
    <w:rsid w:val="006D0AB0"/>
    <w:rsid w:val="006D0FF9"/>
    <w:rsid w:val="006D14AE"/>
    <w:rsid w:val="006D7664"/>
    <w:rsid w:val="006D7D4E"/>
    <w:rsid w:val="006E0CA4"/>
    <w:rsid w:val="006E31D9"/>
    <w:rsid w:val="006E3AA1"/>
    <w:rsid w:val="006E78CA"/>
    <w:rsid w:val="006E79A0"/>
    <w:rsid w:val="006F151D"/>
    <w:rsid w:val="006F1E47"/>
    <w:rsid w:val="006F1E5C"/>
    <w:rsid w:val="006F289E"/>
    <w:rsid w:val="006F3392"/>
    <w:rsid w:val="006F38F9"/>
    <w:rsid w:val="006F3D60"/>
    <w:rsid w:val="006F3F65"/>
    <w:rsid w:val="00701A63"/>
    <w:rsid w:val="007051A3"/>
    <w:rsid w:val="00707324"/>
    <w:rsid w:val="00707939"/>
    <w:rsid w:val="00710024"/>
    <w:rsid w:val="00710E65"/>
    <w:rsid w:val="007116C8"/>
    <w:rsid w:val="00711918"/>
    <w:rsid w:val="00712EC6"/>
    <w:rsid w:val="007146E4"/>
    <w:rsid w:val="007148AF"/>
    <w:rsid w:val="0071592A"/>
    <w:rsid w:val="0071613C"/>
    <w:rsid w:val="00721B6E"/>
    <w:rsid w:val="007226D8"/>
    <w:rsid w:val="00722B74"/>
    <w:rsid w:val="007236CF"/>
    <w:rsid w:val="00724483"/>
    <w:rsid w:val="007272ED"/>
    <w:rsid w:val="007279AA"/>
    <w:rsid w:val="00730337"/>
    <w:rsid w:val="00731429"/>
    <w:rsid w:val="0073253B"/>
    <w:rsid w:val="00732731"/>
    <w:rsid w:val="007364D9"/>
    <w:rsid w:val="00736A95"/>
    <w:rsid w:val="007445E0"/>
    <w:rsid w:val="00744F15"/>
    <w:rsid w:val="0074530E"/>
    <w:rsid w:val="00746FF9"/>
    <w:rsid w:val="007478EE"/>
    <w:rsid w:val="00752CCC"/>
    <w:rsid w:val="007537BF"/>
    <w:rsid w:val="00753FBE"/>
    <w:rsid w:val="00760D36"/>
    <w:rsid w:val="007631A8"/>
    <w:rsid w:val="0076349C"/>
    <w:rsid w:val="007636CF"/>
    <w:rsid w:val="0076554F"/>
    <w:rsid w:val="00766711"/>
    <w:rsid w:val="0076698E"/>
    <w:rsid w:val="00766A70"/>
    <w:rsid w:val="00766FE0"/>
    <w:rsid w:val="00767D60"/>
    <w:rsid w:val="007701A5"/>
    <w:rsid w:val="00770CDF"/>
    <w:rsid w:val="0077186C"/>
    <w:rsid w:val="00772376"/>
    <w:rsid w:val="00773E96"/>
    <w:rsid w:val="00774D66"/>
    <w:rsid w:val="00776A9D"/>
    <w:rsid w:val="00777364"/>
    <w:rsid w:val="007856D7"/>
    <w:rsid w:val="00792E1A"/>
    <w:rsid w:val="00793537"/>
    <w:rsid w:val="00794A42"/>
    <w:rsid w:val="0079514B"/>
    <w:rsid w:val="00795849"/>
    <w:rsid w:val="007975D2"/>
    <w:rsid w:val="007A1743"/>
    <w:rsid w:val="007A1E8E"/>
    <w:rsid w:val="007A2D64"/>
    <w:rsid w:val="007A3EC1"/>
    <w:rsid w:val="007A5616"/>
    <w:rsid w:val="007A5705"/>
    <w:rsid w:val="007A5973"/>
    <w:rsid w:val="007A5D06"/>
    <w:rsid w:val="007A6194"/>
    <w:rsid w:val="007B06C0"/>
    <w:rsid w:val="007B377D"/>
    <w:rsid w:val="007B49A2"/>
    <w:rsid w:val="007B506C"/>
    <w:rsid w:val="007B615C"/>
    <w:rsid w:val="007B7CC1"/>
    <w:rsid w:val="007C0020"/>
    <w:rsid w:val="007C590C"/>
    <w:rsid w:val="007C5F25"/>
    <w:rsid w:val="007C61DE"/>
    <w:rsid w:val="007D0324"/>
    <w:rsid w:val="007D3762"/>
    <w:rsid w:val="007D494F"/>
    <w:rsid w:val="007D5DB5"/>
    <w:rsid w:val="007E078A"/>
    <w:rsid w:val="007E0948"/>
    <w:rsid w:val="007E1E3A"/>
    <w:rsid w:val="007E53F0"/>
    <w:rsid w:val="007E6A01"/>
    <w:rsid w:val="007F05B8"/>
    <w:rsid w:val="007F117F"/>
    <w:rsid w:val="007F276C"/>
    <w:rsid w:val="007F3AF7"/>
    <w:rsid w:val="00800DE3"/>
    <w:rsid w:val="0080147B"/>
    <w:rsid w:val="00802992"/>
    <w:rsid w:val="00811266"/>
    <w:rsid w:val="00812934"/>
    <w:rsid w:val="00815169"/>
    <w:rsid w:val="0081559E"/>
    <w:rsid w:val="008218C0"/>
    <w:rsid w:val="00823CAF"/>
    <w:rsid w:val="00826DAD"/>
    <w:rsid w:val="00827235"/>
    <w:rsid w:val="00827BD8"/>
    <w:rsid w:val="00831D54"/>
    <w:rsid w:val="00831DED"/>
    <w:rsid w:val="008326C1"/>
    <w:rsid w:val="00832F82"/>
    <w:rsid w:val="00834A08"/>
    <w:rsid w:val="00835CED"/>
    <w:rsid w:val="008426DC"/>
    <w:rsid w:val="00844223"/>
    <w:rsid w:val="008511E2"/>
    <w:rsid w:val="00855C9E"/>
    <w:rsid w:val="008601B4"/>
    <w:rsid w:val="00860D07"/>
    <w:rsid w:val="008612BE"/>
    <w:rsid w:val="00863D96"/>
    <w:rsid w:val="00863E77"/>
    <w:rsid w:val="00865297"/>
    <w:rsid w:val="0086659C"/>
    <w:rsid w:val="008730FF"/>
    <w:rsid w:val="00873562"/>
    <w:rsid w:val="00874D47"/>
    <w:rsid w:val="00874E26"/>
    <w:rsid w:val="0087546E"/>
    <w:rsid w:val="00881E74"/>
    <w:rsid w:val="0088201B"/>
    <w:rsid w:val="008831A4"/>
    <w:rsid w:val="00883CA8"/>
    <w:rsid w:val="0088433B"/>
    <w:rsid w:val="00890912"/>
    <w:rsid w:val="00891D89"/>
    <w:rsid w:val="00892BDE"/>
    <w:rsid w:val="00893755"/>
    <w:rsid w:val="0089432E"/>
    <w:rsid w:val="008944D2"/>
    <w:rsid w:val="00894F37"/>
    <w:rsid w:val="008A0C33"/>
    <w:rsid w:val="008A115D"/>
    <w:rsid w:val="008A16EF"/>
    <w:rsid w:val="008A1BEE"/>
    <w:rsid w:val="008A25EC"/>
    <w:rsid w:val="008A39F0"/>
    <w:rsid w:val="008A3D90"/>
    <w:rsid w:val="008A658E"/>
    <w:rsid w:val="008A7DED"/>
    <w:rsid w:val="008B0050"/>
    <w:rsid w:val="008B383D"/>
    <w:rsid w:val="008B5BD8"/>
    <w:rsid w:val="008B688A"/>
    <w:rsid w:val="008C0499"/>
    <w:rsid w:val="008C119F"/>
    <w:rsid w:val="008C3740"/>
    <w:rsid w:val="008C396A"/>
    <w:rsid w:val="008C59CA"/>
    <w:rsid w:val="008C77C1"/>
    <w:rsid w:val="008D10EF"/>
    <w:rsid w:val="008D1B2F"/>
    <w:rsid w:val="008D26B8"/>
    <w:rsid w:val="008D2D38"/>
    <w:rsid w:val="008D3257"/>
    <w:rsid w:val="008D3D61"/>
    <w:rsid w:val="008D3F6C"/>
    <w:rsid w:val="008D4051"/>
    <w:rsid w:val="008D5FED"/>
    <w:rsid w:val="008E00B8"/>
    <w:rsid w:val="008E17DF"/>
    <w:rsid w:val="008E3187"/>
    <w:rsid w:val="008E372C"/>
    <w:rsid w:val="008E3E51"/>
    <w:rsid w:val="008E5AB2"/>
    <w:rsid w:val="008E5BC3"/>
    <w:rsid w:val="008E6956"/>
    <w:rsid w:val="008F07F3"/>
    <w:rsid w:val="008F0E07"/>
    <w:rsid w:val="008F1B60"/>
    <w:rsid w:val="008F2203"/>
    <w:rsid w:val="008F4045"/>
    <w:rsid w:val="008F429B"/>
    <w:rsid w:val="008F5DD0"/>
    <w:rsid w:val="008F7CAC"/>
    <w:rsid w:val="00900359"/>
    <w:rsid w:val="00901936"/>
    <w:rsid w:val="009046DA"/>
    <w:rsid w:val="00904706"/>
    <w:rsid w:val="00905F16"/>
    <w:rsid w:val="00906029"/>
    <w:rsid w:val="00910B73"/>
    <w:rsid w:val="00911E25"/>
    <w:rsid w:val="00911E37"/>
    <w:rsid w:val="00912B7A"/>
    <w:rsid w:val="00913E57"/>
    <w:rsid w:val="009151D5"/>
    <w:rsid w:val="00915A35"/>
    <w:rsid w:val="00915EB6"/>
    <w:rsid w:val="00917720"/>
    <w:rsid w:val="00917B21"/>
    <w:rsid w:val="00921139"/>
    <w:rsid w:val="00921AD9"/>
    <w:rsid w:val="00921E18"/>
    <w:rsid w:val="0092206C"/>
    <w:rsid w:val="00923744"/>
    <w:rsid w:val="00924F3E"/>
    <w:rsid w:val="009250B2"/>
    <w:rsid w:val="00931D38"/>
    <w:rsid w:val="0093412D"/>
    <w:rsid w:val="00934448"/>
    <w:rsid w:val="009347D4"/>
    <w:rsid w:val="0093551C"/>
    <w:rsid w:val="009362F9"/>
    <w:rsid w:val="009373BD"/>
    <w:rsid w:val="00940148"/>
    <w:rsid w:val="00942F01"/>
    <w:rsid w:val="009435B8"/>
    <w:rsid w:val="00944F99"/>
    <w:rsid w:val="0094518A"/>
    <w:rsid w:val="00945906"/>
    <w:rsid w:val="009468B1"/>
    <w:rsid w:val="00947545"/>
    <w:rsid w:val="00947D09"/>
    <w:rsid w:val="0095091D"/>
    <w:rsid w:val="00950A1F"/>
    <w:rsid w:val="00950F47"/>
    <w:rsid w:val="009519F6"/>
    <w:rsid w:val="00951C05"/>
    <w:rsid w:val="00955634"/>
    <w:rsid w:val="00957221"/>
    <w:rsid w:val="00961E71"/>
    <w:rsid w:val="00961F47"/>
    <w:rsid w:val="0096258E"/>
    <w:rsid w:val="00962B2F"/>
    <w:rsid w:val="00963FC1"/>
    <w:rsid w:val="00966D56"/>
    <w:rsid w:val="00967458"/>
    <w:rsid w:val="00967AFF"/>
    <w:rsid w:val="00967FA6"/>
    <w:rsid w:val="00971290"/>
    <w:rsid w:val="0097176C"/>
    <w:rsid w:val="00975219"/>
    <w:rsid w:val="00975A5C"/>
    <w:rsid w:val="009773F6"/>
    <w:rsid w:val="009778ED"/>
    <w:rsid w:val="00982A99"/>
    <w:rsid w:val="00984384"/>
    <w:rsid w:val="009855F0"/>
    <w:rsid w:val="00986645"/>
    <w:rsid w:val="00987D5D"/>
    <w:rsid w:val="0099342F"/>
    <w:rsid w:val="00994DAF"/>
    <w:rsid w:val="0099618F"/>
    <w:rsid w:val="009971F6"/>
    <w:rsid w:val="009A08C4"/>
    <w:rsid w:val="009A0CFC"/>
    <w:rsid w:val="009A19E8"/>
    <w:rsid w:val="009A2660"/>
    <w:rsid w:val="009A373A"/>
    <w:rsid w:val="009A3754"/>
    <w:rsid w:val="009A54C2"/>
    <w:rsid w:val="009A5DBF"/>
    <w:rsid w:val="009A6904"/>
    <w:rsid w:val="009B081D"/>
    <w:rsid w:val="009B10B6"/>
    <w:rsid w:val="009B1844"/>
    <w:rsid w:val="009B3B1E"/>
    <w:rsid w:val="009B6416"/>
    <w:rsid w:val="009B666D"/>
    <w:rsid w:val="009B7658"/>
    <w:rsid w:val="009C06E5"/>
    <w:rsid w:val="009C1662"/>
    <w:rsid w:val="009C1E02"/>
    <w:rsid w:val="009C26AC"/>
    <w:rsid w:val="009C408C"/>
    <w:rsid w:val="009C6351"/>
    <w:rsid w:val="009C636D"/>
    <w:rsid w:val="009D3D07"/>
    <w:rsid w:val="009D4BAF"/>
    <w:rsid w:val="009D66E0"/>
    <w:rsid w:val="009D7404"/>
    <w:rsid w:val="009D751E"/>
    <w:rsid w:val="009D76A0"/>
    <w:rsid w:val="009D77CB"/>
    <w:rsid w:val="009D7D37"/>
    <w:rsid w:val="009E0E10"/>
    <w:rsid w:val="009E3399"/>
    <w:rsid w:val="009E44A6"/>
    <w:rsid w:val="009E46DB"/>
    <w:rsid w:val="009E7EF8"/>
    <w:rsid w:val="009F0707"/>
    <w:rsid w:val="009F1EC9"/>
    <w:rsid w:val="009F3F8C"/>
    <w:rsid w:val="009F5982"/>
    <w:rsid w:val="009F7982"/>
    <w:rsid w:val="00A013FF"/>
    <w:rsid w:val="00A01862"/>
    <w:rsid w:val="00A01A3D"/>
    <w:rsid w:val="00A02531"/>
    <w:rsid w:val="00A02AEF"/>
    <w:rsid w:val="00A0354D"/>
    <w:rsid w:val="00A055B8"/>
    <w:rsid w:val="00A0794B"/>
    <w:rsid w:val="00A11E21"/>
    <w:rsid w:val="00A127E8"/>
    <w:rsid w:val="00A12D7C"/>
    <w:rsid w:val="00A1422D"/>
    <w:rsid w:val="00A14433"/>
    <w:rsid w:val="00A15033"/>
    <w:rsid w:val="00A15451"/>
    <w:rsid w:val="00A16822"/>
    <w:rsid w:val="00A202EA"/>
    <w:rsid w:val="00A2218B"/>
    <w:rsid w:val="00A23236"/>
    <w:rsid w:val="00A258D2"/>
    <w:rsid w:val="00A25DDE"/>
    <w:rsid w:val="00A26AE3"/>
    <w:rsid w:val="00A30F72"/>
    <w:rsid w:val="00A33AD0"/>
    <w:rsid w:val="00A33E3A"/>
    <w:rsid w:val="00A355C0"/>
    <w:rsid w:val="00A36268"/>
    <w:rsid w:val="00A372C1"/>
    <w:rsid w:val="00A37790"/>
    <w:rsid w:val="00A41F61"/>
    <w:rsid w:val="00A42EE7"/>
    <w:rsid w:val="00A45FCC"/>
    <w:rsid w:val="00A47FBA"/>
    <w:rsid w:val="00A504A3"/>
    <w:rsid w:val="00A50EF4"/>
    <w:rsid w:val="00A521E7"/>
    <w:rsid w:val="00A53CF8"/>
    <w:rsid w:val="00A54210"/>
    <w:rsid w:val="00A548EA"/>
    <w:rsid w:val="00A55BD7"/>
    <w:rsid w:val="00A56A2F"/>
    <w:rsid w:val="00A56DF7"/>
    <w:rsid w:val="00A576AF"/>
    <w:rsid w:val="00A627F9"/>
    <w:rsid w:val="00A652AE"/>
    <w:rsid w:val="00A65EAA"/>
    <w:rsid w:val="00A666EA"/>
    <w:rsid w:val="00A7298F"/>
    <w:rsid w:val="00A72C94"/>
    <w:rsid w:val="00A73EF1"/>
    <w:rsid w:val="00A7458A"/>
    <w:rsid w:val="00A759C2"/>
    <w:rsid w:val="00A80666"/>
    <w:rsid w:val="00A808F9"/>
    <w:rsid w:val="00A80AD2"/>
    <w:rsid w:val="00A81A31"/>
    <w:rsid w:val="00A8570C"/>
    <w:rsid w:val="00A861F6"/>
    <w:rsid w:val="00A86906"/>
    <w:rsid w:val="00A87B91"/>
    <w:rsid w:val="00A91E24"/>
    <w:rsid w:val="00A94B4A"/>
    <w:rsid w:val="00A96E94"/>
    <w:rsid w:val="00A97D16"/>
    <w:rsid w:val="00AA292F"/>
    <w:rsid w:val="00AA2D64"/>
    <w:rsid w:val="00AA531C"/>
    <w:rsid w:val="00AA570D"/>
    <w:rsid w:val="00AA6367"/>
    <w:rsid w:val="00AA77C8"/>
    <w:rsid w:val="00AB1379"/>
    <w:rsid w:val="00AC10CC"/>
    <w:rsid w:val="00AC1634"/>
    <w:rsid w:val="00AC1B0F"/>
    <w:rsid w:val="00AC4F29"/>
    <w:rsid w:val="00AC58E9"/>
    <w:rsid w:val="00AC5CF7"/>
    <w:rsid w:val="00AC7439"/>
    <w:rsid w:val="00AD0772"/>
    <w:rsid w:val="00AD11E9"/>
    <w:rsid w:val="00AD40C7"/>
    <w:rsid w:val="00AD40FD"/>
    <w:rsid w:val="00AD47C6"/>
    <w:rsid w:val="00AD56FE"/>
    <w:rsid w:val="00AD5D27"/>
    <w:rsid w:val="00AE3253"/>
    <w:rsid w:val="00AE469F"/>
    <w:rsid w:val="00AF01BA"/>
    <w:rsid w:val="00AF0BCF"/>
    <w:rsid w:val="00AF11A8"/>
    <w:rsid w:val="00AF1E40"/>
    <w:rsid w:val="00AF3454"/>
    <w:rsid w:val="00AF36F8"/>
    <w:rsid w:val="00AF46D0"/>
    <w:rsid w:val="00AF4CAC"/>
    <w:rsid w:val="00AF6C64"/>
    <w:rsid w:val="00AF6E14"/>
    <w:rsid w:val="00AF71F0"/>
    <w:rsid w:val="00AF7D6F"/>
    <w:rsid w:val="00B00575"/>
    <w:rsid w:val="00B010C9"/>
    <w:rsid w:val="00B019D9"/>
    <w:rsid w:val="00B02DCD"/>
    <w:rsid w:val="00B04ADD"/>
    <w:rsid w:val="00B05552"/>
    <w:rsid w:val="00B070A2"/>
    <w:rsid w:val="00B07212"/>
    <w:rsid w:val="00B1016B"/>
    <w:rsid w:val="00B11452"/>
    <w:rsid w:val="00B13AD9"/>
    <w:rsid w:val="00B13B6C"/>
    <w:rsid w:val="00B1557C"/>
    <w:rsid w:val="00B1639A"/>
    <w:rsid w:val="00B20739"/>
    <w:rsid w:val="00B22730"/>
    <w:rsid w:val="00B241F5"/>
    <w:rsid w:val="00B24C22"/>
    <w:rsid w:val="00B41C2B"/>
    <w:rsid w:val="00B41CEB"/>
    <w:rsid w:val="00B41FD3"/>
    <w:rsid w:val="00B428AF"/>
    <w:rsid w:val="00B42F1E"/>
    <w:rsid w:val="00B431D6"/>
    <w:rsid w:val="00B439F6"/>
    <w:rsid w:val="00B444C4"/>
    <w:rsid w:val="00B45272"/>
    <w:rsid w:val="00B476F8"/>
    <w:rsid w:val="00B504E0"/>
    <w:rsid w:val="00B50CE4"/>
    <w:rsid w:val="00B52ECA"/>
    <w:rsid w:val="00B543EE"/>
    <w:rsid w:val="00B56E36"/>
    <w:rsid w:val="00B61D3E"/>
    <w:rsid w:val="00B61FE0"/>
    <w:rsid w:val="00B662B1"/>
    <w:rsid w:val="00B70425"/>
    <w:rsid w:val="00B72462"/>
    <w:rsid w:val="00B737D6"/>
    <w:rsid w:val="00B73AA0"/>
    <w:rsid w:val="00B73F98"/>
    <w:rsid w:val="00B75B5D"/>
    <w:rsid w:val="00B76D81"/>
    <w:rsid w:val="00B8008D"/>
    <w:rsid w:val="00B81D2D"/>
    <w:rsid w:val="00B8286D"/>
    <w:rsid w:val="00B8322F"/>
    <w:rsid w:val="00B847D8"/>
    <w:rsid w:val="00B90050"/>
    <w:rsid w:val="00B90751"/>
    <w:rsid w:val="00B907B9"/>
    <w:rsid w:val="00B908D2"/>
    <w:rsid w:val="00B9138F"/>
    <w:rsid w:val="00B91FA8"/>
    <w:rsid w:val="00B92904"/>
    <w:rsid w:val="00B92EF2"/>
    <w:rsid w:val="00B93C42"/>
    <w:rsid w:val="00B95012"/>
    <w:rsid w:val="00B96D4F"/>
    <w:rsid w:val="00B97151"/>
    <w:rsid w:val="00B97508"/>
    <w:rsid w:val="00B97688"/>
    <w:rsid w:val="00BA147C"/>
    <w:rsid w:val="00BA15E6"/>
    <w:rsid w:val="00BA22A7"/>
    <w:rsid w:val="00BA2CB1"/>
    <w:rsid w:val="00BA4657"/>
    <w:rsid w:val="00BA58BA"/>
    <w:rsid w:val="00BA65DF"/>
    <w:rsid w:val="00BB1342"/>
    <w:rsid w:val="00BB14A6"/>
    <w:rsid w:val="00BB1B77"/>
    <w:rsid w:val="00BB2B26"/>
    <w:rsid w:val="00BB37C3"/>
    <w:rsid w:val="00BB44A4"/>
    <w:rsid w:val="00BB6AEF"/>
    <w:rsid w:val="00BB772F"/>
    <w:rsid w:val="00BB794B"/>
    <w:rsid w:val="00BC23ED"/>
    <w:rsid w:val="00BC27D4"/>
    <w:rsid w:val="00BC34CD"/>
    <w:rsid w:val="00BC41CD"/>
    <w:rsid w:val="00BC4B0F"/>
    <w:rsid w:val="00BC7161"/>
    <w:rsid w:val="00BD0C64"/>
    <w:rsid w:val="00BD217E"/>
    <w:rsid w:val="00BD295B"/>
    <w:rsid w:val="00BD440B"/>
    <w:rsid w:val="00BE029E"/>
    <w:rsid w:val="00BE1548"/>
    <w:rsid w:val="00BE3518"/>
    <w:rsid w:val="00BE5805"/>
    <w:rsid w:val="00BE5AA4"/>
    <w:rsid w:val="00BE7C4A"/>
    <w:rsid w:val="00BF3B6B"/>
    <w:rsid w:val="00BF49C3"/>
    <w:rsid w:val="00BF4FC7"/>
    <w:rsid w:val="00BF7E9D"/>
    <w:rsid w:val="00C0177F"/>
    <w:rsid w:val="00C04552"/>
    <w:rsid w:val="00C048BE"/>
    <w:rsid w:val="00C058BA"/>
    <w:rsid w:val="00C06CF5"/>
    <w:rsid w:val="00C06E27"/>
    <w:rsid w:val="00C06F16"/>
    <w:rsid w:val="00C102B2"/>
    <w:rsid w:val="00C10819"/>
    <w:rsid w:val="00C11146"/>
    <w:rsid w:val="00C14727"/>
    <w:rsid w:val="00C15C8E"/>
    <w:rsid w:val="00C16698"/>
    <w:rsid w:val="00C1713D"/>
    <w:rsid w:val="00C2059E"/>
    <w:rsid w:val="00C20E05"/>
    <w:rsid w:val="00C21A96"/>
    <w:rsid w:val="00C223A9"/>
    <w:rsid w:val="00C22CAF"/>
    <w:rsid w:val="00C23AC6"/>
    <w:rsid w:val="00C24511"/>
    <w:rsid w:val="00C2666B"/>
    <w:rsid w:val="00C26C69"/>
    <w:rsid w:val="00C30BE4"/>
    <w:rsid w:val="00C316B4"/>
    <w:rsid w:val="00C316F8"/>
    <w:rsid w:val="00C31E37"/>
    <w:rsid w:val="00C32870"/>
    <w:rsid w:val="00C33BD8"/>
    <w:rsid w:val="00C343D0"/>
    <w:rsid w:val="00C36310"/>
    <w:rsid w:val="00C3700A"/>
    <w:rsid w:val="00C37999"/>
    <w:rsid w:val="00C40418"/>
    <w:rsid w:val="00C40BAF"/>
    <w:rsid w:val="00C4152F"/>
    <w:rsid w:val="00C41954"/>
    <w:rsid w:val="00C41964"/>
    <w:rsid w:val="00C43193"/>
    <w:rsid w:val="00C45D77"/>
    <w:rsid w:val="00C50930"/>
    <w:rsid w:val="00C52CA3"/>
    <w:rsid w:val="00C52E44"/>
    <w:rsid w:val="00C55361"/>
    <w:rsid w:val="00C564E5"/>
    <w:rsid w:val="00C57D75"/>
    <w:rsid w:val="00C6265E"/>
    <w:rsid w:val="00C631C7"/>
    <w:rsid w:val="00C6574F"/>
    <w:rsid w:val="00C65BFC"/>
    <w:rsid w:val="00C65EEA"/>
    <w:rsid w:val="00C673CB"/>
    <w:rsid w:val="00C67C2A"/>
    <w:rsid w:val="00C72A3C"/>
    <w:rsid w:val="00C730EF"/>
    <w:rsid w:val="00C7615E"/>
    <w:rsid w:val="00C80BB8"/>
    <w:rsid w:val="00C82A3A"/>
    <w:rsid w:val="00C8306A"/>
    <w:rsid w:val="00C83932"/>
    <w:rsid w:val="00C83EED"/>
    <w:rsid w:val="00C84B61"/>
    <w:rsid w:val="00C84DC1"/>
    <w:rsid w:val="00C8603F"/>
    <w:rsid w:val="00C86C0F"/>
    <w:rsid w:val="00C87247"/>
    <w:rsid w:val="00C87502"/>
    <w:rsid w:val="00C90C52"/>
    <w:rsid w:val="00C910DD"/>
    <w:rsid w:val="00C928AA"/>
    <w:rsid w:val="00C928DC"/>
    <w:rsid w:val="00C92B78"/>
    <w:rsid w:val="00C936E6"/>
    <w:rsid w:val="00CA3670"/>
    <w:rsid w:val="00CA5662"/>
    <w:rsid w:val="00CA5EBC"/>
    <w:rsid w:val="00CA5F8F"/>
    <w:rsid w:val="00CA6057"/>
    <w:rsid w:val="00CA63B5"/>
    <w:rsid w:val="00CA690A"/>
    <w:rsid w:val="00CA7942"/>
    <w:rsid w:val="00CB321B"/>
    <w:rsid w:val="00CC00AD"/>
    <w:rsid w:val="00CC00B4"/>
    <w:rsid w:val="00CC01AB"/>
    <w:rsid w:val="00CC0797"/>
    <w:rsid w:val="00CC0815"/>
    <w:rsid w:val="00CC1E24"/>
    <w:rsid w:val="00CC2031"/>
    <w:rsid w:val="00CC56F5"/>
    <w:rsid w:val="00CC677A"/>
    <w:rsid w:val="00CC719E"/>
    <w:rsid w:val="00CC75B0"/>
    <w:rsid w:val="00CD04A4"/>
    <w:rsid w:val="00CD1D6C"/>
    <w:rsid w:val="00CD2480"/>
    <w:rsid w:val="00CD3760"/>
    <w:rsid w:val="00CD3C57"/>
    <w:rsid w:val="00CD3F09"/>
    <w:rsid w:val="00CD4357"/>
    <w:rsid w:val="00CD4930"/>
    <w:rsid w:val="00CD5CF5"/>
    <w:rsid w:val="00CE1430"/>
    <w:rsid w:val="00CE2B0F"/>
    <w:rsid w:val="00CE2F9D"/>
    <w:rsid w:val="00CE36F7"/>
    <w:rsid w:val="00CE3D7A"/>
    <w:rsid w:val="00CE3EC9"/>
    <w:rsid w:val="00CE4AC2"/>
    <w:rsid w:val="00CE5381"/>
    <w:rsid w:val="00CE608A"/>
    <w:rsid w:val="00CE62C1"/>
    <w:rsid w:val="00CF26F0"/>
    <w:rsid w:val="00CF2D7F"/>
    <w:rsid w:val="00D0006D"/>
    <w:rsid w:val="00D04884"/>
    <w:rsid w:val="00D052E1"/>
    <w:rsid w:val="00D05687"/>
    <w:rsid w:val="00D056FB"/>
    <w:rsid w:val="00D068BC"/>
    <w:rsid w:val="00D17ABC"/>
    <w:rsid w:val="00D21A28"/>
    <w:rsid w:val="00D24596"/>
    <w:rsid w:val="00D24CA7"/>
    <w:rsid w:val="00D2531F"/>
    <w:rsid w:val="00D257DA"/>
    <w:rsid w:val="00D26B49"/>
    <w:rsid w:val="00D27988"/>
    <w:rsid w:val="00D27A79"/>
    <w:rsid w:val="00D326B5"/>
    <w:rsid w:val="00D32D11"/>
    <w:rsid w:val="00D35096"/>
    <w:rsid w:val="00D3591B"/>
    <w:rsid w:val="00D36362"/>
    <w:rsid w:val="00D419FA"/>
    <w:rsid w:val="00D433FB"/>
    <w:rsid w:val="00D469C2"/>
    <w:rsid w:val="00D47298"/>
    <w:rsid w:val="00D47E27"/>
    <w:rsid w:val="00D50BBB"/>
    <w:rsid w:val="00D52916"/>
    <w:rsid w:val="00D53A57"/>
    <w:rsid w:val="00D53BF4"/>
    <w:rsid w:val="00D545C1"/>
    <w:rsid w:val="00D55426"/>
    <w:rsid w:val="00D563D5"/>
    <w:rsid w:val="00D578D4"/>
    <w:rsid w:val="00D60068"/>
    <w:rsid w:val="00D606C3"/>
    <w:rsid w:val="00D617E1"/>
    <w:rsid w:val="00D61A54"/>
    <w:rsid w:val="00D61E97"/>
    <w:rsid w:val="00D62429"/>
    <w:rsid w:val="00D640B8"/>
    <w:rsid w:val="00D6454E"/>
    <w:rsid w:val="00D64ECE"/>
    <w:rsid w:val="00D71121"/>
    <w:rsid w:val="00D71358"/>
    <w:rsid w:val="00D71606"/>
    <w:rsid w:val="00D726A5"/>
    <w:rsid w:val="00D743BC"/>
    <w:rsid w:val="00D769B7"/>
    <w:rsid w:val="00D77206"/>
    <w:rsid w:val="00D7790B"/>
    <w:rsid w:val="00D801BF"/>
    <w:rsid w:val="00D819F3"/>
    <w:rsid w:val="00D81A2A"/>
    <w:rsid w:val="00D82856"/>
    <w:rsid w:val="00D85290"/>
    <w:rsid w:val="00D87285"/>
    <w:rsid w:val="00D906C2"/>
    <w:rsid w:val="00D92082"/>
    <w:rsid w:val="00D9343B"/>
    <w:rsid w:val="00D93F34"/>
    <w:rsid w:val="00D94EC4"/>
    <w:rsid w:val="00D973BB"/>
    <w:rsid w:val="00DA1355"/>
    <w:rsid w:val="00DA1608"/>
    <w:rsid w:val="00DA1897"/>
    <w:rsid w:val="00DA39CB"/>
    <w:rsid w:val="00DB04F6"/>
    <w:rsid w:val="00DB3F02"/>
    <w:rsid w:val="00DB5AD8"/>
    <w:rsid w:val="00DB7862"/>
    <w:rsid w:val="00DC1744"/>
    <w:rsid w:val="00DC26BC"/>
    <w:rsid w:val="00DC317F"/>
    <w:rsid w:val="00DC4283"/>
    <w:rsid w:val="00DC52DC"/>
    <w:rsid w:val="00DC64F6"/>
    <w:rsid w:val="00DC7AF1"/>
    <w:rsid w:val="00DC7D4F"/>
    <w:rsid w:val="00DD1A00"/>
    <w:rsid w:val="00DD4546"/>
    <w:rsid w:val="00DD4E74"/>
    <w:rsid w:val="00DD52B4"/>
    <w:rsid w:val="00DD781F"/>
    <w:rsid w:val="00DE124A"/>
    <w:rsid w:val="00DE2261"/>
    <w:rsid w:val="00DE40CE"/>
    <w:rsid w:val="00DE413D"/>
    <w:rsid w:val="00DE4DAA"/>
    <w:rsid w:val="00DE643C"/>
    <w:rsid w:val="00DE6C3B"/>
    <w:rsid w:val="00DF041D"/>
    <w:rsid w:val="00DF1F7C"/>
    <w:rsid w:val="00DF3357"/>
    <w:rsid w:val="00DF5140"/>
    <w:rsid w:val="00DF5162"/>
    <w:rsid w:val="00DF5D94"/>
    <w:rsid w:val="00E03391"/>
    <w:rsid w:val="00E03463"/>
    <w:rsid w:val="00E044DB"/>
    <w:rsid w:val="00E071F5"/>
    <w:rsid w:val="00E12D2C"/>
    <w:rsid w:val="00E13EA7"/>
    <w:rsid w:val="00E1442C"/>
    <w:rsid w:val="00E161B7"/>
    <w:rsid w:val="00E2156E"/>
    <w:rsid w:val="00E21D86"/>
    <w:rsid w:val="00E23127"/>
    <w:rsid w:val="00E23B09"/>
    <w:rsid w:val="00E26E4D"/>
    <w:rsid w:val="00E30FC1"/>
    <w:rsid w:val="00E31B45"/>
    <w:rsid w:val="00E329EA"/>
    <w:rsid w:val="00E339AB"/>
    <w:rsid w:val="00E35192"/>
    <w:rsid w:val="00E35DC0"/>
    <w:rsid w:val="00E37793"/>
    <w:rsid w:val="00E433CC"/>
    <w:rsid w:val="00E44458"/>
    <w:rsid w:val="00E45766"/>
    <w:rsid w:val="00E4669A"/>
    <w:rsid w:val="00E5109E"/>
    <w:rsid w:val="00E51753"/>
    <w:rsid w:val="00E51840"/>
    <w:rsid w:val="00E52BCA"/>
    <w:rsid w:val="00E5561B"/>
    <w:rsid w:val="00E559D7"/>
    <w:rsid w:val="00E60256"/>
    <w:rsid w:val="00E633B0"/>
    <w:rsid w:val="00E64E55"/>
    <w:rsid w:val="00E67C20"/>
    <w:rsid w:val="00E70BA2"/>
    <w:rsid w:val="00E71321"/>
    <w:rsid w:val="00E7244F"/>
    <w:rsid w:val="00E74A16"/>
    <w:rsid w:val="00E7532D"/>
    <w:rsid w:val="00E76004"/>
    <w:rsid w:val="00E778D1"/>
    <w:rsid w:val="00E80F7A"/>
    <w:rsid w:val="00E81E95"/>
    <w:rsid w:val="00E8315A"/>
    <w:rsid w:val="00E833E9"/>
    <w:rsid w:val="00E83883"/>
    <w:rsid w:val="00E85A86"/>
    <w:rsid w:val="00E86700"/>
    <w:rsid w:val="00E915B3"/>
    <w:rsid w:val="00E937EC"/>
    <w:rsid w:val="00E94C9C"/>
    <w:rsid w:val="00E96F09"/>
    <w:rsid w:val="00EA1241"/>
    <w:rsid w:val="00EA5177"/>
    <w:rsid w:val="00EA5210"/>
    <w:rsid w:val="00EA571F"/>
    <w:rsid w:val="00EA6D01"/>
    <w:rsid w:val="00EB1201"/>
    <w:rsid w:val="00EB1E60"/>
    <w:rsid w:val="00EB2001"/>
    <w:rsid w:val="00EB4E76"/>
    <w:rsid w:val="00EB591C"/>
    <w:rsid w:val="00EB5972"/>
    <w:rsid w:val="00EB69F9"/>
    <w:rsid w:val="00EC15B7"/>
    <w:rsid w:val="00EC2127"/>
    <w:rsid w:val="00EC485F"/>
    <w:rsid w:val="00EC642E"/>
    <w:rsid w:val="00EC6972"/>
    <w:rsid w:val="00EC7334"/>
    <w:rsid w:val="00ED02A4"/>
    <w:rsid w:val="00ED2533"/>
    <w:rsid w:val="00ED3838"/>
    <w:rsid w:val="00ED4E77"/>
    <w:rsid w:val="00ED67EC"/>
    <w:rsid w:val="00EE5450"/>
    <w:rsid w:val="00EE6318"/>
    <w:rsid w:val="00EE6DE8"/>
    <w:rsid w:val="00EF0CDB"/>
    <w:rsid w:val="00EF1239"/>
    <w:rsid w:val="00EF2904"/>
    <w:rsid w:val="00F0050A"/>
    <w:rsid w:val="00F01877"/>
    <w:rsid w:val="00F05209"/>
    <w:rsid w:val="00F05CB6"/>
    <w:rsid w:val="00F06B2B"/>
    <w:rsid w:val="00F06CDE"/>
    <w:rsid w:val="00F0730D"/>
    <w:rsid w:val="00F079D1"/>
    <w:rsid w:val="00F10436"/>
    <w:rsid w:val="00F10F7B"/>
    <w:rsid w:val="00F11441"/>
    <w:rsid w:val="00F115E7"/>
    <w:rsid w:val="00F11885"/>
    <w:rsid w:val="00F134E0"/>
    <w:rsid w:val="00F13684"/>
    <w:rsid w:val="00F16089"/>
    <w:rsid w:val="00F20A0D"/>
    <w:rsid w:val="00F21DCA"/>
    <w:rsid w:val="00F22293"/>
    <w:rsid w:val="00F2332A"/>
    <w:rsid w:val="00F25EF7"/>
    <w:rsid w:val="00F26C49"/>
    <w:rsid w:val="00F27F70"/>
    <w:rsid w:val="00F30256"/>
    <w:rsid w:val="00F31B08"/>
    <w:rsid w:val="00F31E00"/>
    <w:rsid w:val="00F3483F"/>
    <w:rsid w:val="00F3796A"/>
    <w:rsid w:val="00F411E1"/>
    <w:rsid w:val="00F41610"/>
    <w:rsid w:val="00F42DC6"/>
    <w:rsid w:val="00F43C55"/>
    <w:rsid w:val="00F45478"/>
    <w:rsid w:val="00F46BB5"/>
    <w:rsid w:val="00F527A4"/>
    <w:rsid w:val="00F5309E"/>
    <w:rsid w:val="00F534D5"/>
    <w:rsid w:val="00F557BD"/>
    <w:rsid w:val="00F645E4"/>
    <w:rsid w:val="00F64E82"/>
    <w:rsid w:val="00F65096"/>
    <w:rsid w:val="00F66AFB"/>
    <w:rsid w:val="00F6798E"/>
    <w:rsid w:val="00F70B41"/>
    <w:rsid w:val="00F71474"/>
    <w:rsid w:val="00F71F59"/>
    <w:rsid w:val="00F75421"/>
    <w:rsid w:val="00F7562E"/>
    <w:rsid w:val="00F76C01"/>
    <w:rsid w:val="00F7733A"/>
    <w:rsid w:val="00F818A8"/>
    <w:rsid w:val="00F81A81"/>
    <w:rsid w:val="00F81DEE"/>
    <w:rsid w:val="00F8237E"/>
    <w:rsid w:val="00F82EB7"/>
    <w:rsid w:val="00F83D80"/>
    <w:rsid w:val="00F840DC"/>
    <w:rsid w:val="00F84F01"/>
    <w:rsid w:val="00F86965"/>
    <w:rsid w:val="00F9090E"/>
    <w:rsid w:val="00F909FB"/>
    <w:rsid w:val="00F928EF"/>
    <w:rsid w:val="00F97A17"/>
    <w:rsid w:val="00FA0D42"/>
    <w:rsid w:val="00FA0DB9"/>
    <w:rsid w:val="00FA0E58"/>
    <w:rsid w:val="00FA1283"/>
    <w:rsid w:val="00FA1970"/>
    <w:rsid w:val="00FA1D47"/>
    <w:rsid w:val="00FA3A8F"/>
    <w:rsid w:val="00FA65FA"/>
    <w:rsid w:val="00FB4904"/>
    <w:rsid w:val="00FB6D77"/>
    <w:rsid w:val="00FC3033"/>
    <w:rsid w:val="00FC3691"/>
    <w:rsid w:val="00FC4A5A"/>
    <w:rsid w:val="00FC4A60"/>
    <w:rsid w:val="00FC5834"/>
    <w:rsid w:val="00FC5B29"/>
    <w:rsid w:val="00FC78DD"/>
    <w:rsid w:val="00FC7FF9"/>
    <w:rsid w:val="00FD0495"/>
    <w:rsid w:val="00FD1BB3"/>
    <w:rsid w:val="00FD4532"/>
    <w:rsid w:val="00FD4A57"/>
    <w:rsid w:val="00FD6366"/>
    <w:rsid w:val="00FD63D5"/>
    <w:rsid w:val="00FE1A00"/>
    <w:rsid w:val="00FE1A4B"/>
    <w:rsid w:val="00FE4AD3"/>
    <w:rsid w:val="00FE5339"/>
    <w:rsid w:val="00FF02FD"/>
    <w:rsid w:val="00FF63CA"/>
  </w:rsids>
  <m:mathPr>
    <m:mathFont m:val="Cambria Math"/>
    <m:brkBin m:val="before"/>
    <m:brkBinSub m:val="--"/>
    <m:smallFrac m:val="0"/>
    <m:dispDef/>
    <m:lMargin m:val="0"/>
    <m:rMargin m:val="0"/>
    <m:defJc m:val="centerGroup"/>
    <m:wrapIndent m:val="1440"/>
    <m:intLim m:val="subSup"/>
    <m:naryLim m:val="undOvr"/>
  </m:mathPr>
  <w:themeFontLang w:val="en-IE"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1C439E"/>
  <w15:docId w15:val="{A3816698-7D54-485D-84E2-5FB2D412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628"/>
  </w:style>
  <w:style w:type="paragraph" w:styleId="Heading1">
    <w:name w:val="heading 1"/>
    <w:basedOn w:val="Normal"/>
    <w:next w:val="Normal"/>
    <w:link w:val="Heading1Char"/>
    <w:uiPriority w:val="9"/>
    <w:qFormat/>
    <w:rsid w:val="00FC5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B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B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5B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2BD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F3492"/>
    <w:rPr>
      <w:sz w:val="16"/>
      <w:szCs w:val="16"/>
    </w:rPr>
  </w:style>
  <w:style w:type="paragraph" w:styleId="CommentText">
    <w:name w:val="annotation text"/>
    <w:basedOn w:val="Normal"/>
    <w:link w:val="CommentTextChar"/>
    <w:uiPriority w:val="99"/>
    <w:unhideWhenUsed/>
    <w:rsid w:val="001F3492"/>
    <w:pPr>
      <w:spacing w:line="240" w:lineRule="auto"/>
    </w:pPr>
    <w:rPr>
      <w:sz w:val="20"/>
      <w:szCs w:val="20"/>
    </w:rPr>
  </w:style>
  <w:style w:type="character" w:customStyle="1" w:styleId="CommentTextChar">
    <w:name w:val="Comment Text Char"/>
    <w:basedOn w:val="DefaultParagraphFont"/>
    <w:link w:val="CommentText"/>
    <w:uiPriority w:val="99"/>
    <w:rsid w:val="001F3492"/>
    <w:rPr>
      <w:sz w:val="20"/>
      <w:szCs w:val="20"/>
    </w:rPr>
  </w:style>
  <w:style w:type="paragraph" w:styleId="CommentSubject">
    <w:name w:val="annotation subject"/>
    <w:basedOn w:val="CommentText"/>
    <w:next w:val="CommentText"/>
    <w:link w:val="CommentSubjectChar"/>
    <w:uiPriority w:val="99"/>
    <w:semiHidden/>
    <w:unhideWhenUsed/>
    <w:rsid w:val="001F3492"/>
    <w:rPr>
      <w:b/>
      <w:bCs/>
    </w:rPr>
  </w:style>
  <w:style w:type="character" w:customStyle="1" w:styleId="CommentSubjectChar">
    <w:name w:val="Comment Subject Char"/>
    <w:basedOn w:val="CommentTextChar"/>
    <w:link w:val="CommentSubject"/>
    <w:uiPriority w:val="99"/>
    <w:semiHidden/>
    <w:rsid w:val="001F3492"/>
    <w:rPr>
      <w:b/>
      <w:bCs/>
      <w:sz w:val="20"/>
      <w:szCs w:val="20"/>
    </w:rPr>
  </w:style>
  <w:style w:type="paragraph" w:styleId="BalloonText">
    <w:name w:val="Balloon Text"/>
    <w:basedOn w:val="Normal"/>
    <w:link w:val="BalloonTextChar"/>
    <w:uiPriority w:val="99"/>
    <w:semiHidden/>
    <w:unhideWhenUsed/>
    <w:rsid w:val="001F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492"/>
    <w:rPr>
      <w:rFonts w:ascii="Tahoma" w:hAnsi="Tahoma" w:cs="Tahoma"/>
      <w:sz w:val="16"/>
      <w:szCs w:val="16"/>
    </w:rPr>
  </w:style>
  <w:style w:type="character" w:styleId="Hyperlink">
    <w:name w:val="Hyperlink"/>
    <w:basedOn w:val="DefaultParagraphFont"/>
    <w:uiPriority w:val="99"/>
    <w:unhideWhenUsed/>
    <w:rsid w:val="00E5109E"/>
    <w:rPr>
      <w:color w:val="0000FF" w:themeColor="hyperlink"/>
      <w:u w:val="single"/>
    </w:rPr>
  </w:style>
  <w:style w:type="paragraph" w:styleId="FootnoteText">
    <w:name w:val="footnote text"/>
    <w:basedOn w:val="Normal"/>
    <w:link w:val="FootnoteTextChar"/>
    <w:uiPriority w:val="99"/>
    <w:unhideWhenUsed/>
    <w:rsid w:val="00C22CAF"/>
    <w:pPr>
      <w:spacing w:after="0" w:line="240" w:lineRule="auto"/>
    </w:pPr>
    <w:rPr>
      <w:sz w:val="20"/>
      <w:szCs w:val="20"/>
    </w:rPr>
  </w:style>
  <w:style w:type="character" w:customStyle="1" w:styleId="FootnoteTextChar">
    <w:name w:val="Footnote Text Char"/>
    <w:basedOn w:val="DefaultParagraphFont"/>
    <w:link w:val="FootnoteText"/>
    <w:uiPriority w:val="99"/>
    <w:rsid w:val="00C22CAF"/>
    <w:rPr>
      <w:sz w:val="20"/>
      <w:szCs w:val="20"/>
    </w:rPr>
  </w:style>
  <w:style w:type="character" w:styleId="FootnoteReference">
    <w:name w:val="footnote reference"/>
    <w:basedOn w:val="DefaultParagraphFont"/>
    <w:uiPriority w:val="99"/>
    <w:unhideWhenUsed/>
    <w:rsid w:val="00C22CAF"/>
    <w:rPr>
      <w:vertAlign w:val="superscript"/>
    </w:rPr>
  </w:style>
  <w:style w:type="paragraph" w:styleId="ListParagraph">
    <w:name w:val="List Paragraph"/>
    <w:basedOn w:val="Normal"/>
    <w:uiPriority w:val="34"/>
    <w:qFormat/>
    <w:rsid w:val="00827BD8"/>
    <w:pPr>
      <w:ind w:left="720"/>
      <w:contextualSpacing/>
    </w:pPr>
  </w:style>
  <w:style w:type="table" w:styleId="TableGrid">
    <w:name w:val="Table Grid"/>
    <w:basedOn w:val="TableNormal"/>
    <w:uiPriority w:val="59"/>
    <w:rsid w:val="00A14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3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3E1"/>
  </w:style>
  <w:style w:type="paragraph" w:styleId="Footer">
    <w:name w:val="footer"/>
    <w:basedOn w:val="Normal"/>
    <w:link w:val="FooterChar"/>
    <w:uiPriority w:val="99"/>
    <w:unhideWhenUsed/>
    <w:rsid w:val="004743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3E1"/>
  </w:style>
  <w:style w:type="paragraph" w:styleId="Revision">
    <w:name w:val="Revision"/>
    <w:hidden/>
    <w:uiPriority w:val="99"/>
    <w:semiHidden/>
    <w:rsid w:val="00D32D11"/>
    <w:pPr>
      <w:spacing w:after="0" w:line="240" w:lineRule="auto"/>
    </w:pPr>
  </w:style>
  <w:style w:type="paragraph" w:styleId="NormalWeb">
    <w:name w:val="Normal (Web)"/>
    <w:basedOn w:val="Normal"/>
    <w:uiPriority w:val="99"/>
    <w:semiHidden/>
    <w:unhideWhenUsed/>
    <w:rsid w:val="00AC58E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numbering" w:customStyle="1" w:styleId="NoList1">
    <w:name w:val="No List1"/>
    <w:next w:val="NoList"/>
    <w:uiPriority w:val="99"/>
    <w:semiHidden/>
    <w:unhideWhenUsed/>
    <w:rsid w:val="00ED02A4"/>
  </w:style>
  <w:style w:type="character" w:styleId="FollowedHyperlink">
    <w:name w:val="FollowedHyperlink"/>
    <w:basedOn w:val="DefaultParagraphFont"/>
    <w:uiPriority w:val="99"/>
    <w:semiHidden/>
    <w:unhideWhenUsed/>
    <w:rsid w:val="00ED02A4"/>
    <w:rPr>
      <w:color w:val="800080"/>
      <w:u w:val="single"/>
    </w:rPr>
  </w:style>
  <w:style w:type="paragraph" w:customStyle="1" w:styleId="font5">
    <w:name w:val="font5"/>
    <w:basedOn w:val="Normal"/>
    <w:rsid w:val="00ED02A4"/>
    <w:pPr>
      <w:spacing w:before="100" w:beforeAutospacing="1" w:after="100" w:afterAutospacing="1" w:line="240" w:lineRule="auto"/>
    </w:pPr>
    <w:rPr>
      <w:rFonts w:ascii="Tahoma" w:eastAsia="Times New Roman" w:hAnsi="Tahoma" w:cs="Tahoma"/>
      <w:color w:val="000000"/>
      <w:sz w:val="16"/>
      <w:szCs w:val="16"/>
      <w:lang w:eastAsia="en-IE"/>
    </w:rPr>
  </w:style>
  <w:style w:type="paragraph" w:customStyle="1" w:styleId="font6">
    <w:name w:val="font6"/>
    <w:basedOn w:val="Normal"/>
    <w:rsid w:val="00ED02A4"/>
    <w:pPr>
      <w:spacing w:before="100" w:beforeAutospacing="1" w:after="100" w:afterAutospacing="1" w:line="240" w:lineRule="auto"/>
    </w:pPr>
    <w:rPr>
      <w:rFonts w:ascii="Tahoma" w:eastAsia="Times New Roman" w:hAnsi="Tahoma" w:cs="Tahoma"/>
      <w:b/>
      <w:bCs/>
      <w:color w:val="000000"/>
      <w:sz w:val="16"/>
      <w:szCs w:val="16"/>
      <w:lang w:eastAsia="en-IE"/>
    </w:rPr>
  </w:style>
  <w:style w:type="paragraph" w:customStyle="1" w:styleId="xl73">
    <w:name w:val="xl73"/>
    <w:basedOn w:val="Normal"/>
    <w:rsid w:val="00ED02A4"/>
    <w:pPr>
      <w:spacing w:before="100" w:beforeAutospacing="1" w:after="100" w:afterAutospacing="1" w:line="240" w:lineRule="auto"/>
    </w:pPr>
    <w:rPr>
      <w:rFonts w:ascii="Times New Roman" w:eastAsia="Times New Roman" w:hAnsi="Times New Roman" w:cs="Times New Roman"/>
      <w:b/>
      <w:bCs/>
      <w:i/>
      <w:iCs/>
      <w:sz w:val="24"/>
      <w:szCs w:val="24"/>
      <w:lang w:eastAsia="en-IE"/>
    </w:rPr>
  </w:style>
  <w:style w:type="paragraph" w:customStyle="1" w:styleId="xl74">
    <w:name w:val="xl74"/>
    <w:basedOn w:val="Normal"/>
    <w:rsid w:val="00ED02A4"/>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xl75">
    <w:name w:val="xl75"/>
    <w:basedOn w:val="Normal"/>
    <w:rsid w:val="00ED02A4"/>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xl76">
    <w:name w:val="xl76"/>
    <w:basedOn w:val="Normal"/>
    <w:rsid w:val="00ED02A4"/>
    <w:pPr>
      <w:spacing w:before="100" w:beforeAutospacing="1" w:after="100" w:afterAutospacing="1" w:line="240" w:lineRule="auto"/>
      <w:textAlignment w:val="center"/>
    </w:pPr>
    <w:rPr>
      <w:rFonts w:ascii="Times New Roman" w:eastAsia="Times New Roman" w:hAnsi="Times New Roman" w:cs="Times New Roman"/>
      <w:color w:val="000000"/>
      <w:sz w:val="18"/>
      <w:szCs w:val="18"/>
      <w:lang w:eastAsia="en-IE"/>
    </w:rPr>
  </w:style>
  <w:style w:type="paragraph" w:customStyle="1" w:styleId="xl77">
    <w:name w:val="xl77"/>
    <w:basedOn w:val="Normal"/>
    <w:rsid w:val="00ED02A4"/>
    <w:pP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eastAsia="en-IE"/>
    </w:rPr>
  </w:style>
  <w:style w:type="paragraph" w:customStyle="1" w:styleId="xl78">
    <w:name w:val="xl78"/>
    <w:basedOn w:val="Normal"/>
    <w:rsid w:val="00ED02A4"/>
    <w:pPr>
      <w:spacing w:before="100" w:beforeAutospacing="1" w:after="100" w:afterAutospacing="1" w:line="240" w:lineRule="auto"/>
      <w:textAlignment w:val="top"/>
    </w:pPr>
    <w:rPr>
      <w:rFonts w:ascii="Times New Roman" w:eastAsia="Times New Roman" w:hAnsi="Times New Roman" w:cs="Times New Roman"/>
      <w:sz w:val="24"/>
      <w:szCs w:val="24"/>
      <w:lang w:eastAsia="en-IE"/>
    </w:rPr>
  </w:style>
  <w:style w:type="paragraph" w:customStyle="1" w:styleId="xl79">
    <w:name w:val="xl79"/>
    <w:basedOn w:val="Normal"/>
    <w:rsid w:val="00ED02A4"/>
    <w:pPr>
      <w:spacing w:before="100" w:beforeAutospacing="1" w:after="100" w:afterAutospacing="1" w:line="240" w:lineRule="auto"/>
      <w:textAlignment w:val="top"/>
    </w:pPr>
    <w:rPr>
      <w:rFonts w:ascii="Times New Roman" w:eastAsia="Times New Roman" w:hAnsi="Times New Roman" w:cs="Times New Roman"/>
      <w:b/>
      <w:bCs/>
      <w:i/>
      <w:iCs/>
      <w:sz w:val="24"/>
      <w:szCs w:val="24"/>
      <w:lang w:eastAsia="en-IE"/>
    </w:rPr>
  </w:style>
  <w:style w:type="paragraph" w:customStyle="1" w:styleId="xl80">
    <w:name w:val="xl80"/>
    <w:basedOn w:val="Normal"/>
    <w:rsid w:val="00ED02A4"/>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n-IE"/>
    </w:rPr>
  </w:style>
  <w:style w:type="paragraph" w:customStyle="1" w:styleId="xl81">
    <w:name w:val="xl81"/>
    <w:basedOn w:val="Normal"/>
    <w:rsid w:val="00ED02A4"/>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n-IE"/>
    </w:rPr>
  </w:style>
  <w:style w:type="paragraph" w:customStyle="1" w:styleId="xl82">
    <w:name w:val="xl82"/>
    <w:basedOn w:val="Normal"/>
    <w:rsid w:val="00ED02A4"/>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n-IE"/>
    </w:rPr>
  </w:style>
  <w:style w:type="paragraph" w:customStyle="1" w:styleId="xl83">
    <w:name w:val="xl83"/>
    <w:basedOn w:val="Normal"/>
    <w:rsid w:val="00ED02A4"/>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eastAsia="en-IE"/>
    </w:rPr>
  </w:style>
  <w:style w:type="paragraph" w:customStyle="1" w:styleId="xl84">
    <w:name w:val="xl84"/>
    <w:basedOn w:val="Normal"/>
    <w:rsid w:val="00ED02A4"/>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eastAsia="en-IE"/>
    </w:rPr>
  </w:style>
  <w:style w:type="paragraph" w:customStyle="1" w:styleId="xl85">
    <w:name w:val="xl85"/>
    <w:basedOn w:val="Normal"/>
    <w:rsid w:val="00ED02A4"/>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eastAsia="en-IE"/>
    </w:rPr>
  </w:style>
  <w:style w:type="paragraph" w:customStyle="1" w:styleId="xl86">
    <w:name w:val="xl86"/>
    <w:basedOn w:val="Normal"/>
    <w:rsid w:val="00ED02A4"/>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eastAsia="en-IE"/>
    </w:rPr>
  </w:style>
  <w:style w:type="paragraph" w:customStyle="1" w:styleId="xl87">
    <w:name w:val="xl87"/>
    <w:basedOn w:val="Normal"/>
    <w:rsid w:val="00ED02A4"/>
    <w:pPr>
      <w:pBdr>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IE"/>
    </w:rPr>
  </w:style>
  <w:style w:type="paragraph" w:customStyle="1" w:styleId="xl88">
    <w:name w:val="xl88"/>
    <w:basedOn w:val="Normal"/>
    <w:rsid w:val="00ED02A4"/>
    <w:pPr>
      <w:pBdr>
        <w:right w:val="single" w:sz="4" w:space="0" w:color="auto"/>
      </w:pBdr>
      <w:spacing w:before="100" w:beforeAutospacing="1" w:after="100" w:afterAutospacing="1" w:line="240" w:lineRule="auto"/>
      <w:textAlignment w:val="top"/>
    </w:pPr>
    <w:rPr>
      <w:rFonts w:ascii="Times New Roman" w:eastAsia="Times New Roman" w:hAnsi="Times New Roman" w:cs="Times New Roman"/>
      <w:b/>
      <w:bCs/>
      <w:i/>
      <w:iCs/>
      <w:sz w:val="24"/>
      <w:szCs w:val="24"/>
      <w:lang w:eastAsia="en-IE"/>
    </w:rPr>
  </w:style>
  <w:style w:type="paragraph" w:customStyle="1" w:styleId="xl89">
    <w:name w:val="xl89"/>
    <w:basedOn w:val="Normal"/>
    <w:rsid w:val="00ED02A4"/>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IE"/>
    </w:rPr>
  </w:style>
  <w:style w:type="paragraph" w:customStyle="1" w:styleId="xl90">
    <w:name w:val="xl90"/>
    <w:basedOn w:val="Normal"/>
    <w:rsid w:val="00ED02A4"/>
    <w:pPr>
      <w:pBdr>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eastAsia="en-IE"/>
    </w:rPr>
  </w:style>
  <w:style w:type="paragraph" w:customStyle="1" w:styleId="xl91">
    <w:name w:val="xl91"/>
    <w:basedOn w:val="Normal"/>
    <w:rsid w:val="00ED02A4"/>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eastAsia="en-IE"/>
    </w:rPr>
  </w:style>
  <w:style w:type="paragraph" w:customStyle="1" w:styleId="xl92">
    <w:name w:val="xl92"/>
    <w:basedOn w:val="Normal"/>
    <w:rsid w:val="00ED02A4"/>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b/>
      <w:bCs/>
      <w:i/>
      <w:iCs/>
      <w:sz w:val="24"/>
      <w:szCs w:val="24"/>
      <w:lang w:eastAsia="en-IE"/>
    </w:rPr>
  </w:style>
  <w:style w:type="paragraph" w:customStyle="1" w:styleId="xl93">
    <w:name w:val="xl93"/>
    <w:basedOn w:val="Normal"/>
    <w:rsid w:val="00ED02A4"/>
    <w:pPr>
      <w:pBdr>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i/>
      <w:iCs/>
      <w:sz w:val="24"/>
      <w:szCs w:val="24"/>
      <w:lang w:eastAsia="en-IE"/>
    </w:rPr>
  </w:style>
  <w:style w:type="paragraph" w:customStyle="1" w:styleId="xl94">
    <w:name w:val="xl94"/>
    <w:basedOn w:val="Normal"/>
    <w:rsid w:val="00ED02A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n-IE"/>
    </w:rPr>
  </w:style>
  <w:style w:type="paragraph" w:customStyle="1" w:styleId="xl95">
    <w:name w:val="xl95"/>
    <w:basedOn w:val="Normal"/>
    <w:rsid w:val="00ED02A4"/>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n-IE"/>
    </w:rPr>
  </w:style>
  <w:style w:type="paragraph" w:customStyle="1" w:styleId="xl96">
    <w:name w:val="xl96"/>
    <w:basedOn w:val="Normal"/>
    <w:rsid w:val="00ED02A4"/>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4806">
      <w:bodyDiv w:val="1"/>
      <w:marLeft w:val="0"/>
      <w:marRight w:val="0"/>
      <w:marTop w:val="0"/>
      <w:marBottom w:val="0"/>
      <w:divBdr>
        <w:top w:val="none" w:sz="0" w:space="0" w:color="auto"/>
        <w:left w:val="none" w:sz="0" w:space="0" w:color="auto"/>
        <w:bottom w:val="none" w:sz="0" w:space="0" w:color="auto"/>
        <w:right w:val="none" w:sz="0" w:space="0" w:color="auto"/>
      </w:divBdr>
    </w:div>
    <w:div w:id="21367614">
      <w:bodyDiv w:val="1"/>
      <w:marLeft w:val="0"/>
      <w:marRight w:val="0"/>
      <w:marTop w:val="0"/>
      <w:marBottom w:val="0"/>
      <w:divBdr>
        <w:top w:val="none" w:sz="0" w:space="0" w:color="auto"/>
        <w:left w:val="none" w:sz="0" w:space="0" w:color="auto"/>
        <w:bottom w:val="none" w:sz="0" w:space="0" w:color="auto"/>
        <w:right w:val="none" w:sz="0" w:space="0" w:color="auto"/>
      </w:divBdr>
    </w:div>
    <w:div w:id="79763688">
      <w:bodyDiv w:val="1"/>
      <w:marLeft w:val="0"/>
      <w:marRight w:val="0"/>
      <w:marTop w:val="0"/>
      <w:marBottom w:val="0"/>
      <w:divBdr>
        <w:top w:val="none" w:sz="0" w:space="0" w:color="auto"/>
        <w:left w:val="none" w:sz="0" w:space="0" w:color="auto"/>
        <w:bottom w:val="none" w:sz="0" w:space="0" w:color="auto"/>
        <w:right w:val="none" w:sz="0" w:space="0" w:color="auto"/>
      </w:divBdr>
    </w:div>
    <w:div w:id="98566187">
      <w:bodyDiv w:val="1"/>
      <w:marLeft w:val="0"/>
      <w:marRight w:val="0"/>
      <w:marTop w:val="0"/>
      <w:marBottom w:val="0"/>
      <w:divBdr>
        <w:top w:val="none" w:sz="0" w:space="0" w:color="auto"/>
        <w:left w:val="none" w:sz="0" w:space="0" w:color="auto"/>
        <w:bottom w:val="none" w:sz="0" w:space="0" w:color="auto"/>
        <w:right w:val="none" w:sz="0" w:space="0" w:color="auto"/>
      </w:divBdr>
    </w:div>
    <w:div w:id="172033697">
      <w:bodyDiv w:val="1"/>
      <w:marLeft w:val="0"/>
      <w:marRight w:val="0"/>
      <w:marTop w:val="0"/>
      <w:marBottom w:val="0"/>
      <w:divBdr>
        <w:top w:val="none" w:sz="0" w:space="0" w:color="auto"/>
        <w:left w:val="none" w:sz="0" w:space="0" w:color="auto"/>
        <w:bottom w:val="none" w:sz="0" w:space="0" w:color="auto"/>
        <w:right w:val="none" w:sz="0" w:space="0" w:color="auto"/>
      </w:divBdr>
    </w:div>
    <w:div w:id="286159070">
      <w:bodyDiv w:val="1"/>
      <w:marLeft w:val="0"/>
      <w:marRight w:val="0"/>
      <w:marTop w:val="0"/>
      <w:marBottom w:val="0"/>
      <w:divBdr>
        <w:top w:val="none" w:sz="0" w:space="0" w:color="auto"/>
        <w:left w:val="none" w:sz="0" w:space="0" w:color="auto"/>
        <w:bottom w:val="none" w:sz="0" w:space="0" w:color="auto"/>
        <w:right w:val="none" w:sz="0" w:space="0" w:color="auto"/>
      </w:divBdr>
    </w:div>
    <w:div w:id="289014239">
      <w:bodyDiv w:val="1"/>
      <w:marLeft w:val="0"/>
      <w:marRight w:val="0"/>
      <w:marTop w:val="0"/>
      <w:marBottom w:val="0"/>
      <w:divBdr>
        <w:top w:val="none" w:sz="0" w:space="0" w:color="auto"/>
        <w:left w:val="none" w:sz="0" w:space="0" w:color="auto"/>
        <w:bottom w:val="none" w:sz="0" w:space="0" w:color="auto"/>
        <w:right w:val="none" w:sz="0" w:space="0" w:color="auto"/>
      </w:divBdr>
    </w:div>
    <w:div w:id="337000094">
      <w:bodyDiv w:val="1"/>
      <w:marLeft w:val="0"/>
      <w:marRight w:val="0"/>
      <w:marTop w:val="0"/>
      <w:marBottom w:val="0"/>
      <w:divBdr>
        <w:top w:val="none" w:sz="0" w:space="0" w:color="auto"/>
        <w:left w:val="none" w:sz="0" w:space="0" w:color="auto"/>
        <w:bottom w:val="none" w:sz="0" w:space="0" w:color="auto"/>
        <w:right w:val="none" w:sz="0" w:space="0" w:color="auto"/>
      </w:divBdr>
    </w:div>
    <w:div w:id="338504707">
      <w:bodyDiv w:val="1"/>
      <w:marLeft w:val="0"/>
      <w:marRight w:val="0"/>
      <w:marTop w:val="0"/>
      <w:marBottom w:val="0"/>
      <w:divBdr>
        <w:top w:val="none" w:sz="0" w:space="0" w:color="auto"/>
        <w:left w:val="none" w:sz="0" w:space="0" w:color="auto"/>
        <w:bottom w:val="none" w:sz="0" w:space="0" w:color="auto"/>
        <w:right w:val="none" w:sz="0" w:space="0" w:color="auto"/>
      </w:divBdr>
    </w:div>
    <w:div w:id="404183860">
      <w:bodyDiv w:val="1"/>
      <w:marLeft w:val="0"/>
      <w:marRight w:val="0"/>
      <w:marTop w:val="0"/>
      <w:marBottom w:val="0"/>
      <w:divBdr>
        <w:top w:val="none" w:sz="0" w:space="0" w:color="auto"/>
        <w:left w:val="none" w:sz="0" w:space="0" w:color="auto"/>
        <w:bottom w:val="none" w:sz="0" w:space="0" w:color="auto"/>
        <w:right w:val="none" w:sz="0" w:space="0" w:color="auto"/>
      </w:divBdr>
    </w:div>
    <w:div w:id="426118107">
      <w:bodyDiv w:val="1"/>
      <w:marLeft w:val="0"/>
      <w:marRight w:val="0"/>
      <w:marTop w:val="0"/>
      <w:marBottom w:val="0"/>
      <w:divBdr>
        <w:top w:val="none" w:sz="0" w:space="0" w:color="auto"/>
        <w:left w:val="none" w:sz="0" w:space="0" w:color="auto"/>
        <w:bottom w:val="none" w:sz="0" w:space="0" w:color="auto"/>
        <w:right w:val="none" w:sz="0" w:space="0" w:color="auto"/>
      </w:divBdr>
    </w:div>
    <w:div w:id="443623812">
      <w:bodyDiv w:val="1"/>
      <w:marLeft w:val="0"/>
      <w:marRight w:val="0"/>
      <w:marTop w:val="0"/>
      <w:marBottom w:val="0"/>
      <w:divBdr>
        <w:top w:val="none" w:sz="0" w:space="0" w:color="auto"/>
        <w:left w:val="none" w:sz="0" w:space="0" w:color="auto"/>
        <w:bottom w:val="none" w:sz="0" w:space="0" w:color="auto"/>
        <w:right w:val="none" w:sz="0" w:space="0" w:color="auto"/>
      </w:divBdr>
    </w:div>
    <w:div w:id="503326534">
      <w:bodyDiv w:val="1"/>
      <w:marLeft w:val="0"/>
      <w:marRight w:val="0"/>
      <w:marTop w:val="0"/>
      <w:marBottom w:val="0"/>
      <w:divBdr>
        <w:top w:val="none" w:sz="0" w:space="0" w:color="auto"/>
        <w:left w:val="none" w:sz="0" w:space="0" w:color="auto"/>
        <w:bottom w:val="none" w:sz="0" w:space="0" w:color="auto"/>
        <w:right w:val="none" w:sz="0" w:space="0" w:color="auto"/>
      </w:divBdr>
    </w:div>
    <w:div w:id="544024904">
      <w:bodyDiv w:val="1"/>
      <w:marLeft w:val="0"/>
      <w:marRight w:val="0"/>
      <w:marTop w:val="0"/>
      <w:marBottom w:val="0"/>
      <w:divBdr>
        <w:top w:val="none" w:sz="0" w:space="0" w:color="auto"/>
        <w:left w:val="none" w:sz="0" w:space="0" w:color="auto"/>
        <w:bottom w:val="none" w:sz="0" w:space="0" w:color="auto"/>
        <w:right w:val="none" w:sz="0" w:space="0" w:color="auto"/>
      </w:divBdr>
    </w:div>
    <w:div w:id="599221157">
      <w:bodyDiv w:val="1"/>
      <w:marLeft w:val="0"/>
      <w:marRight w:val="0"/>
      <w:marTop w:val="0"/>
      <w:marBottom w:val="0"/>
      <w:divBdr>
        <w:top w:val="none" w:sz="0" w:space="0" w:color="auto"/>
        <w:left w:val="none" w:sz="0" w:space="0" w:color="auto"/>
        <w:bottom w:val="none" w:sz="0" w:space="0" w:color="auto"/>
        <w:right w:val="none" w:sz="0" w:space="0" w:color="auto"/>
      </w:divBdr>
    </w:div>
    <w:div w:id="655301391">
      <w:bodyDiv w:val="1"/>
      <w:marLeft w:val="0"/>
      <w:marRight w:val="0"/>
      <w:marTop w:val="0"/>
      <w:marBottom w:val="0"/>
      <w:divBdr>
        <w:top w:val="none" w:sz="0" w:space="0" w:color="auto"/>
        <w:left w:val="none" w:sz="0" w:space="0" w:color="auto"/>
        <w:bottom w:val="none" w:sz="0" w:space="0" w:color="auto"/>
        <w:right w:val="none" w:sz="0" w:space="0" w:color="auto"/>
      </w:divBdr>
    </w:div>
    <w:div w:id="680936692">
      <w:bodyDiv w:val="1"/>
      <w:marLeft w:val="0"/>
      <w:marRight w:val="0"/>
      <w:marTop w:val="0"/>
      <w:marBottom w:val="0"/>
      <w:divBdr>
        <w:top w:val="none" w:sz="0" w:space="0" w:color="auto"/>
        <w:left w:val="none" w:sz="0" w:space="0" w:color="auto"/>
        <w:bottom w:val="none" w:sz="0" w:space="0" w:color="auto"/>
        <w:right w:val="none" w:sz="0" w:space="0" w:color="auto"/>
      </w:divBdr>
    </w:div>
    <w:div w:id="777725244">
      <w:bodyDiv w:val="1"/>
      <w:marLeft w:val="0"/>
      <w:marRight w:val="0"/>
      <w:marTop w:val="0"/>
      <w:marBottom w:val="0"/>
      <w:divBdr>
        <w:top w:val="none" w:sz="0" w:space="0" w:color="auto"/>
        <w:left w:val="none" w:sz="0" w:space="0" w:color="auto"/>
        <w:bottom w:val="none" w:sz="0" w:space="0" w:color="auto"/>
        <w:right w:val="none" w:sz="0" w:space="0" w:color="auto"/>
      </w:divBdr>
    </w:div>
    <w:div w:id="803891041">
      <w:bodyDiv w:val="1"/>
      <w:marLeft w:val="0"/>
      <w:marRight w:val="0"/>
      <w:marTop w:val="0"/>
      <w:marBottom w:val="0"/>
      <w:divBdr>
        <w:top w:val="none" w:sz="0" w:space="0" w:color="auto"/>
        <w:left w:val="none" w:sz="0" w:space="0" w:color="auto"/>
        <w:bottom w:val="none" w:sz="0" w:space="0" w:color="auto"/>
        <w:right w:val="none" w:sz="0" w:space="0" w:color="auto"/>
      </w:divBdr>
    </w:div>
    <w:div w:id="830220087">
      <w:bodyDiv w:val="1"/>
      <w:marLeft w:val="0"/>
      <w:marRight w:val="0"/>
      <w:marTop w:val="0"/>
      <w:marBottom w:val="0"/>
      <w:divBdr>
        <w:top w:val="none" w:sz="0" w:space="0" w:color="auto"/>
        <w:left w:val="none" w:sz="0" w:space="0" w:color="auto"/>
        <w:bottom w:val="none" w:sz="0" w:space="0" w:color="auto"/>
        <w:right w:val="none" w:sz="0" w:space="0" w:color="auto"/>
      </w:divBdr>
    </w:div>
    <w:div w:id="901868587">
      <w:bodyDiv w:val="1"/>
      <w:marLeft w:val="0"/>
      <w:marRight w:val="0"/>
      <w:marTop w:val="0"/>
      <w:marBottom w:val="0"/>
      <w:divBdr>
        <w:top w:val="none" w:sz="0" w:space="0" w:color="auto"/>
        <w:left w:val="none" w:sz="0" w:space="0" w:color="auto"/>
        <w:bottom w:val="none" w:sz="0" w:space="0" w:color="auto"/>
        <w:right w:val="none" w:sz="0" w:space="0" w:color="auto"/>
      </w:divBdr>
    </w:div>
    <w:div w:id="902175177">
      <w:bodyDiv w:val="1"/>
      <w:marLeft w:val="0"/>
      <w:marRight w:val="0"/>
      <w:marTop w:val="0"/>
      <w:marBottom w:val="0"/>
      <w:divBdr>
        <w:top w:val="none" w:sz="0" w:space="0" w:color="auto"/>
        <w:left w:val="none" w:sz="0" w:space="0" w:color="auto"/>
        <w:bottom w:val="none" w:sz="0" w:space="0" w:color="auto"/>
        <w:right w:val="none" w:sz="0" w:space="0" w:color="auto"/>
      </w:divBdr>
    </w:div>
    <w:div w:id="1076053169">
      <w:bodyDiv w:val="1"/>
      <w:marLeft w:val="0"/>
      <w:marRight w:val="0"/>
      <w:marTop w:val="0"/>
      <w:marBottom w:val="0"/>
      <w:divBdr>
        <w:top w:val="none" w:sz="0" w:space="0" w:color="auto"/>
        <w:left w:val="none" w:sz="0" w:space="0" w:color="auto"/>
        <w:bottom w:val="none" w:sz="0" w:space="0" w:color="auto"/>
        <w:right w:val="none" w:sz="0" w:space="0" w:color="auto"/>
      </w:divBdr>
    </w:div>
    <w:div w:id="1106996260">
      <w:bodyDiv w:val="1"/>
      <w:marLeft w:val="0"/>
      <w:marRight w:val="0"/>
      <w:marTop w:val="0"/>
      <w:marBottom w:val="0"/>
      <w:divBdr>
        <w:top w:val="none" w:sz="0" w:space="0" w:color="auto"/>
        <w:left w:val="none" w:sz="0" w:space="0" w:color="auto"/>
        <w:bottom w:val="none" w:sz="0" w:space="0" w:color="auto"/>
        <w:right w:val="none" w:sz="0" w:space="0" w:color="auto"/>
      </w:divBdr>
    </w:div>
    <w:div w:id="1113129504">
      <w:bodyDiv w:val="1"/>
      <w:marLeft w:val="0"/>
      <w:marRight w:val="0"/>
      <w:marTop w:val="0"/>
      <w:marBottom w:val="0"/>
      <w:divBdr>
        <w:top w:val="none" w:sz="0" w:space="0" w:color="auto"/>
        <w:left w:val="none" w:sz="0" w:space="0" w:color="auto"/>
        <w:bottom w:val="none" w:sz="0" w:space="0" w:color="auto"/>
        <w:right w:val="none" w:sz="0" w:space="0" w:color="auto"/>
      </w:divBdr>
    </w:div>
    <w:div w:id="1191993249">
      <w:bodyDiv w:val="1"/>
      <w:marLeft w:val="0"/>
      <w:marRight w:val="0"/>
      <w:marTop w:val="0"/>
      <w:marBottom w:val="0"/>
      <w:divBdr>
        <w:top w:val="none" w:sz="0" w:space="0" w:color="auto"/>
        <w:left w:val="none" w:sz="0" w:space="0" w:color="auto"/>
        <w:bottom w:val="none" w:sz="0" w:space="0" w:color="auto"/>
        <w:right w:val="none" w:sz="0" w:space="0" w:color="auto"/>
      </w:divBdr>
    </w:div>
    <w:div w:id="1232152132">
      <w:bodyDiv w:val="1"/>
      <w:marLeft w:val="0"/>
      <w:marRight w:val="0"/>
      <w:marTop w:val="0"/>
      <w:marBottom w:val="0"/>
      <w:divBdr>
        <w:top w:val="none" w:sz="0" w:space="0" w:color="auto"/>
        <w:left w:val="none" w:sz="0" w:space="0" w:color="auto"/>
        <w:bottom w:val="none" w:sz="0" w:space="0" w:color="auto"/>
        <w:right w:val="none" w:sz="0" w:space="0" w:color="auto"/>
      </w:divBdr>
    </w:div>
    <w:div w:id="1332099763">
      <w:bodyDiv w:val="1"/>
      <w:marLeft w:val="0"/>
      <w:marRight w:val="0"/>
      <w:marTop w:val="0"/>
      <w:marBottom w:val="0"/>
      <w:divBdr>
        <w:top w:val="none" w:sz="0" w:space="0" w:color="auto"/>
        <w:left w:val="none" w:sz="0" w:space="0" w:color="auto"/>
        <w:bottom w:val="none" w:sz="0" w:space="0" w:color="auto"/>
        <w:right w:val="none" w:sz="0" w:space="0" w:color="auto"/>
      </w:divBdr>
    </w:div>
    <w:div w:id="1367172723">
      <w:bodyDiv w:val="1"/>
      <w:marLeft w:val="0"/>
      <w:marRight w:val="0"/>
      <w:marTop w:val="0"/>
      <w:marBottom w:val="0"/>
      <w:divBdr>
        <w:top w:val="none" w:sz="0" w:space="0" w:color="auto"/>
        <w:left w:val="none" w:sz="0" w:space="0" w:color="auto"/>
        <w:bottom w:val="none" w:sz="0" w:space="0" w:color="auto"/>
        <w:right w:val="none" w:sz="0" w:space="0" w:color="auto"/>
      </w:divBdr>
    </w:div>
    <w:div w:id="1387993084">
      <w:bodyDiv w:val="1"/>
      <w:marLeft w:val="0"/>
      <w:marRight w:val="0"/>
      <w:marTop w:val="0"/>
      <w:marBottom w:val="0"/>
      <w:divBdr>
        <w:top w:val="none" w:sz="0" w:space="0" w:color="auto"/>
        <w:left w:val="none" w:sz="0" w:space="0" w:color="auto"/>
        <w:bottom w:val="none" w:sz="0" w:space="0" w:color="auto"/>
        <w:right w:val="none" w:sz="0" w:space="0" w:color="auto"/>
      </w:divBdr>
    </w:div>
    <w:div w:id="1390105730">
      <w:bodyDiv w:val="1"/>
      <w:marLeft w:val="0"/>
      <w:marRight w:val="0"/>
      <w:marTop w:val="0"/>
      <w:marBottom w:val="0"/>
      <w:divBdr>
        <w:top w:val="none" w:sz="0" w:space="0" w:color="auto"/>
        <w:left w:val="none" w:sz="0" w:space="0" w:color="auto"/>
        <w:bottom w:val="none" w:sz="0" w:space="0" w:color="auto"/>
        <w:right w:val="none" w:sz="0" w:space="0" w:color="auto"/>
      </w:divBdr>
    </w:div>
    <w:div w:id="1440832467">
      <w:bodyDiv w:val="1"/>
      <w:marLeft w:val="0"/>
      <w:marRight w:val="0"/>
      <w:marTop w:val="0"/>
      <w:marBottom w:val="0"/>
      <w:divBdr>
        <w:top w:val="none" w:sz="0" w:space="0" w:color="auto"/>
        <w:left w:val="none" w:sz="0" w:space="0" w:color="auto"/>
        <w:bottom w:val="none" w:sz="0" w:space="0" w:color="auto"/>
        <w:right w:val="none" w:sz="0" w:space="0" w:color="auto"/>
      </w:divBdr>
    </w:div>
    <w:div w:id="1534536941">
      <w:bodyDiv w:val="1"/>
      <w:marLeft w:val="0"/>
      <w:marRight w:val="0"/>
      <w:marTop w:val="0"/>
      <w:marBottom w:val="0"/>
      <w:divBdr>
        <w:top w:val="none" w:sz="0" w:space="0" w:color="auto"/>
        <w:left w:val="none" w:sz="0" w:space="0" w:color="auto"/>
        <w:bottom w:val="none" w:sz="0" w:space="0" w:color="auto"/>
        <w:right w:val="none" w:sz="0" w:space="0" w:color="auto"/>
      </w:divBdr>
    </w:div>
    <w:div w:id="1544051163">
      <w:bodyDiv w:val="1"/>
      <w:marLeft w:val="0"/>
      <w:marRight w:val="0"/>
      <w:marTop w:val="0"/>
      <w:marBottom w:val="0"/>
      <w:divBdr>
        <w:top w:val="none" w:sz="0" w:space="0" w:color="auto"/>
        <w:left w:val="none" w:sz="0" w:space="0" w:color="auto"/>
        <w:bottom w:val="none" w:sz="0" w:space="0" w:color="auto"/>
        <w:right w:val="none" w:sz="0" w:space="0" w:color="auto"/>
      </w:divBdr>
    </w:div>
    <w:div w:id="1559626189">
      <w:bodyDiv w:val="1"/>
      <w:marLeft w:val="0"/>
      <w:marRight w:val="0"/>
      <w:marTop w:val="0"/>
      <w:marBottom w:val="0"/>
      <w:divBdr>
        <w:top w:val="none" w:sz="0" w:space="0" w:color="auto"/>
        <w:left w:val="none" w:sz="0" w:space="0" w:color="auto"/>
        <w:bottom w:val="none" w:sz="0" w:space="0" w:color="auto"/>
        <w:right w:val="none" w:sz="0" w:space="0" w:color="auto"/>
      </w:divBdr>
    </w:div>
    <w:div w:id="1715156104">
      <w:bodyDiv w:val="1"/>
      <w:marLeft w:val="0"/>
      <w:marRight w:val="0"/>
      <w:marTop w:val="0"/>
      <w:marBottom w:val="0"/>
      <w:divBdr>
        <w:top w:val="none" w:sz="0" w:space="0" w:color="auto"/>
        <w:left w:val="none" w:sz="0" w:space="0" w:color="auto"/>
        <w:bottom w:val="none" w:sz="0" w:space="0" w:color="auto"/>
        <w:right w:val="none" w:sz="0" w:space="0" w:color="auto"/>
      </w:divBdr>
    </w:div>
    <w:div w:id="1780879245">
      <w:bodyDiv w:val="1"/>
      <w:marLeft w:val="0"/>
      <w:marRight w:val="0"/>
      <w:marTop w:val="0"/>
      <w:marBottom w:val="0"/>
      <w:divBdr>
        <w:top w:val="none" w:sz="0" w:space="0" w:color="auto"/>
        <w:left w:val="none" w:sz="0" w:space="0" w:color="auto"/>
        <w:bottom w:val="none" w:sz="0" w:space="0" w:color="auto"/>
        <w:right w:val="none" w:sz="0" w:space="0" w:color="auto"/>
      </w:divBdr>
    </w:div>
    <w:div w:id="1852790809">
      <w:bodyDiv w:val="1"/>
      <w:marLeft w:val="0"/>
      <w:marRight w:val="0"/>
      <w:marTop w:val="0"/>
      <w:marBottom w:val="0"/>
      <w:divBdr>
        <w:top w:val="none" w:sz="0" w:space="0" w:color="auto"/>
        <w:left w:val="none" w:sz="0" w:space="0" w:color="auto"/>
        <w:bottom w:val="none" w:sz="0" w:space="0" w:color="auto"/>
        <w:right w:val="none" w:sz="0" w:space="0" w:color="auto"/>
      </w:divBdr>
    </w:div>
    <w:div w:id="1879001456">
      <w:bodyDiv w:val="1"/>
      <w:marLeft w:val="0"/>
      <w:marRight w:val="0"/>
      <w:marTop w:val="0"/>
      <w:marBottom w:val="0"/>
      <w:divBdr>
        <w:top w:val="none" w:sz="0" w:space="0" w:color="auto"/>
        <w:left w:val="none" w:sz="0" w:space="0" w:color="auto"/>
        <w:bottom w:val="none" w:sz="0" w:space="0" w:color="auto"/>
        <w:right w:val="none" w:sz="0" w:space="0" w:color="auto"/>
      </w:divBdr>
    </w:div>
    <w:div w:id="1892307481">
      <w:bodyDiv w:val="1"/>
      <w:marLeft w:val="0"/>
      <w:marRight w:val="0"/>
      <w:marTop w:val="0"/>
      <w:marBottom w:val="0"/>
      <w:divBdr>
        <w:top w:val="none" w:sz="0" w:space="0" w:color="auto"/>
        <w:left w:val="none" w:sz="0" w:space="0" w:color="auto"/>
        <w:bottom w:val="none" w:sz="0" w:space="0" w:color="auto"/>
        <w:right w:val="none" w:sz="0" w:space="0" w:color="auto"/>
      </w:divBdr>
    </w:div>
    <w:div w:id="1934782925">
      <w:bodyDiv w:val="1"/>
      <w:marLeft w:val="0"/>
      <w:marRight w:val="0"/>
      <w:marTop w:val="0"/>
      <w:marBottom w:val="0"/>
      <w:divBdr>
        <w:top w:val="none" w:sz="0" w:space="0" w:color="auto"/>
        <w:left w:val="none" w:sz="0" w:space="0" w:color="auto"/>
        <w:bottom w:val="none" w:sz="0" w:space="0" w:color="auto"/>
        <w:right w:val="none" w:sz="0" w:space="0" w:color="auto"/>
      </w:divBdr>
    </w:div>
    <w:div w:id="1954048339">
      <w:bodyDiv w:val="1"/>
      <w:marLeft w:val="0"/>
      <w:marRight w:val="0"/>
      <w:marTop w:val="0"/>
      <w:marBottom w:val="0"/>
      <w:divBdr>
        <w:top w:val="none" w:sz="0" w:space="0" w:color="auto"/>
        <w:left w:val="none" w:sz="0" w:space="0" w:color="auto"/>
        <w:bottom w:val="none" w:sz="0" w:space="0" w:color="auto"/>
        <w:right w:val="none" w:sz="0" w:space="0" w:color="auto"/>
      </w:divBdr>
    </w:div>
    <w:div w:id="1982610529">
      <w:bodyDiv w:val="1"/>
      <w:marLeft w:val="0"/>
      <w:marRight w:val="0"/>
      <w:marTop w:val="0"/>
      <w:marBottom w:val="0"/>
      <w:divBdr>
        <w:top w:val="none" w:sz="0" w:space="0" w:color="auto"/>
        <w:left w:val="none" w:sz="0" w:space="0" w:color="auto"/>
        <w:bottom w:val="none" w:sz="0" w:space="0" w:color="auto"/>
        <w:right w:val="none" w:sz="0" w:space="0" w:color="auto"/>
      </w:divBdr>
    </w:div>
    <w:div w:id="1993950734">
      <w:bodyDiv w:val="1"/>
      <w:marLeft w:val="0"/>
      <w:marRight w:val="0"/>
      <w:marTop w:val="0"/>
      <w:marBottom w:val="0"/>
      <w:divBdr>
        <w:top w:val="none" w:sz="0" w:space="0" w:color="auto"/>
        <w:left w:val="none" w:sz="0" w:space="0" w:color="auto"/>
        <w:bottom w:val="none" w:sz="0" w:space="0" w:color="auto"/>
        <w:right w:val="none" w:sz="0" w:space="0" w:color="auto"/>
      </w:divBdr>
    </w:div>
    <w:div w:id="1994215791">
      <w:bodyDiv w:val="1"/>
      <w:marLeft w:val="0"/>
      <w:marRight w:val="0"/>
      <w:marTop w:val="0"/>
      <w:marBottom w:val="0"/>
      <w:divBdr>
        <w:top w:val="none" w:sz="0" w:space="0" w:color="auto"/>
        <w:left w:val="none" w:sz="0" w:space="0" w:color="auto"/>
        <w:bottom w:val="none" w:sz="0" w:space="0" w:color="auto"/>
        <w:right w:val="none" w:sz="0" w:space="0" w:color="auto"/>
      </w:divBdr>
    </w:div>
    <w:div w:id="2054379288">
      <w:bodyDiv w:val="1"/>
      <w:marLeft w:val="0"/>
      <w:marRight w:val="0"/>
      <w:marTop w:val="0"/>
      <w:marBottom w:val="0"/>
      <w:divBdr>
        <w:top w:val="none" w:sz="0" w:space="0" w:color="auto"/>
        <w:left w:val="none" w:sz="0" w:space="0" w:color="auto"/>
        <w:bottom w:val="none" w:sz="0" w:space="0" w:color="auto"/>
        <w:right w:val="none" w:sz="0" w:space="0" w:color="auto"/>
      </w:divBdr>
    </w:div>
    <w:div w:id="212383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chart" Target="charts/chart1.xml"/><Relationship Id="rId26" Type="http://schemas.openxmlformats.org/officeDocument/2006/relationships/chart" Target="charts/chart9.xml"/><Relationship Id="rId39" Type="http://schemas.openxmlformats.org/officeDocument/2006/relationships/chart" Target="charts/chart22.xml"/><Relationship Id="rId21" Type="http://schemas.openxmlformats.org/officeDocument/2006/relationships/chart" Target="charts/chart4.xml"/><Relationship Id="rId34" Type="http://schemas.openxmlformats.org/officeDocument/2006/relationships/chart" Target="charts/chart17.xml"/><Relationship Id="rId42" Type="http://schemas.openxmlformats.org/officeDocument/2006/relationships/chart" Target="charts/chart2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chart" Target="charts/chart7.xml"/><Relationship Id="rId32" Type="http://schemas.openxmlformats.org/officeDocument/2006/relationships/chart" Target="charts/chart15.xml"/><Relationship Id="rId37" Type="http://schemas.openxmlformats.org/officeDocument/2006/relationships/chart" Target="charts/chart20.xml"/><Relationship Id="rId40" Type="http://schemas.openxmlformats.org/officeDocument/2006/relationships/chart" Target="charts/chart23.xml"/><Relationship Id="rId45" Type="http://schemas.openxmlformats.org/officeDocument/2006/relationships/chart" Target="charts/chart28.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hart" Target="charts/chart6.xml"/><Relationship Id="rId28" Type="http://schemas.openxmlformats.org/officeDocument/2006/relationships/chart" Target="charts/chart11.xml"/><Relationship Id="rId36" Type="http://schemas.openxmlformats.org/officeDocument/2006/relationships/chart" Target="charts/chart19.xml"/><Relationship Id="rId10" Type="http://schemas.openxmlformats.org/officeDocument/2006/relationships/image" Target="media/image2.wmf"/><Relationship Id="rId19" Type="http://schemas.openxmlformats.org/officeDocument/2006/relationships/chart" Target="charts/chart2.xml"/><Relationship Id="rId31" Type="http://schemas.openxmlformats.org/officeDocument/2006/relationships/chart" Target="charts/chart14.xml"/><Relationship Id="rId44" Type="http://schemas.openxmlformats.org/officeDocument/2006/relationships/chart" Target="charts/chart27.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chart" Target="charts/chart18.xml"/><Relationship Id="rId43" Type="http://schemas.openxmlformats.org/officeDocument/2006/relationships/chart" Target="charts/chart26.xml"/><Relationship Id="rId48"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chart" Target="charts/chart8.xml"/><Relationship Id="rId33" Type="http://schemas.openxmlformats.org/officeDocument/2006/relationships/chart" Target="charts/chart16.xml"/><Relationship Id="rId38" Type="http://schemas.openxmlformats.org/officeDocument/2006/relationships/chart" Target="charts/chart21.xml"/><Relationship Id="rId46" Type="http://schemas.openxmlformats.org/officeDocument/2006/relationships/footer" Target="footer1.xml"/><Relationship Id="rId20" Type="http://schemas.openxmlformats.org/officeDocument/2006/relationships/chart" Target="charts/chart3.xml"/><Relationship Id="rId41" Type="http://schemas.openxmlformats.org/officeDocument/2006/relationships/chart" Target="charts/chart24.xml"/></Relationships>
</file>

<file path=word/_rels/footnotes.xml.rels><?xml version="1.0" encoding="UTF-8" standalone="yes"?>
<Relationships xmlns="http://schemas.openxmlformats.org/package/2006/relationships"><Relationship Id="rId8" Type="http://schemas.openxmlformats.org/officeDocument/2006/relationships/image" Target="media/image7.wmf"/><Relationship Id="rId13" Type="http://schemas.openxmlformats.org/officeDocument/2006/relationships/oleObject" Target="embeddings/oleObject10.bin"/><Relationship Id="rId18" Type="http://schemas.openxmlformats.org/officeDocument/2006/relationships/oleObject" Target="embeddings/oleObject14.bin"/><Relationship Id="rId3" Type="http://schemas.openxmlformats.org/officeDocument/2006/relationships/hyperlink" Target="mailto:rroll@caltech.edu" TargetMode="External"/><Relationship Id="rId7" Type="http://schemas.openxmlformats.org/officeDocument/2006/relationships/oleObject" Target="embeddings/oleObject7.bin"/><Relationship Id="rId12" Type="http://schemas.openxmlformats.org/officeDocument/2006/relationships/image" Target="media/image9.wmf"/><Relationship Id="rId17" Type="http://schemas.openxmlformats.org/officeDocument/2006/relationships/oleObject" Target="embeddings/oleObject13.bin"/><Relationship Id="rId2" Type="http://schemas.openxmlformats.org/officeDocument/2006/relationships/hyperlink" Target="mailto:stuart.gabriel@anderson.ucla.edu" TargetMode="External"/><Relationship Id="rId16" Type="http://schemas.openxmlformats.org/officeDocument/2006/relationships/oleObject" Target="embeddings/oleObject12.bin"/><Relationship Id="rId1" Type="http://schemas.openxmlformats.org/officeDocument/2006/relationships/hyperlink" Target="mailto:john.cotter@ucd.ie" TargetMode="External"/><Relationship Id="rId6" Type="http://schemas.openxmlformats.org/officeDocument/2006/relationships/image" Target="media/image5.wmf"/><Relationship Id="rId11" Type="http://schemas.openxmlformats.org/officeDocument/2006/relationships/oleObject" Target="embeddings/oleObject9.bin"/><Relationship Id="rId5" Type="http://schemas.openxmlformats.org/officeDocument/2006/relationships/oleObject" Target="embeddings/oleObject6.bin"/><Relationship Id="rId15" Type="http://schemas.openxmlformats.org/officeDocument/2006/relationships/oleObject" Target="embeddings/oleObject11.bin"/><Relationship Id="rId10" Type="http://schemas.openxmlformats.org/officeDocument/2006/relationships/image" Target="media/image8.wmf"/><Relationship Id="rId19" Type="http://schemas.openxmlformats.org/officeDocument/2006/relationships/hyperlink" Target="http://www.imf.org/external/pubs/ft/weo/2009/01/pdf/text.pdf" TargetMode="External"/><Relationship Id="rId4" Type="http://schemas.openxmlformats.org/officeDocument/2006/relationships/image" Target="media/image6.wmf"/><Relationship Id="rId9" Type="http://schemas.openxmlformats.org/officeDocument/2006/relationships/oleObject" Target="embeddings/oleObject8.bin"/><Relationship Id="rId14" Type="http://schemas.openxmlformats.org/officeDocument/2006/relationships/image" Target="media/image10.wmf"/></Relationships>
</file>

<file path=word/charts/_rels/chart1.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14.xml"/></Relationships>
</file>

<file path=word/charts/_rels/chart15.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15.xml"/></Relationships>
</file>

<file path=word/charts/_rels/chart16.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16.xml"/></Relationships>
</file>

<file path=word/charts/_rels/chart17.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17.xml"/></Relationships>
</file>

<file path=word/charts/_rels/chart18.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18.xml"/></Relationships>
</file>

<file path=word/charts/_rels/chart19.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19.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20.xml"/></Relationships>
</file>

<file path=word/charts/_rels/chart21.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21.xml"/></Relationships>
</file>

<file path=word/charts/_rels/chart22.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22.xml"/></Relationships>
</file>

<file path=word/charts/_rels/chart23.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23.xml"/></Relationships>
</file>

<file path=word/charts/_rels/chart24.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24.xml"/></Relationships>
</file>

<file path=word/charts/_rels/chart25.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25.xml"/></Relationships>
</file>

<file path=word/charts/_rels/chart26.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26.xml"/></Relationships>
</file>

<file path=word/charts/_rels/chart27.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27.xml"/></Relationships>
</file>

<file path=word/charts/_rels/chart28.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28.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John%20Cotter\Documents\RESEARCH\real%20estate\Is%20Flight%20to%20Safety%20really%20Safe\data%20and%20empirics\empirics%20july%202015\results%20july%202015.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Equity_Trend!$B$1</c:f>
              <c:strCache>
                <c:ptCount val="1"/>
                <c:pt idx="0">
                  <c:v>Equity</c:v>
                </c:pt>
              </c:strCache>
            </c:strRef>
          </c:tx>
          <c:spPr>
            <a:ln w="28575" cap="rnd">
              <a:solidFill>
                <a:schemeClr val="accent1"/>
              </a:solidFill>
              <a:round/>
            </a:ln>
            <a:effectLst/>
          </c:spPr>
          <c:marker>
            <c:symbol val="none"/>
          </c:marker>
          <c:trendline>
            <c:spPr>
              <a:ln w="19050" cap="rnd">
                <a:solidFill>
                  <a:schemeClr val="accent2"/>
                </a:solidFill>
                <a:prstDash val="sysDot"/>
              </a:ln>
              <a:effectLst/>
            </c:spPr>
            <c:trendlineType val="linear"/>
            <c:dispRSqr val="0"/>
            <c:dispEq val="0"/>
          </c:trendline>
          <c:cat>
            <c:numRef>
              <c:f>Equity_Trend!$A$2:$A$28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Equity_Trend!$B$2:$B$28</c:f>
              <c:numCache>
                <c:formatCode>General</c:formatCode>
                <c:ptCount val="27"/>
                <c:pt idx="0">
                  <c:v>85.486124348894634</c:v>
                </c:pt>
                <c:pt idx="1">
                  <c:v>83.067676877546759</c:v>
                </c:pt>
                <c:pt idx="2">
                  <c:v>84.089466483770707</c:v>
                </c:pt>
                <c:pt idx="3">
                  <c:v>84.929691779600702</c:v>
                </c:pt>
                <c:pt idx="4">
                  <c:v>99.628429584522408</c:v>
                </c:pt>
                <c:pt idx="5">
                  <c:v>97.671969329022062</c:v>
                </c:pt>
                <c:pt idx="6">
                  <c:v>84.444272466430363</c:v>
                </c:pt>
                <c:pt idx="7">
                  <c:v>97.009341831418965</c:v>
                </c:pt>
                <c:pt idx="8">
                  <c:v>96.47523787428797</c:v>
                </c:pt>
                <c:pt idx="9">
                  <c:v>96.702961586819356</c:v>
                </c:pt>
                <c:pt idx="10">
                  <c:v>98.536553453430372</c:v>
                </c:pt>
                <c:pt idx="11">
                  <c:v>82.617819282535393</c:v>
                </c:pt>
                <c:pt idx="12">
                  <c:v>85.13954874673226</c:v>
                </c:pt>
                <c:pt idx="13">
                  <c:v>89.317778423419071</c:v>
                </c:pt>
                <c:pt idx="14">
                  <c:v>85.989746892016726</c:v>
                </c:pt>
                <c:pt idx="15">
                  <c:v>83.695053450572857</c:v>
                </c:pt>
                <c:pt idx="16">
                  <c:v>84.735818610397075</c:v>
                </c:pt>
                <c:pt idx="17">
                  <c:v>86.206890757698872</c:v>
                </c:pt>
                <c:pt idx="18">
                  <c:v>78.394408651921552</c:v>
                </c:pt>
                <c:pt idx="19">
                  <c:v>80.717782111283228</c:v>
                </c:pt>
                <c:pt idx="20">
                  <c:v>74.327150332744864</c:v>
                </c:pt>
                <c:pt idx="21">
                  <c:v>69.241313099793402</c:v>
                </c:pt>
                <c:pt idx="22">
                  <c:v>64.537782556445066</c:v>
                </c:pt>
                <c:pt idx="23">
                  <c:v>67.401911559182807</c:v>
                </c:pt>
                <c:pt idx="24">
                  <c:v>62.776062554170082</c:v>
                </c:pt>
                <c:pt idx="25">
                  <c:v>63.208757120422781</c:v>
                </c:pt>
                <c:pt idx="26">
                  <c:v>66.06671003563271</c:v>
                </c:pt>
              </c:numCache>
            </c:numRef>
          </c:val>
          <c:smooth val="0"/>
          <c:extLst>
            <c:ext xmlns:c16="http://schemas.microsoft.com/office/drawing/2014/chart" uri="{C3380CC4-5D6E-409C-BE32-E72D297353CC}">
              <c16:uniqueId val="{00000000-A44D-4C2F-94DA-5C2F5CE6F983}"/>
            </c:ext>
          </c:extLst>
        </c:ser>
        <c:dLbls>
          <c:showLegendKey val="0"/>
          <c:showVal val="0"/>
          <c:showCatName val="0"/>
          <c:showSerName val="0"/>
          <c:showPercent val="0"/>
          <c:showBubbleSize val="0"/>
        </c:dLbls>
        <c:smooth val="0"/>
        <c:axId val="717403696"/>
        <c:axId val="717403304"/>
      </c:lineChart>
      <c:catAx>
        <c:axId val="71740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403304"/>
        <c:crosses val="autoZero"/>
        <c:auto val="1"/>
        <c:lblAlgn val="ctr"/>
        <c:lblOffset val="100"/>
        <c:noMultiLvlLbl val="0"/>
      </c:catAx>
      <c:valAx>
        <c:axId val="717403304"/>
        <c:scaling>
          <c:orientation val="minMax"/>
          <c:max val="100"/>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403696"/>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REIT_StdDev!$B$1</c:f>
              <c:strCache>
                <c:ptCount val="1"/>
                <c:pt idx="0">
                  <c:v>Real Estate Diversification</c:v>
                </c:pt>
              </c:strCache>
            </c:strRef>
          </c:tx>
          <c:spPr>
            <a:ln w="28575" cap="rnd">
              <a:solidFill>
                <a:schemeClr val="accent1"/>
              </a:solidFill>
              <a:round/>
            </a:ln>
            <a:effectLst/>
          </c:spPr>
          <c:marker>
            <c:symbol val="none"/>
          </c:marker>
          <c:cat>
            <c:numRef>
              <c:f>REIT_StdDev!$A$2:$A$28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REIT_StdDev!$B$2:$B$28</c:f>
              <c:numCache>
                <c:formatCode>General</c:formatCode>
                <c:ptCount val="27"/>
                <c:pt idx="0">
                  <c:v>71.584440262569458</c:v>
                </c:pt>
                <c:pt idx="1">
                  <c:v>90.70379224635947</c:v>
                </c:pt>
                <c:pt idx="2">
                  <c:v>92.198097907780763</c:v>
                </c:pt>
                <c:pt idx="3">
                  <c:v>90.249629283163301</c:v>
                </c:pt>
                <c:pt idx="4">
                  <c:v>99.746591761931924</c:v>
                </c:pt>
                <c:pt idx="5">
                  <c:v>97.693496897406561</c:v>
                </c:pt>
                <c:pt idx="6">
                  <c:v>81.67912404183123</c:v>
                </c:pt>
                <c:pt idx="7">
                  <c:v>96.528510966148914</c:v>
                </c:pt>
                <c:pt idx="8">
                  <c:v>94.863295032412282</c:v>
                </c:pt>
                <c:pt idx="9">
                  <c:v>97.018433966143064</c:v>
                </c:pt>
                <c:pt idx="10">
                  <c:v>98.80399097352263</c:v>
                </c:pt>
                <c:pt idx="11">
                  <c:v>83.518977655480839</c:v>
                </c:pt>
                <c:pt idx="12">
                  <c:v>93.676341712234304</c:v>
                </c:pt>
                <c:pt idx="13">
                  <c:v>95.385739000629655</c:v>
                </c:pt>
                <c:pt idx="14">
                  <c:v>97.352246050969114</c:v>
                </c:pt>
                <c:pt idx="15">
                  <c:v>89.775251384654638</c:v>
                </c:pt>
                <c:pt idx="16">
                  <c:v>87.00966611491998</c:v>
                </c:pt>
                <c:pt idx="17">
                  <c:v>95.744209640570602</c:v>
                </c:pt>
                <c:pt idx="18">
                  <c:v>82.117991661334713</c:v>
                </c:pt>
                <c:pt idx="19">
                  <c:v>84.021731522765904</c:v>
                </c:pt>
                <c:pt idx="20">
                  <c:v>79.482218991448832</c:v>
                </c:pt>
                <c:pt idx="21">
                  <c:v>70.590328258118333</c:v>
                </c:pt>
                <c:pt idx="22">
                  <c:v>64.758449482386155</c:v>
                </c:pt>
                <c:pt idx="23">
                  <c:v>66.929093142521097</c:v>
                </c:pt>
                <c:pt idx="24">
                  <c:v>56.966723389253808</c:v>
                </c:pt>
                <c:pt idx="25">
                  <c:v>55.978065059774252</c:v>
                </c:pt>
                <c:pt idx="26">
                  <c:v>66.800792576069355</c:v>
                </c:pt>
              </c:numCache>
            </c:numRef>
          </c:val>
          <c:smooth val="0"/>
          <c:extLst>
            <c:ext xmlns:c16="http://schemas.microsoft.com/office/drawing/2014/chart" uri="{C3380CC4-5D6E-409C-BE32-E72D297353CC}">
              <c16:uniqueId val="{00000000-7236-40EA-A64D-709AF16384DC}"/>
            </c:ext>
          </c:extLst>
        </c:ser>
        <c:dLbls>
          <c:showLegendKey val="0"/>
          <c:showVal val="0"/>
          <c:showCatName val="0"/>
          <c:showSerName val="0"/>
          <c:showPercent val="0"/>
          <c:showBubbleSize val="0"/>
        </c:dLbls>
        <c:marker val="1"/>
        <c:smooth val="0"/>
        <c:axId val="752318600"/>
        <c:axId val="751768656"/>
      </c:lineChart>
      <c:lineChart>
        <c:grouping val="standard"/>
        <c:varyColors val="0"/>
        <c:ser>
          <c:idx val="1"/>
          <c:order val="1"/>
          <c:tx>
            <c:strRef>
              <c:f>REIT_StdDev!$C$1</c:f>
              <c:strCache>
                <c:ptCount val="1"/>
                <c:pt idx="0">
                  <c:v>REIT Risk</c:v>
                </c:pt>
              </c:strCache>
            </c:strRef>
          </c:tx>
          <c:spPr>
            <a:ln w="28575" cap="rnd">
              <a:solidFill>
                <a:schemeClr val="accent2"/>
              </a:solidFill>
              <a:round/>
            </a:ln>
            <a:effectLst/>
          </c:spPr>
          <c:marker>
            <c:symbol val="none"/>
          </c:marker>
          <c:cat>
            <c:numRef>
              <c:f>REIT_StdDev!$A$2:$A$28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REIT_StdDev!$C$2:$C$28</c:f>
              <c:numCache>
                <c:formatCode>General</c:formatCode>
                <c:ptCount val="27"/>
                <c:pt idx="0">
                  <c:v>4.4917836406900049</c:v>
                </c:pt>
                <c:pt idx="1">
                  <c:v>6.1257047940562286</c:v>
                </c:pt>
                <c:pt idx="2">
                  <c:v>4.8131705284981061</c:v>
                </c:pt>
                <c:pt idx="3">
                  <c:v>5.8302622533274731</c:v>
                </c:pt>
                <c:pt idx="4">
                  <c:v>7.4427848587929484</c:v>
                </c:pt>
                <c:pt idx="5">
                  <c:v>8.0756371968244398</c:v>
                </c:pt>
                <c:pt idx="6">
                  <c:v>8.254379507389471</c:v>
                </c:pt>
                <c:pt idx="7">
                  <c:v>7.5415397666462409</c:v>
                </c:pt>
                <c:pt idx="8">
                  <c:v>8.9897776308426227</c:v>
                </c:pt>
                <c:pt idx="9">
                  <c:v>8.549283744269438</c:v>
                </c:pt>
                <c:pt idx="10">
                  <c:v>8.1374573332247397</c:v>
                </c:pt>
                <c:pt idx="11">
                  <c:v>9.6423223434376784</c:v>
                </c:pt>
                <c:pt idx="12">
                  <c:v>10.85634775092074</c:v>
                </c:pt>
                <c:pt idx="13">
                  <c:v>13.07772133904791</c:v>
                </c:pt>
                <c:pt idx="14">
                  <c:v>12.70006668876673</c:v>
                </c:pt>
                <c:pt idx="15">
                  <c:v>11.100602643143541</c:v>
                </c:pt>
                <c:pt idx="16">
                  <c:v>11.40546857695602</c:v>
                </c:pt>
                <c:pt idx="17">
                  <c:v>13.303490002585111</c:v>
                </c:pt>
                <c:pt idx="18">
                  <c:v>14.5142653335195</c:v>
                </c:pt>
                <c:pt idx="19">
                  <c:v>15.727369733982149</c:v>
                </c:pt>
                <c:pt idx="20">
                  <c:v>19.590298724939579</c:v>
                </c:pt>
                <c:pt idx="21">
                  <c:v>22.321536965726899</c:v>
                </c:pt>
                <c:pt idx="22">
                  <c:v>41.344493558907118</c:v>
                </c:pt>
                <c:pt idx="23">
                  <c:v>33.333382245018278</c:v>
                </c:pt>
                <c:pt idx="24">
                  <c:v>21.09740726868192</c:v>
                </c:pt>
                <c:pt idx="25">
                  <c:v>27.05750636478739</c:v>
                </c:pt>
                <c:pt idx="26">
                  <c:v>21.822138108128829</c:v>
                </c:pt>
              </c:numCache>
            </c:numRef>
          </c:val>
          <c:smooth val="0"/>
          <c:extLst>
            <c:ext xmlns:c16="http://schemas.microsoft.com/office/drawing/2014/chart" uri="{C3380CC4-5D6E-409C-BE32-E72D297353CC}">
              <c16:uniqueId val="{00000001-7236-40EA-A64D-709AF16384DC}"/>
            </c:ext>
          </c:extLst>
        </c:ser>
        <c:dLbls>
          <c:showLegendKey val="0"/>
          <c:showVal val="0"/>
          <c:showCatName val="0"/>
          <c:showSerName val="0"/>
          <c:showPercent val="0"/>
          <c:showBubbleSize val="0"/>
        </c:dLbls>
        <c:marker val="1"/>
        <c:smooth val="0"/>
        <c:axId val="751769440"/>
        <c:axId val="751769048"/>
      </c:lineChart>
      <c:catAx>
        <c:axId val="752318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768656"/>
        <c:crosses val="autoZero"/>
        <c:auto val="1"/>
        <c:lblAlgn val="ctr"/>
        <c:lblOffset val="100"/>
        <c:noMultiLvlLbl val="0"/>
      </c:catAx>
      <c:valAx>
        <c:axId val="751768656"/>
        <c:scaling>
          <c:orientation val="minMax"/>
          <c:max val="100"/>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Diversification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318600"/>
        <c:crosses val="autoZero"/>
        <c:crossBetween val="between"/>
      </c:valAx>
      <c:valAx>
        <c:axId val="7517690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Risk</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769440"/>
        <c:crosses val="max"/>
        <c:crossBetween val="between"/>
      </c:valAx>
      <c:catAx>
        <c:axId val="751769440"/>
        <c:scaling>
          <c:orientation val="minMax"/>
        </c:scaling>
        <c:delete val="1"/>
        <c:axPos val="b"/>
        <c:numFmt formatCode="General" sourceLinked="1"/>
        <c:majorTickMark val="none"/>
        <c:minorTickMark val="none"/>
        <c:tickLblPos val="nextTo"/>
        <c:crossAx val="7517690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'3 assets divers risk'!$B$1</c:f>
              <c:strCache>
                <c:ptCount val="1"/>
                <c:pt idx="0">
                  <c:v>Diversification</c:v>
                </c:pt>
              </c:strCache>
            </c:strRef>
          </c:tx>
          <c:spPr>
            <a:ln w="28575" cap="rnd">
              <a:solidFill>
                <a:schemeClr val="accent1"/>
              </a:solidFill>
              <a:round/>
            </a:ln>
            <a:effectLst/>
          </c:spPr>
          <c:marker>
            <c:symbol val="none"/>
          </c:marker>
          <c:cat>
            <c:numRef>
              <c:f>'3 assets divers risk'!$A$2:$A$28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'3 assets divers risk'!$B$2:$B$28</c:f>
              <c:numCache>
                <c:formatCode>General</c:formatCode>
                <c:ptCount val="27"/>
                <c:pt idx="0">
                  <c:v>75.716517007481158</c:v>
                </c:pt>
                <c:pt idx="1">
                  <c:v>89.078052612452453</c:v>
                </c:pt>
                <c:pt idx="2">
                  <c:v>90.498691283390727</c:v>
                </c:pt>
                <c:pt idx="3">
                  <c:v>86.779958447164049</c:v>
                </c:pt>
                <c:pt idx="4">
                  <c:v>99.841941768994445</c:v>
                </c:pt>
                <c:pt idx="5">
                  <c:v>98.589410884517704</c:v>
                </c:pt>
                <c:pt idx="6">
                  <c:v>79.813831037794387</c:v>
                </c:pt>
                <c:pt idx="7">
                  <c:v>94.863005174923899</c:v>
                </c:pt>
                <c:pt idx="8">
                  <c:v>96.241880284618802</c:v>
                </c:pt>
                <c:pt idx="9">
                  <c:v>98.096189267179227</c:v>
                </c:pt>
                <c:pt idx="10">
                  <c:v>98.232472923927858</c:v>
                </c:pt>
                <c:pt idx="11">
                  <c:v>89.815792423526986</c:v>
                </c:pt>
                <c:pt idx="12">
                  <c:v>92.303123308698673</c:v>
                </c:pt>
                <c:pt idx="13">
                  <c:v>94.196537760495488</c:v>
                </c:pt>
                <c:pt idx="14">
                  <c:v>93.568953095421179</c:v>
                </c:pt>
                <c:pt idx="15">
                  <c:v>90.814617177283978</c:v>
                </c:pt>
                <c:pt idx="16">
                  <c:v>91.593934407313967</c:v>
                </c:pt>
                <c:pt idx="17">
                  <c:v>93.656547825732957</c:v>
                </c:pt>
                <c:pt idx="18">
                  <c:v>81.337315496533279</c:v>
                </c:pt>
                <c:pt idx="19">
                  <c:v>73.96393755573186</c:v>
                </c:pt>
                <c:pt idx="20">
                  <c:v>76.719188819719761</c:v>
                </c:pt>
                <c:pt idx="21">
                  <c:v>75.267413955803505</c:v>
                </c:pt>
                <c:pt idx="22">
                  <c:v>68.431919928619877</c:v>
                </c:pt>
                <c:pt idx="23">
                  <c:v>65.204835489359297</c:v>
                </c:pt>
                <c:pt idx="24">
                  <c:v>61.373739303548803</c:v>
                </c:pt>
                <c:pt idx="25">
                  <c:v>58.394915797620499</c:v>
                </c:pt>
                <c:pt idx="26">
                  <c:v>61.565074357739263</c:v>
                </c:pt>
              </c:numCache>
            </c:numRef>
          </c:val>
          <c:smooth val="0"/>
          <c:extLst>
            <c:ext xmlns:c16="http://schemas.microsoft.com/office/drawing/2014/chart" uri="{C3380CC4-5D6E-409C-BE32-E72D297353CC}">
              <c16:uniqueId val="{00000000-C9BA-4670-93E8-B36050E9C234}"/>
            </c:ext>
          </c:extLst>
        </c:ser>
        <c:dLbls>
          <c:showLegendKey val="0"/>
          <c:showVal val="0"/>
          <c:showCatName val="0"/>
          <c:showSerName val="0"/>
          <c:showPercent val="0"/>
          <c:showBubbleSize val="0"/>
        </c:dLbls>
        <c:marker val="1"/>
        <c:smooth val="0"/>
        <c:axId val="751770224"/>
        <c:axId val="597871728"/>
      </c:lineChart>
      <c:lineChart>
        <c:grouping val="standard"/>
        <c:varyColors val="0"/>
        <c:ser>
          <c:idx val="1"/>
          <c:order val="1"/>
          <c:tx>
            <c:strRef>
              <c:f>'3 assets divers risk'!$H$1</c:f>
              <c:strCache>
                <c:ptCount val="1"/>
                <c:pt idx="0">
                  <c:v>Risk</c:v>
                </c:pt>
              </c:strCache>
            </c:strRef>
          </c:tx>
          <c:spPr>
            <a:ln w="28575" cap="rnd">
              <a:solidFill>
                <a:schemeClr val="accent2"/>
              </a:solidFill>
              <a:round/>
            </a:ln>
            <a:effectLst/>
          </c:spPr>
          <c:marker>
            <c:symbol val="none"/>
          </c:marker>
          <c:cat>
            <c:numRef>
              <c:f>'3 assets divers risk'!$A$2:$A$28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'3 assets divers risk'!$H$2:$H$28</c:f>
              <c:numCache>
                <c:formatCode>General</c:formatCode>
                <c:ptCount val="27"/>
                <c:pt idx="0">
                  <c:v>5.6296005645418852</c:v>
                </c:pt>
                <c:pt idx="1">
                  <c:v>7.745110710665096</c:v>
                </c:pt>
                <c:pt idx="2">
                  <c:v>6.3418281500866414</c:v>
                </c:pt>
                <c:pt idx="3">
                  <c:v>8.0564034098910398</c:v>
                </c:pt>
                <c:pt idx="4">
                  <c:v>9.4017732619198622</c:v>
                </c:pt>
                <c:pt idx="5">
                  <c:v>10.4326351600264</c:v>
                </c:pt>
                <c:pt idx="6">
                  <c:v>10.928783870351619</c:v>
                </c:pt>
                <c:pt idx="7">
                  <c:v>10.165190868801499</c:v>
                </c:pt>
                <c:pt idx="8">
                  <c:v>10.444912778637921</c:v>
                </c:pt>
                <c:pt idx="9">
                  <c:v>9.9054583665740861</c:v>
                </c:pt>
                <c:pt idx="10">
                  <c:v>8.7012888247971212</c:v>
                </c:pt>
                <c:pt idx="11">
                  <c:v>12.0055279045367</c:v>
                </c:pt>
                <c:pt idx="12">
                  <c:v>14.52699470197367</c:v>
                </c:pt>
                <c:pt idx="13">
                  <c:v>13.24386126085186</c:v>
                </c:pt>
                <c:pt idx="14">
                  <c:v>14.720702061891711</c:v>
                </c:pt>
                <c:pt idx="15">
                  <c:v>15.418293595363069</c:v>
                </c:pt>
                <c:pt idx="16">
                  <c:v>13.44971383071694</c:v>
                </c:pt>
                <c:pt idx="17">
                  <c:v>13.80174999980783</c:v>
                </c:pt>
                <c:pt idx="18">
                  <c:v>14.35727152361325</c:v>
                </c:pt>
                <c:pt idx="19">
                  <c:v>13.98473989839003</c:v>
                </c:pt>
                <c:pt idx="20">
                  <c:v>20.618156682855421</c:v>
                </c:pt>
                <c:pt idx="21">
                  <c:v>16.68102555886647</c:v>
                </c:pt>
                <c:pt idx="22">
                  <c:v>32.210158177238377</c:v>
                </c:pt>
                <c:pt idx="23">
                  <c:v>25.726405723061621</c:v>
                </c:pt>
                <c:pt idx="24">
                  <c:v>18.387887746454009</c:v>
                </c:pt>
                <c:pt idx="25">
                  <c:v>21.655222053613109</c:v>
                </c:pt>
                <c:pt idx="26">
                  <c:v>17.22858440742408</c:v>
                </c:pt>
              </c:numCache>
            </c:numRef>
          </c:val>
          <c:smooth val="0"/>
          <c:extLst>
            <c:ext xmlns:c16="http://schemas.microsoft.com/office/drawing/2014/chart" uri="{C3380CC4-5D6E-409C-BE32-E72D297353CC}">
              <c16:uniqueId val="{00000001-C9BA-4670-93E8-B36050E9C234}"/>
            </c:ext>
          </c:extLst>
        </c:ser>
        <c:dLbls>
          <c:showLegendKey val="0"/>
          <c:showVal val="0"/>
          <c:showCatName val="0"/>
          <c:showSerName val="0"/>
          <c:showPercent val="0"/>
          <c:showBubbleSize val="0"/>
        </c:dLbls>
        <c:marker val="1"/>
        <c:smooth val="0"/>
        <c:axId val="597872512"/>
        <c:axId val="597872120"/>
      </c:lineChart>
      <c:catAx>
        <c:axId val="751770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871728"/>
        <c:crosses val="autoZero"/>
        <c:auto val="1"/>
        <c:lblAlgn val="ctr"/>
        <c:lblOffset val="100"/>
        <c:noMultiLvlLbl val="0"/>
      </c:catAx>
      <c:valAx>
        <c:axId val="597871728"/>
        <c:scaling>
          <c:orientation val="minMax"/>
          <c:max val="100"/>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Diversificatiion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770224"/>
        <c:crosses val="autoZero"/>
        <c:crossBetween val="between"/>
      </c:valAx>
      <c:valAx>
        <c:axId val="59787212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Risk</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872512"/>
        <c:crosses val="max"/>
        <c:crossBetween val="between"/>
      </c:valAx>
      <c:catAx>
        <c:axId val="597872512"/>
        <c:scaling>
          <c:orientation val="minMax"/>
        </c:scaling>
        <c:delete val="1"/>
        <c:axPos val="b"/>
        <c:numFmt formatCode="General" sourceLinked="1"/>
        <c:majorTickMark val="none"/>
        <c:minorTickMark val="none"/>
        <c:tickLblPos val="nextTo"/>
        <c:crossAx val="5978721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1"/>
          <c:order val="0"/>
          <c:tx>
            <c:strRef>
              <c:f>Equity_Trend_Developed!$L$1</c:f>
              <c:strCache>
                <c:ptCount val="1"/>
                <c:pt idx="0">
                  <c:v>Developed Equity</c:v>
                </c:pt>
              </c:strCache>
            </c:strRef>
          </c:tx>
          <c:spPr>
            <a:ln w="28575" cap="rnd">
              <a:solidFill>
                <a:schemeClr val="accent2"/>
              </a:solidFill>
              <a:round/>
            </a:ln>
            <a:effectLst/>
          </c:spPr>
          <c:marker>
            <c:symbol val="none"/>
          </c:marker>
          <c:cat>
            <c:numRef>
              <c:f>Equity_Trend_Developed!$K$2:$K$28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Equity_Trend_Developed!$L$2:$L$28</c:f>
              <c:numCache>
                <c:formatCode>General</c:formatCode>
                <c:ptCount val="27"/>
                <c:pt idx="0">
                  <c:v>82.700355528982811</c:v>
                </c:pt>
                <c:pt idx="1">
                  <c:v>80.271463007992722</c:v>
                </c:pt>
                <c:pt idx="2">
                  <c:v>80.097645665738995</c:v>
                </c:pt>
                <c:pt idx="3">
                  <c:v>80.157551481523981</c:v>
                </c:pt>
                <c:pt idx="4">
                  <c:v>99.72696101415174</c:v>
                </c:pt>
                <c:pt idx="5">
                  <c:v>97.057118634088155</c:v>
                </c:pt>
                <c:pt idx="6">
                  <c:v>78.425187477043949</c:v>
                </c:pt>
                <c:pt idx="7">
                  <c:v>96.359208083379102</c:v>
                </c:pt>
                <c:pt idx="8">
                  <c:v>95.1707350656241</c:v>
                </c:pt>
                <c:pt idx="9">
                  <c:v>95.412335587600253</c:v>
                </c:pt>
                <c:pt idx="10">
                  <c:v>98.028050126605962</c:v>
                </c:pt>
                <c:pt idx="11">
                  <c:v>73.566028718022608</c:v>
                </c:pt>
                <c:pt idx="12">
                  <c:v>77.124058832851304</c:v>
                </c:pt>
                <c:pt idx="13">
                  <c:v>83.353455854503167</c:v>
                </c:pt>
                <c:pt idx="14">
                  <c:v>79.506793161311464</c:v>
                </c:pt>
                <c:pt idx="15">
                  <c:v>72.331867037510449</c:v>
                </c:pt>
                <c:pt idx="16">
                  <c:v>72.574460349532814</c:v>
                </c:pt>
                <c:pt idx="17">
                  <c:v>76.191950882020052</c:v>
                </c:pt>
                <c:pt idx="18">
                  <c:v>65.050593336335751</c:v>
                </c:pt>
                <c:pt idx="19">
                  <c:v>69.682219062341403</c:v>
                </c:pt>
                <c:pt idx="20">
                  <c:v>62.303821080461923</c:v>
                </c:pt>
                <c:pt idx="21">
                  <c:v>54.57658053895868</c:v>
                </c:pt>
                <c:pt idx="22">
                  <c:v>49.981895000608873</c:v>
                </c:pt>
                <c:pt idx="23">
                  <c:v>53.617682693161022</c:v>
                </c:pt>
                <c:pt idx="24">
                  <c:v>47.91833663053913</c:v>
                </c:pt>
                <c:pt idx="25">
                  <c:v>45.661738235816202</c:v>
                </c:pt>
                <c:pt idx="26">
                  <c:v>50.575482193466932</c:v>
                </c:pt>
              </c:numCache>
            </c:numRef>
          </c:val>
          <c:smooth val="0"/>
          <c:extLst>
            <c:ext xmlns:c16="http://schemas.microsoft.com/office/drawing/2014/chart" uri="{C3380CC4-5D6E-409C-BE32-E72D297353CC}">
              <c16:uniqueId val="{00000000-0CF8-4C37-8300-264E00010C5C}"/>
            </c:ext>
          </c:extLst>
        </c:ser>
        <c:ser>
          <c:idx val="2"/>
          <c:order val="1"/>
          <c:tx>
            <c:strRef>
              <c:f>Equity_Trend_Developed!$M$1</c:f>
              <c:strCache>
                <c:ptCount val="1"/>
                <c:pt idx="0">
                  <c:v>Emerging Equity</c:v>
                </c:pt>
              </c:strCache>
            </c:strRef>
          </c:tx>
          <c:spPr>
            <a:ln w="28575" cap="rnd">
              <a:solidFill>
                <a:schemeClr val="accent3"/>
              </a:solidFill>
              <a:round/>
            </a:ln>
            <a:effectLst/>
          </c:spPr>
          <c:marker>
            <c:symbol val="none"/>
          </c:marker>
          <c:cat>
            <c:numRef>
              <c:f>Equity_Trend_Developed!$K$2:$K$28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Equity_Trend_Developed!$M$2:$M$28</c:f>
              <c:numCache>
                <c:formatCode>General</c:formatCode>
                <c:ptCount val="27"/>
                <c:pt idx="0">
                  <c:v>96.072045864559399</c:v>
                </c:pt>
                <c:pt idx="1">
                  <c:v>91.855777610430749</c:v>
                </c:pt>
                <c:pt idx="2">
                  <c:v>92.436000921473365</c:v>
                </c:pt>
                <c:pt idx="3">
                  <c:v>93.739796945280673</c:v>
                </c:pt>
                <c:pt idx="4">
                  <c:v>99.477734456853867</c:v>
                </c:pt>
                <c:pt idx="5">
                  <c:v>98.628403743363592</c:v>
                </c:pt>
                <c:pt idx="6">
                  <c:v>92.870991451571143</c:v>
                </c:pt>
                <c:pt idx="7">
                  <c:v>97.907145578712303</c:v>
                </c:pt>
                <c:pt idx="8">
                  <c:v>98.313400922859799</c:v>
                </c:pt>
                <c:pt idx="9">
                  <c:v>98.354962865819772</c:v>
                </c:pt>
                <c:pt idx="10">
                  <c:v>99.112857223831114</c:v>
                </c:pt>
                <c:pt idx="11">
                  <c:v>92.837582823114218</c:v>
                </c:pt>
                <c:pt idx="12">
                  <c:v>93.384052658152612</c:v>
                </c:pt>
                <c:pt idx="13">
                  <c:v>95.808364748415798</c:v>
                </c:pt>
                <c:pt idx="14">
                  <c:v>93.193028815022672</c:v>
                </c:pt>
                <c:pt idx="15">
                  <c:v>95.979579302532088</c:v>
                </c:pt>
                <c:pt idx="16">
                  <c:v>97.537248358675356</c:v>
                </c:pt>
                <c:pt idx="17">
                  <c:v>96.7489327320977</c:v>
                </c:pt>
                <c:pt idx="18">
                  <c:v>92.422522188819428</c:v>
                </c:pt>
                <c:pt idx="19">
                  <c:v>92.581012388895772</c:v>
                </c:pt>
                <c:pt idx="20">
                  <c:v>87.583641559621057</c:v>
                </c:pt>
                <c:pt idx="21">
                  <c:v>84.25520595969563</c:v>
                </c:pt>
                <c:pt idx="22">
                  <c:v>78.770205944373956</c:v>
                </c:pt>
                <c:pt idx="23">
                  <c:v>80.879824228181761</c:v>
                </c:pt>
                <c:pt idx="24">
                  <c:v>77.303616790609254</c:v>
                </c:pt>
                <c:pt idx="25">
                  <c:v>80.365842252037964</c:v>
                </c:pt>
                <c:pt idx="26">
                  <c:v>81.213688370194788</c:v>
                </c:pt>
              </c:numCache>
            </c:numRef>
          </c:val>
          <c:smooth val="0"/>
          <c:extLst>
            <c:ext xmlns:c16="http://schemas.microsoft.com/office/drawing/2014/chart" uri="{C3380CC4-5D6E-409C-BE32-E72D297353CC}">
              <c16:uniqueId val="{00000001-0CF8-4C37-8300-264E00010C5C}"/>
            </c:ext>
          </c:extLst>
        </c:ser>
        <c:dLbls>
          <c:showLegendKey val="0"/>
          <c:showVal val="0"/>
          <c:showCatName val="0"/>
          <c:showSerName val="0"/>
          <c:showPercent val="0"/>
          <c:showBubbleSize val="0"/>
        </c:dLbls>
        <c:smooth val="0"/>
        <c:axId val="597873296"/>
        <c:axId val="751463712"/>
      </c:lineChart>
      <c:catAx>
        <c:axId val="59787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463712"/>
        <c:crosses val="autoZero"/>
        <c:auto val="1"/>
        <c:lblAlgn val="ctr"/>
        <c:lblOffset val="100"/>
        <c:noMultiLvlLbl val="0"/>
      </c:catAx>
      <c:valAx>
        <c:axId val="751463712"/>
        <c:scaling>
          <c:orientation val="minMax"/>
          <c:max val="100"/>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87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1"/>
          <c:order val="0"/>
          <c:tx>
            <c:strRef>
              <c:f>Bond_Trend_Developed!$H$1</c:f>
              <c:strCache>
                <c:ptCount val="1"/>
                <c:pt idx="0">
                  <c:v>Developed Bond</c:v>
                </c:pt>
              </c:strCache>
            </c:strRef>
          </c:tx>
          <c:spPr>
            <a:ln w="28575" cap="rnd">
              <a:solidFill>
                <a:schemeClr val="accent2"/>
              </a:solidFill>
              <a:round/>
            </a:ln>
            <a:effectLst/>
          </c:spPr>
          <c:marker>
            <c:symbol val="none"/>
          </c:marker>
          <c:cat>
            <c:numRef>
              <c:f>Bond_Trend_Developed!$G$2:$G$28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Bond_Trend_Developed!$H$2:$H$28</c:f>
              <c:numCache>
                <c:formatCode>General</c:formatCode>
                <c:ptCount val="27"/>
                <c:pt idx="0">
                  <c:v>55.871206542264233</c:v>
                </c:pt>
                <c:pt idx="1">
                  <c:v>93.929639519633511</c:v>
                </c:pt>
                <c:pt idx="2">
                  <c:v>95.550758783004767</c:v>
                </c:pt>
                <c:pt idx="3">
                  <c:v>83.535492492588673</c:v>
                </c:pt>
                <c:pt idx="4">
                  <c:v>99.998223416246773</c:v>
                </c:pt>
                <c:pt idx="5">
                  <c:v>99.691718472337612</c:v>
                </c:pt>
                <c:pt idx="6">
                  <c:v>70.700828611097833</c:v>
                </c:pt>
                <c:pt idx="7">
                  <c:v>91.051162727203945</c:v>
                </c:pt>
                <c:pt idx="8">
                  <c:v>94.818755463362223</c:v>
                </c:pt>
                <c:pt idx="9">
                  <c:v>99.218703857635461</c:v>
                </c:pt>
                <c:pt idx="10">
                  <c:v>97.4144739689376</c:v>
                </c:pt>
                <c:pt idx="11">
                  <c:v>96.78854521022285</c:v>
                </c:pt>
                <c:pt idx="12">
                  <c:v>97.019399862863239</c:v>
                </c:pt>
                <c:pt idx="13">
                  <c:v>98.539203543059045</c:v>
                </c:pt>
                <c:pt idx="14">
                  <c:v>98.881552180752109</c:v>
                </c:pt>
                <c:pt idx="15">
                  <c:v>97.347424658979605</c:v>
                </c:pt>
                <c:pt idx="16">
                  <c:v>98.706537408772832</c:v>
                </c:pt>
                <c:pt idx="17">
                  <c:v>98.77035977141179</c:v>
                </c:pt>
                <c:pt idx="18">
                  <c:v>81.623409357237861</c:v>
                </c:pt>
                <c:pt idx="19">
                  <c:v>59.432563993108403</c:v>
                </c:pt>
                <c:pt idx="20">
                  <c:v>76.667879872517872</c:v>
                </c:pt>
                <c:pt idx="21">
                  <c:v>87.860926399680878</c:v>
                </c:pt>
                <c:pt idx="22">
                  <c:v>77.0477269491181</c:v>
                </c:pt>
                <c:pt idx="23">
                  <c:v>61.872659412761728</c:v>
                </c:pt>
                <c:pt idx="24">
                  <c:v>57.31289335016703</c:v>
                </c:pt>
                <c:pt idx="25">
                  <c:v>58.683519604394426</c:v>
                </c:pt>
                <c:pt idx="26">
                  <c:v>52.09123856414336</c:v>
                </c:pt>
              </c:numCache>
            </c:numRef>
          </c:val>
          <c:smooth val="0"/>
          <c:extLst>
            <c:ext xmlns:c16="http://schemas.microsoft.com/office/drawing/2014/chart" uri="{C3380CC4-5D6E-409C-BE32-E72D297353CC}">
              <c16:uniqueId val="{00000000-E2DB-4F78-AA1B-71CD88BB2EC4}"/>
            </c:ext>
          </c:extLst>
        </c:ser>
        <c:ser>
          <c:idx val="2"/>
          <c:order val="1"/>
          <c:tx>
            <c:strRef>
              <c:f>Bond_Trend_Developed!$I$1</c:f>
              <c:strCache>
                <c:ptCount val="1"/>
                <c:pt idx="0">
                  <c:v>Emerging Bond</c:v>
                </c:pt>
              </c:strCache>
            </c:strRef>
          </c:tx>
          <c:spPr>
            <a:ln w="28575" cap="rnd">
              <a:solidFill>
                <a:schemeClr val="accent3"/>
              </a:solidFill>
              <a:round/>
            </a:ln>
            <a:effectLst/>
          </c:spPr>
          <c:marker>
            <c:symbol val="none"/>
          </c:marker>
          <c:cat>
            <c:numRef>
              <c:f>Bond_Trend_Developed!$G$2:$G$28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Bond_Trend_Developed!$I$2:$I$28</c:f>
              <c:numCache>
                <c:formatCode>General</c:formatCode>
                <c:ptCount val="27"/>
                <c:pt idx="14">
                  <c:v>94.488313687950424</c:v>
                </c:pt>
                <c:pt idx="15">
                  <c:v>100</c:v>
                </c:pt>
                <c:pt idx="16">
                  <c:v>99.769709250942014</c:v>
                </c:pt>
                <c:pt idx="17">
                  <c:v>100</c:v>
                </c:pt>
                <c:pt idx="18">
                  <c:v>90.500706880892878</c:v>
                </c:pt>
                <c:pt idx="19">
                  <c:v>49.834170880836901</c:v>
                </c:pt>
                <c:pt idx="20">
                  <c:v>69.315176908815005</c:v>
                </c:pt>
                <c:pt idx="21">
                  <c:v>72.191715462745222</c:v>
                </c:pt>
                <c:pt idx="22">
                  <c:v>76.469572650525748</c:v>
                </c:pt>
                <c:pt idx="23">
                  <c:v>74.161016772920789</c:v>
                </c:pt>
                <c:pt idx="24">
                  <c:v>74.00289495234847</c:v>
                </c:pt>
                <c:pt idx="25">
                  <c:v>65.638282864868231</c:v>
                </c:pt>
                <c:pt idx="26">
                  <c:v>65.952680888406761</c:v>
                </c:pt>
              </c:numCache>
            </c:numRef>
          </c:val>
          <c:smooth val="0"/>
          <c:extLst>
            <c:ext xmlns:c16="http://schemas.microsoft.com/office/drawing/2014/chart" uri="{C3380CC4-5D6E-409C-BE32-E72D297353CC}">
              <c16:uniqueId val="{00000001-E2DB-4F78-AA1B-71CD88BB2EC4}"/>
            </c:ext>
          </c:extLst>
        </c:ser>
        <c:dLbls>
          <c:showLegendKey val="0"/>
          <c:showVal val="0"/>
          <c:showCatName val="0"/>
          <c:showSerName val="0"/>
          <c:showPercent val="0"/>
          <c:showBubbleSize val="0"/>
        </c:dLbls>
        <c:smooth val="0"/>
        <c:axId val="751464496"/>
        <c:axId val="751464888"/>
      </c:lineChart>
      <c:catAx>
        <c:axId val="751464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464888"/>
        <c:crosses val="autoZero"/>
        <c:auto val="1"/>
        <c:lblAlgn val="ctr"/>
        <c:lblOffset val="100"/>
        <c:noMultiLvlLbl val="0"/>
      </c:catAx>
      <c:valAx>
        <c:axId val="751464888"/>
        <c:scaling>
          <c:orientation val="minMax"/>
          <c:max val="100"/>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464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1"/>
          <c:order val="0"/>
          <c:tx>
            <c:strRef>
              <c:f>REIT_Trend_Developed!$K$1</c:f>
              <c:strCache>
                <c:ptCount val="1"/>
                <c:pt idx="0">
                  <c:v>Developed REIT</c:v>
                </c:pt>
              </c:strCache>
            </c:strRef>
          </c:tx>
          <c:spPr>
            <a:ln w="28575" cap="rnd">
              <a:solidFill>
                <a:schemeClr val="accent2"/>
              </a:solidFill>
              <a:round/>
            </a:ln>
            <a:effectLst/>
          </c:spPr>
          <c:marker>
            <c:symbol val="none"/>
          </c:marker>
          <c:cat>
            <c:numRef>
              <c:f>REIT_Trend_Developed!$J$2:$J$28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REIT_Trend_Developed!$K$2:$K$28</c:f>
              <c:numCache>
                <c:formatCode>General</c:formatCode>
                <c:ptCount val="27"/>
                <c:pt idx="0">
                  <c:v>85.792220131284751</c:v>
                </c:pt>
                <c:pt idx="1">
                  <c:v>90.70379224635947</c:v>
                </c:pt>
                <c:pt idx="2">
                  <c:v>92.198097907780763</c:v>
                </c:pt>
                <c:pt idx="3">
                  <c:v>91.874691069302798</c:v>
                </c:pt>
                <c:pt idx="4">
                  <c:v>99.915530587310613</c:v>
                </c:pt>
                <c:pt idx="5">
                  <c:v>98.462331264937802</c:v>
                </c:pt>
                <c:pt idx="6">
                  <c:v>83.592567289543226</c:v>
                </c:pt>
                <c:pt idx="7">
                  <c:v>95.9595115467569</c:v>
                </c:pt>
                <c:pt idx="8">
                  <c:v>97.064740018521206</c:v>
                </c:pt>
                <c:pt idx="9">
                  <c:v>98.881912737303651</c:v>
                </c:pt>
                <c:pt idx="10">
                  <c:v>99.184445076491585</c:v>
                </c:pt>
                <c:pt idx="11">
                  <c:v>89.699361034675519</c:v>
                </c:pt>
                <c:pt idx="12">
                  <c:v>94.481630797007256</c:v>
                </c:pt>
                <c:pt idx="13">
                  <c:v>96.768665251626715</c:v>
                </c:pt>
                <c:pt idx="14">
                  <c:v>97.570673500703478</c:v>
                </c:pt>
                <c:pt idx="15">
                  <c:v>90.911334564137576</c:v>
                </c:pt>
                <c:pt idx="16">
                  <c:v>90.906766280444003</c:v>
                </c:pt>
                <c:pt idx="17">
                  <c:v>96.131099673245956</c:v>
                </c:pt>
                <c:pt idx="18">
                  <c:v>82.65077736672508</c:v>
                </c:pt>
                <c:pt idx="19">
                  <c:v>83.560943809325963</c:v>
                </c:pt>
                <c:pt idx="20">
                  <c:v>78.462456144350682</c:v>
                </c:pt>
                <c:pt idx="21">
                  <c:v>67.925747979244363</c:v>
                </c:pt>
                <c:pt idx="22">
                  <c:v>62.606784656787198</c:v>
                </c:pt>
                <c:pt idx="23">
                  <c:v>65.324516719685633</c:v>
                </c:pt>
                <c:pt idx="24">
                  <c:v>58.175421474468102</c:v>
                </c:pt>
                <c:pt idx="25">
                  <c:v>50.095167338978399</c:v>
                </c:pt>
                <c:pt idx="26">
                  <c:v>62.516798495983522</c:v>
                </c:pt>
              </c:numCache>
            </c:numRef>
          </c:val>
          <c:smooth val="0"/>
          <c:extLst>
            <c:ext xmlns:c16="http://schemas.microsoft.com/office/drawing/2014/chart" uri="{C3380CC4-5D6E-409C-BE32-E72D297353CC}">
              <c16:uniqueId val="{00000000-FE4F-4685-A522-44A612EE1A43}"/>
            </c:ext>
          </c:extLst>
        </c:ser>
        <c:ser>
          <c:idx val="2"/>
          <c:order val="1"/>
          <c:tx>
            <c:strRef>
              <c:f>REIT_Trend_Developed!$L$1</c:f>
              <c:strCache>
                <c:ptCount val="1"/>
                <c:pt idx="0">
                  <c:v>Emerging REIT</c:v>
                </c:pt>
              </c:strCache>
            </c:strRef>
          </c:tx>
          <c:spPr>
            <a:ln w="28575" cap="rnd">
              <a:solidFill>
                <a:schemeClr val="accent3"/>
              </a:solidFill>
              <a:round/>
            </a:ln>
            <a:effectLst/>
          </c:spPr>
          <c:marker>
            <c:symbol val="none"/>
          </c:marker>
          <c:cat>
            <c:numRef>
              <c:f>REIT_Trend_Developed!$J$2:$J$28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REIT_Trend_Developed!$L$2:$L$28</c:f>
              <c:numCache>
                <c:formatCode>General</c:formatCode>
                <c:ptCount val="27"/>
                <c:pt idx="4">
                  <c:v>100</c:v>
                </c:pt>
                <c:pt idx="5">
                  <c:v>100</c:v>
                </c:pt>
                <c:pt idx="6">
                  <c:v>88.519340513728025</c:v>
                </c:pt>
                <c:pt idx="7">
                  <c:v>99.942507482500645</c:v>
                </c:pt>
                <c:pt idx="8">
                  <c:v>100</c:v>
                </c:pt>
                <c:pt idx="9">
                  <c:v>100</c:v>
                </c:pt>
                <c:pt idx="10">
                  <c:v>99.348385229202123</c:v>
                </c:pt>
                <c:pt idx="11">
                  <c:v>100</c:v>
                </c:pt>
                <c:pt idx="12">
                  <c:v>99.881345609583079</c:v>
                </c:pt>
                <c:pt idx="13">
                  <c:v>98.165111990764814</c:v>
                </c:pt>
                <c:pt idx="14">
                  <c:v>98.034152952390869</c:v>
                </c:pt>
                <c:pt idx="15">
                  <c:v>100</c:v>
                </c:pt>
                <c:pt idx="16">
                  <c:v>100</c:v>
                </c:pt>
                <c:pt idx="17">
                  <c:v>100</c:v>
                </c:pt>
                <c:pt idx="18">
                  <c:v>94.139357240704726</c:v>
                </c:pt>
                <c:pt idx="19">
                  <c:v>89.551184084046596</c:v>
                </c:pt>
                <c:pt idx="20">
                  <c:v>86.620558921135711</c:v>
                </c:pt>
                <c:pt idx="21">
                  <c:v>89.242390210235811</c:v>
                </c:pt>
                <c:pt idx="22">
                  <c:v>79.820103261578566</c:v>
                </c:pt>
                <c:pt idx="23">
                  <c:v>78.161128102369531</c:v>
                </c:pt>
                <c:pt idx="24">
                  <c:v>80.01498339875117</c:v>
                </c:pt>
                <c:pt idx="25">
                  <c:v>72.450178678002743</c:v>
                </c:pt>
                <c:pt idx="26">
                  <c:v>78.795976000310063</c:v>
                </c:pt>
              </c:numCache>
            </c:numRef>
          </c:val>
          <c:smooth val="0"/>
          <c:extLst>
            <c:ext xmlns:c16="http://schemas.microsoft.com/office/drawing/2014/chart" uri="{C3380CC4-5D6E-409C-BE32-E72D297353CC}">
              <c16:uniqueId val="{00000001-FE4F-4685-A522-44A612EE1A43}"/>
            </c:ext>
          </c:extLst>
        </c:ser>
        <c:dLbls>
          <c:showLegendKey val="0"/>
          <c:showVal val="0"/>
          <c:showCatName val="0"/>
          <c:showSerName val="0"/>
          <c:showPercent val="0"/>
          <c:showBubbleSize val="0"/>
        </c:dLbls>
        <c:smooth val="0"/>
        <c:axId val="595870160"/>
        <c:axId val="595870552"/>
      </c:lineChart>
      <c:catAx>
        <c:axId val="595870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870552"/>
        <c:crosses val="autoZero"/>
        <c:auto val="1"/>
        <c:lblAlgn val="ctr"/>
        <c:lblOffset val="100"/>
        <c:noMultiLvlLbl val="0"/>
      </c:catAx>
      <c:valAx>
        <c:axId val="595870552"/>
        <c:scaling>
          <c:orientation val="minMax"/>
          <c:max val="100"/>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870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cat>
            <c:numRef>
              <c:f>eigen_avg!$A$2:$P$2</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eigen_avg!$A$3:$P$3</c:f>
              <c:numCache>
                <c:formatCode>General</c:formatCode>
                <c:ptCount val="16"/>
                <c:pt idx="0">
                  <c:v>38.257370156184898</c:v>
                </c:pt>
                <c:pt idx="1">
                  <c:v>53.662899628650301</c:v>
                </c:pt>
                <c:pt idx="2">
                  <c:v>62.043023581975604</c:v>
                </c:pt>
                <c:pt idx="3">
                  <c:v>67.673363851971359</c:v>
                </c:pt>
                <c:pt idx="4">
                  <c:v>71.907642927879095</c:v>
                </c:pt>
                <c:pt idx="5">
                  <c:v>75.290132434150678</c:v>
                </c:pt>
                <c:pt idx="6">
                  <c:v>78.134287590349999</c:v>
                </c:pt>
                <c:pt idx="7">
                  <c:v>80.555353724536459</c:v>
                </c:pt>
                <c:pt idx="8">
                  <c:v>82.639443866469406</c:v>
                </c:pt>
                <c:pt idx="9">
                  <c:v>84.478393516985804</c:v>
                </c:pt>
                <c:pt idx="10">
                  <c:v>86.125474205682906</c:v>
                </c:pt>
                <c:pt idx="11">
                  <c:v>87.599692816707062</c:v>
                </c:pt>
                <c:pt idx="12">
                  <c:v>88.916939640208398</c:v>
                </c:pt>
                <c:pt idx="13">
                  <c:v>90.103363397401296</c:v>
                </c:pt>
                <c:pt idx="14">
                  <c:v>91.163668855602381</c:v>
                </c:pt>
                <c:pt idx="15">
                  <c:v>92.114622536392602</c:v>
                </c:pt>
              </c:numCache>
            </c:numRef>
          </c:val>
          <c:extLst>
            <c:ext xmlns:c16="http://schemas.microsoft.com/office/drawing/2014/chart" uri="{C3380CC4-5D6E-409C-BE32-E72D297353CC}">
              <c16:uniqueId val="{00000000-09EC-4149-B299-1B007AA4ACCB}"/>
            </c:ext>
          </c:extLst>
        </c:ser>
        <c:dLbls>
          <c:showLegendKey val="0"/>
          <c:showVal val="0"/>
          <c:showCatName val="0"/>
          <c:showSerName val="0"/>
          <c:showPercent val="0"/>
          <c:showBubbleSize val="0"/>
        </c:dLbls>
        <c:gapWidth val="150"/>
        <c:axId val="595871336"/>
        <c:axId val="419670320"/>
      </c:barChart>
      <c:catAx>
        <c:axId val="595871336"/>
        <c:scaling>
          <c:orientation val="minMax"/>
        </c:scaling>
        <c:delete val="0"/>
        <c:axPos val="b"/>
        <c:title>
          <c:tx>
            <c:rich>
              <a:bodyPr/>
              <a:lstStyle/>
              <a:p>
                <a:pPr>
                  <a:defRPr/>
                </a:pPr>
                <a:r>
                  <a:rPr lang="en-IE"/>
                  <a:t>Eigenvalue</a:t>
                </a:r>
              </a:p>
            </c:rich>
          </c:tx>
          <c:overlay val="0"/>
        </c:title>
        <c:numFmt formatCode="General" sourceLinked="1"/>
        <c:majorTickMark val="out"/>
        <c:minorTickMark val="none"/>
        <c:tickLblPos val="nextTo"/>
        <c:crossAx val="419670320"/>
        <c:crosses val="autoZero"/>
        <c:auto val="1"/>
        <c:lblAlgn val="ctr"/>
        <c:lblOffset val="100"/>
        <c:noMultiLvlLbl val="0"/>
      </c:catAx>
      <c:valAx>
        <c:axId val="419670320"/>
        <c:scaling>
          <c:orientation val="minMax"/>
        </c:scaling>
        <c:delete val="0"/>
        <c:axPos val="l"/>
        <c:title>
          <c:tx>
            <c:rich>
              <a:bodyPr rot="-5400000" vert="horz"/>
              <a:lstStyle/>
              <a:p>
                <a:pPr>
                  <a:defRPr/>
                </a:pPr>
                <a:r>
                  <a:rPr lang="en-IE"/>
                  <a:t>Cumulative (%) Variance Explained</a:t>
                </a:r>
              </a:p>
            </c:rich>
          </c:tx>
          <c:overlay val="0"/>
        </c:title>
        <c:numFmt formatCode="General" sourceLinked="1"/>
        <c:majorTickMark val="out"/>
        <c:minorTickMark val="none"/>
        <c:tickLblPos val="nextTo"/>
        <c:crossAx val="595871336"/>
        <c:crosses val="autoZero"/>
        <c:crossBetween val="between"/>
      </c:valAx>
    </c:plotArea>
    <c:plotVisOnly val="1"/>
    <c:dispBlanksAs val="gap"/>
    <c:showDLblsOverMax val="0"/>
  </c:chart>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eigen_trend!$K$1</c:f>
              <c:strCache>
                <c:ptCount val="1"/>
                <c:pt idx="0">
                  <c:v>Eig1</c:v>
                </c:pt>
              </c:strCache>
            </c:strRef>
          </c:tx>
          <c:marker>
            <c:symbol val="none"/>
          </c:marker>
          <c:cat>
            <c:numRef>
              <c:f>eigen_trend!$J$2:$J$29</c:f>
              <c:numCache>
                <c:formatCode>General</c:formatCode>
                <c:ptCount val="28"/>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numCache>
            </c:numRef>
          </c:cat>
          <c:val>
            <c:numRef>
              <c:f>eigen_trend!$K$2:$K$29</c:f>
              <c:numCache>
                <c:formatCode>General</c:formatCode>
                <c:ptCount val="28"/>
                <c:pt idx="0">
                  <c:v>34.876233165941393</c:v>
                </c:pt>
                <c:pt idx="1">
                  <c:v>20.849564756958799</c:v>
                </c:pt>
                <c:pt idx="2">
                  <c:v>33.146204236344502</c:v>
                </c:pt>
                <c:pt idx="3">
                  <c:v>20.24445732013</c:v>
                </c:pt>
                <c:pt idx="4">
                  <c:v>40.678403139228003</c:v>
                </c:pt>
                <c:pt idx="5">
                  <c:v>36.217800180718648</c:v>
                </c:pt>
                <c:pt idx="6">
                  <c:v>41.914851497207728</c:v>
                </c:pt>
                <c:pt idx="7">
                  <c:v>31.5160479948097</c:v>
                </c:pt>
                <c:pt idx="8">
                  <c:v>28.216872004442909</c:v>
                </c:pt>
                <c:pt idx="9">
                  <c:v>30.471514900296501</c:v>
                </c:pt>
                <c:pt idx="10">
                  <c:v>33.176233135393502</c:v>
                </c:pt>
                <c:pt idx="11">
                  <c:v>20.730123684138501</c:v>
                </c:pt>
                <c:pt idx="12">
                  <c:v>28.981313182809981</c:v>
                </c:pt>
                <c:pt idx="13">
                  <c:v>31.425977120027699</c:v>
                </c:pt>
                <c:pt idx="14">
                  <c:v>23.8246618469535</c:v>
                </c:pt>
                <c:pt idx="15">
                  <c:v>30.088620378512079</c:v>
                </c:pt>
                <c:pt idx="16">
                  <c:v>36.483171088369573</c:v>
                </c:pt>
                <c:pt idx="17">
                  <c:v>37.5576452380215</c:v>
                </c:pt>
                <c:pt idx="18">
                  <c:v>32.086774675636143</c:v>
                </c:pt>
                <c:pt idx="19">
                  <c:v>41.2493909377067</c:v>
                </c:pt>
                <c:pt idx="20">
                  <c:v>38.813971990010003</c:v>
                </c:pt>
                <c:pt idx="21">
                  <c:v>49.1241497707951</c:v>
                </c:pt>
                <c:pt idx="22">
                  <c:v>52.553659431653863</c:v>
                </c:pt>
                <c:pt idx="23">
                  <c:v>51.603471258599797</c:v>
                </c:pt>
                <c:pt idx="24">
                  <c:v>50.687829918349273</c:v>
                </c:pt>
                <c:pt idx="25">
                  <c:v>64.224190229070302</c:v>
                </c:pt>
                <c:pt idx="26">
                  <c:v>65.219114708088895</c:v>
                </c:pt>
                <c:pt idx="27">
                  <c:v>65.244116582962903</c:v>
                </c:pt>
              </c:numCache>
            </c:numRef>
          </c:val>
          <c:smooth val="0"/>
          <c:extLst>
            <c:ext xmlns:c16="http://schemas.microsoft.com/office/drawing/2014/chart" uri="{C3380CC4-5D6E-409C-BE32-E72D297353CC}">
              <c16:uniqueId val="{00000000-4AB3-4071-9892-6A281C905522}"/>
            </c:ext>
          </c:extLst>
        </c:ser>
        <c:ser>
          <c:idx val="1"/>
          <c:order val="1"/>
          <c:tx>
            <c:strRef>
              <c:f>eigen_trend!$L$1</c:f>
              <c:strCache>
                <c:ptCount val="1"/>
                <c:pt idx="0">
                  <c:v>Eig2</c:v>
                </c:pt>
              </c:strCache>
            </c:strRef>
          </c:tx>
          <c:marker>
            <c:symbol val="none"/>
          </c:marker>
          <c:cat>
            <c:numRef>
              <c:f>eigen_trend!$J$2:$J$29</c:f>
              <c:numCache>
                <c:formatCode>General</c:formatCode>
                <c:ptCount val="28"/>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numCache>
            </c:numRef>
          </c:cat>
          <c:val>
            <c:numRef>
              <c:f>eigen_trend!$L$2:$L$29</c:f>
              <c:numCache>
                <c:formatCode>General</c:formatCode>
                <c:ptCount val="28"/>
                <c:pt idx="0">
                  <c:v>53.645454763642327</c:v>
                </c:pt>
                <c:pt idx="1">
                  <c:v>37.245612997370301</c:v>
                </c:pt>
                <c:pt idx="2">
                  <c:v>46.886231889260053</c:v>
                </c:pt>
                <c:pt idx="3">
                  <c:v>39.011689102972973</c:v>
                </c:pt>
                <c:pt idx="4">
                  <c:v>60.379298370990298</c:v>
                </c:pt>
                <c:pt idx="5">
                  <c:v>54.742698250018798</c:v>
                </c:pt>
                <c:pt idx="6">
                  <c:v>65.929463990429198</c:v>
                </c:pt>
                <c:pt idx="7">
                  <c:v>53.164854116655</c:v>
                </c:pt>
                <c:pt idx="8">
                  <c:v>46.814238105904103</c:v>
                </c:pt>
                <c:pt idx="9">
                  <c:v>47.642044561690128</c:v>
                </c:pt>
                <c:pt idx="10">
                  <c:v>51.9487246687397</c:v>
                </c:pt>
                <c:pt idx="11">
                  <c:v>32.3282193754332</c:v>
                </c:pt>
                <c:pt idx="12">
                  <c:v>45.993592532500003</c:v>
                </c:pt>
                <c:pt idx="13">
                  <c:v>46.664818354376401</c:v>
                </c:pt>
                <c:pt idx="14">
                  <c:v>36.996366549417573</c:v>
                </c:pt>
                <c:pt idx="15">
                  <c:v>46.7823890000871</c:v>
                </c:pt>
                <c:pt idx="16">
                  <c:v>49.530438871548299</c:v>
                </c:pt>
                <c:pt idx="17">
                  <c:v>50.585604808918198</c:v>
                </c:pt>
                <c:pt idx="18">
                  <c:v>46.743613681520898</c:v>
                </c:pt>
                <c:pt idx="19">
                  <c:v>55.399456438320698</c:v>
                </c:pt>
                <c:pt idx="20">
                  <c:v>50.196449600987698</c:v>
                </c:pt>
                <c:pt idx="21">
                  <c:v>58.721436129568097</c:v>
                </c:pt>
                <c:pt idx="22">
                  <c:v>65.791972407306204</c:v>
                </c:pt>
                <c:pt idx="23">
                  <c:v>67.765562507895979</c:v>
                </c:pt>
                <c:pt idx="24">
                  <c:v>66.814106081531307</c:v>
                </c:pt>
                <c:pt idx="25">
                  <c:v>74.075309270161426</c:v>
                </c:pt>
                <c:pt idx="26">
                  <c:v>77.578368236673384</c:v>
                </c:pt>
                <c:pt idx="27">
                  <c:v>73.183174938287863</c:v>
                </c:pt>
              </c:numCache>
            </c:numRef>
          </c:val>
          <c:smooth val="0"/>
          <c:extLst>
            <c:ext xmlns:c16="http://schemas.microsoft.com/office/drawing/2014/chart" uri="{C3380CC4-5D6E-409C-BE32-E72D297353CC}">
              <c16:uniqueId val="{00000001-4AB3-4071-9892-6A281C905522}"/>
            </c:ext>
          </c:extLst>
        </c:ser>
        <c:ser>
          <c:idx val="2"/>
          <c:order val="2"/>
          <c:tx>
            <c:strRef>
              <c:f>eigen_trend!$M$1</c:f>
              <c:strCache>
                <c:ptCount val="1"/>
                <c:pt idx="0">
                  <c:v>Eig3</c:v>
                </c:pt>
              </c:strCache>
            </c:strRef>
          </c:tx>
          <c:marker>
            <c:symbol val="none"/>
          </c:marker>
          <c:cat>
            <c:numRef>
              <c:f>eigen_trend!$J$2:$J$29</c:f>
              <c:numCache>
                <c:formatCode>General</c:formatCode>
                <c:ptCount val="28"/>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numCache>
            </c:numRef>
          </c:cat>
          <c:val>
            <c:numRef>
              <c:f>eigen_trend!$M$2:$M$29</c:f>
              <c:numCache>
                <c:formatCode>General</c:formatCode>
                <c:ptCount val="28"/>
                <c:pt idx="0">
                  <c:v>61.497186230831602</c:v>
                </c:pt>
                <c:pt idx="1">
                  <c:v>43.354213661389252</c:v>
                </c:pt>
                <c:pt idx="2">
                  <c:v>58.434361954263053</c:v>
                </c:pt>
                <c:pt idx="3">
                  <c:v>49.876416204879497</c:v>
                </c:pt>
                <c:pt idx="4">
                  <c:v>68.83656289892518</c:v>
                </c:pt>
                <c:pt idx="5">
                  <c:v>66.472135332951069</c:v>
                </c:pt>
                <c:pt idx="6">
                  <c:v>73.565599708682299</c:v>
                </c:pt>
                <c:pt idx="7">
                  <c:v>60.194784454450193</c:v>
                </c:pt>
                <c:pt idx="8">
                  <c:v>54.816052013308898</c:v>
                </c:pt>
                <c:pt idx="9">
                  <c:v>57.348334692878311</c:v>
                </c:pt>
                <c:pt idx="10">
                  <c:v>59.156145723969701</c:v>
                </c:pt>
                <c:pt idx="11">
                  <c:v>41.028903750229503</c:v>
                </c:pt>
                <c:pt idx="12">
                  <c:v>57.784152077394459</c:v>
                </c:pt>
                <c:pt idx="13">
                  <c:v>57.801006346432899</c:v>
                </c:pt>
                <c:pt idx="14">
                  <c:v>47.93409300599199</c:v>
                </c:pt>
                <c:pt idx="15">
                  <c:v>55.342236411499293</c:v>
                </c:pt>
                <c:pt idx="16">
                  <c:v>59.1885118380413</c:v>
                </c:pt>
                <c:pt idx="17">
                  <c:v>61.7313902591657</c:v>
                </c:pt>
                <c:pt idx="18">
                  <c:v>58.187873943125197</c:v>
                </c:pt>
                <c:pt idx="19">
                  <c:v>63.645517769593702</c:v>
                </c:pt>
                <c:pt idx="20">
                  <c:v>59.013264403977047</c:v>
                </c:pt>
                <c:pt idx="21">
                  <c:v>66.016021267984499</c:v>
                </c:pt>
                <c:pt idx="22">
                  <c:v>71.301628806593442</c:v>
                </c:pt>
                <c:pt idx="23">
                  <c:v>74.36872068445436</c:v>
                </c:pt>
                <c:pt idx="24">
                  <c:v>73.525244950247895</c:v>
                </c:pt>
                <c:pt idx="25">
                  <c:v>78.736792252215679</c:v>
                </c:pt>
                <c:pt idx="26">
                  <c:v>81.43321884772358</c:v>
                </c:pt>
                <c:pt idx="27">
                  <c:v>76.614290804117203</c:v>
                </c:pt>
              </c:numCache>
            </c:numRef>
          </c:val>
          <c:smooth val="0"/>
          <c:extLst>
            <c:ext xmlns:c16="http://schemas.microsoft.com/office/drawing/2014/chart" uri="{C3380CC4-5D6E-409C-BE32-E72D297353CC}">
              <c16:uniqueId val="{00000002-4AB3-4071-9892-6A281C905522}"/>
            </c:ext>
          </c:extLst>
        </c:ser>
        <c:ser>
          <c:idx val="3"/>
          <c:order val="3"/>
          <c:tx>
            <c:strRef>
              <c:f>eigen_trend!$N$1</c:f>
              <c:strCache>
                <c:ptCount val="1"/>
                <c:pt idx="0">
                  <c:v>Eig4</c:v>
                </c:pt>
              </c:strCache>
            </c:strRef>
          </c:tx>
          <c:marker>
            <c:symbol val="none"/>
          </c:marker>
          <c:cat>
            <c:numRef>
              <c:f>eigen_trend!$J$2:$J$29</c:f>
              <c:numCache>
                <c:formatCode>General</c:formatCode>
                <c:ptCount val="28"/>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numCache>
            </c:numRef>
          </c:cat>
          <c:val>
            <c:numRef>
              <c:f>eigen_trend!$N$2:$N$29</c:f>
              <c:numCache>
                <c:formatCode>General</c:formatCode>
                <c:ptCount val="28"/>
                <c:pt idx="0">
                  <c:v>66.321950763333206</c:v>
                </c:pt>
                <c:pt idx="1">
                  <c:v>49.014188007370997</c:v>
                </c:pt>
                <c:pt idx="2">
                  <c:v>64.852317530446086</c:v>
                </c:pt>
                <c:pt idx="3">
                  <c:v>57.724039129065602</c:v>
                </c:pt>
                <c:pt idx="4">
                  <c:v>75.302802100906604</c:v>
                </c:pt>
                <c:pt idx="5">
                  <c:v>71.405081399853643</c:v>
                </c:pt>
                <c:pt idx="6">
                  <c:v>77.775812752985786</c:v>
                </c:pt>
                <c:pt idx="7">
                  <c:v>65.669232665659578</c:v>
                </c:pt>
                <c:pt idx="8">
                  <c:v>59.892863840368598</c:v>
                </c:pt>
                <c:pt idx="9">
                  <c:v>62.945610180216804</c:v>
                </c:pt>
                <c:pt idx="10">
                  <c:v>65.535626306952182</c:v>
                </c:pt>
                <c:pt idx="11">
                  <c:v>48.026634409804998</c:v>
                </c:pt>
                <c:pt idx="12">
                  <c:v>66.396609798751982</c:v>
                </c:pt>
                <c:pt idx="13">
                  <c:v>66.840354432659794</c:v>
                </c:pt>
                <c:pt idx="14">
                  <c:v>55.6191750697269</c:v>
                </c:pt>
                <c:pt idx="15">
                  <c:v>61.099790799414798</c:v>
                </c:pt>
                <c:pt idx="16">
                  <c:v>64.525690414728942</c:v>
                </c:pt>
                <c:pt idx="17">
                  <c:v>68.398957759955678</c:v>
                </c:pt>
                <c:pt idx="18">
                  <c:v>65.485958717304243</c:v>
                </c:pt>
                <c:pt idx="19">
                  <c:v>69.03238477281576</c:v>
                </c:pt>
                <c:pt idx="20">
                  <c:v>64.009382619899625</c:v>
                </c:pt>
                <c:pt idx="21">
                  <c:v>70.726005844138299</c:v>
                </c:pt>
                <c:pt idx="22">
                  <c:v>75.914140115614401</c:v>
                </c:pt>
                <c:pt idx="23">
                  <c:v>78.425673831599894</c:v>
                </c:pt>
                <c:pt idx="24">
                  <c:v>78.061396033294642</c:v>
                </c:pt>
                <c:pt idx="25">
                  <c:v>81.908249550271506</c:v>
                </c:pt>
                <c:pt idx="26">
                  <c:v>84.395448022824752</c:v>
                </c:pt>
                <c:pt idx="27">
                  <c:v>79.548810985231697</c:v>
                </c:pt>
              </c:numCache>
            </c:numRef>
          </c:val>
          <c:smooth val="0"/>
          <c:extLst>
            <c:ext xmlns:c16="http://schemas.microsoft.com/office/drawing/2014/chart" uri="{C3380CC4-5D6E-409C-BE32-E72D297353CC}">
              <c16:uniqueId val="{00000003-4AB3-4071-9892-6A281C905522}"/>
            </c:ext>
          </c:extLst>
        </c:ser>
        <c:ser>
          <c:idx val="4"/>
          <c:order val="4"/>
          <c:tx>
            <c:strRef>
              <c:f>eigen_trend!$O$1</c:f>
              <c:strCache>
                <c:ptCount val="1"/>
                <c:pt idx="0">
                  <c:v>Eig5</c:v>
                </c:pt>
              </c:strCache>
            </c:strRef>
          </c:tx>
          <c:marker>
            <c:symbol val="none"/>
          </c:marker>
          <c:cat>
            <c:numRef>
              <c:f>eigen_trend!$J$2:$J$29</c:f>
              <c:numCache>
                <c:formatCode>General</c:formatCode>
                <c:ptCount val="28"/>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numCache>
            </c:numRef>
          </c:cat>
          <c:val>
            <c:numRef>
              <c:f>eigen_trend!$O$2:$O$29</c:f>
              <c:numCache>
                <c:formatCode>General</c:formatCode>
                <c:ptCount val="28"/>
                <c:pt idx="0">
                  <c:v>70.902319185324401</c:v>
                </c:pt>
                <c:pt idx="1">
                  <c:v>54.297239220092699</c:v>
                </c:pt>
                <c:pt idx="2">
                  <c:v>70.181369555013802</c:v>
                </c:pt>
                <c:pt idx="3">
                  <c:v>62.832276169275801</c:v>
                </c:pt>
                <c:pt idx="4">
                  <c:v>78.615321993347806</c:v>
                </c:pt>
                <c:pt idx="5">
                  <c:v>74.843127763662096</c:v>
                </c:pt>
                <c:pt idx="6">
                  <c:v>80.832126088401083</c:v>
                </c:pt>
                <c:pt idx="7">
                  <c:v>69.834142859716778</c:v>
                </c:pt>
                <c:pt idx="8">
                  <c:v>64.575044454384042</c:v>
                </c:pt>
                <c:pt idx="9">
                  <c:v>67.368926000119401</c:v>
                </c:pt>
                <c:pt idx="10">
                  <c:v>69.966787919417698</c:v>
                </c:pt>
                <c:pt idx="11">
                  <c:v>54.501746407474563</c:v>
                </c:pt>
                <c:pt idx="12">
                  <c:v>72.099181745043097</c:v>
                </c:pt>
                <c:pt idx="13">
                  <c:v>73.308030870055205</c:v>
                </c:pt>
                <c:pt idx="14">
                  <c:v>62.188646772662082</c:v>
                </c:pt>
                <c:pt idx="15">
                  <c:v>66.2169205536443</c:v>
                </c:pt>
                <c:pt idx="16">
                  <c:v>68.645625240165998</c:v>
                </c:pt>
                <c:pt idx="17">
                  <c:v>72.512259208956195</c:v>
                </c:pt>
                <c:pt idx="18">
                  <c:v>69.646353596078782</c:v>
                </c:pt>
                <c:pt idx="19">
                  <c:v>72.914445133589226</c:v>
                </c:pt>
                <c:pt idx="20">
                  <c:v>68.126700810539532</c:v>
                </c:pt>
                <c:pt idx="21">
                  <c:v>74.579862943945599</c:v>
                </c:pt>
                <c:pt idx="22">
                  <c:v>79.130091561403958</c:v>
                </c:pt>
                <c:pt idx="23">
                  <c:v>81.50687729787596</c:v>
                </c:pt>
                <c:pt idx="24">
                  <c:v>81.298667773600599</c:v>
                </c:pt>
                <c:pt idx="25">
                  <c:v>84.300120980817496</c:v>
                </c:pt>
                <c:pt idx="26">
                  <c:v>86.174608340629405</c:v>
                </c:pt>
                <c:pt idx="27">
                  <c:v>82.015181535377295</c:v>
                </c:pt>
              </c:numCache>
            </c:numRef>
          </c:val>
          <c:smooth val="0"/>
          <c:extLst>
            <c:ext xmlns:c16="http://schemas.microsoft.com/office/drawing/2014/chart" uri="{C3380CC4-5D6E-409C-BE32-E72D297353CC}">
              <c16:uniqueId val="{00000004-4AB3-4071-9892-6A281C905522}"/>
            </c:ext>
          </c:extLst>
        </c:ser>
        <c:ser>
          <c:idx val="5"/>
          <c:order val="5"/>
          <c:tx>
            <c:strRef>
              <c:f>eigen_trend!$P$1</c:f>
              <c:strCache>
                <c:ptCount val="1"/>
                <c:pt idx="0">
                  <c:v>Eig6</c:v>
                </c:pt>
              </c:strCache>
            </c:strRef>
          </c:tx>
          <c:marker>
            <c:symbol val="none"/>
          </c:marker>
          <c:cat>
            <c:numRef>
              <c:f>eigen_trend!$J$2:$J$29</c:f>
              <c:numCache>
                <c:formatCode>General</c:formatCode>
                <c:ptCount val="28"/>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numCache>
            </c:numRef>
          </c:cat>
          <c:val>
            <c:numRef>
              <c:f>eigen_trend!$P$2:$P$29</c:f>
              <c:numCache>
                <c:formatCode>General</c:formatCode>
                <c:ptCount val="28"/>
                <c:pt idx="0">
                  <c:v>74.805272762370763</c:v>
                </c:pt>
                <c:pt idx="1">
                  <c:v>58.998709426922701</c:v>
                </c:pt>
                <c:pt idx="2">
                  <c:v>73.894914954841397</c:v>
                </c:pt>
                <c:pt idx="3">
                  <c:v>67.006040053831725</c:v>
                </c:pt>
                <c:pt idx="4">
                  <c:v>81.167121461625598</c:v>
                </c:pt>
                <c:pt idx="5">
                  <c:v>77.869032898543026</c:v>
                </c:pt>
                <c:pt idx="6">
                  <c:v>83.086676721387505</c:v>
                </c:pt>
                <c:pt idx="7">
                  <c:v>73.553529716812307</c:v>
                </c:pt>
                <c:pt idx="8">
                  <c:v>68.379341196110587</c:v>
                </c:pt>
                <c:pt idx="9">
                  <c:v>71.497601227652495</c:v>
                </c:pt>
                <c:pt idx="10">
                  <c:v>73.461445345292802</c:v>
                </c:pt>
                <c:pt idx="11">
                  <c:v>60.0360106777214</c:v>
                </c:pt>
                <c:pt idx="12">
                  <c:v>76.4786178142176</c:v>
                </c:pt>
                <c:pt idx="13">
                  <c:v>77.176391037794986</c:v>
                </c:pt>
                <c:pt idx="14">
                  <c:v>67.254571678302398</c:v>
                </c:pt>
                <c:pt idx="15">
                  <c:v>70.202063006492082</c:v>
                </c:pt>
                <c:pt idx="16">
                  <c:v>72.32756937612136</c:v>
                </c:pt>
                <c:pt idx="17">
                  <c:v>75.259790515338679</c:v>
                </c:pt>
                <c:pt idx="18">
                  <c:v>72.566786553995158</c:v>
                </c:pt>
                <c:pt idx="19">
                  <c:v>75.805958072096388</c:v>
                </c:pt>
                <c:pt idx="20">
                  <c:v>71.878905164205563</c:v>
                </c:pt>
                <c:pt idx="21">
                  <c:v>77.681118152063505</c:v>
                </c:pt>
                <c:pt idx="22">
                  <c:v>81.704790584082801</c:v>
                </c:pt>
                <c:pt idx="23">
                  <c:v>83.972131970323758</c:v>
                </c:pt>
                <c:pt idx="24">
                  <c:v>83.986720282308397</c:v>
                </c:pt>
                <c:pt idx="25">
                  <c:v>86.288588085307794</c:v>
                </c:pt>
                <c:pt idx="26">
                  <c:v>87.69681475082686</c:v>
                </c:pt>
                <c:pt idx="27">
                  <c:v>84.087194669629994</c:v>
                </c:pt>
              </c:numCache>
            </c:numRef>
          </c:val>
          <c:smooth val="0"/>
          <c:extLst>
            <c:ext xmlns:c16="http://schemas.microsoft.com/office/drawing/2014/chart" uri="{C3380CC4-5D6E-409C-BE32-E72D297353CC}">
              <c16:uniqueId val="{00000005-4AB3-4071-9892-6A281C905522}"/>
            </c:ext>
          </c:extLst>
        </c:ser>
        <c:ser>
          <c:idx val="6"/>
          <c:order val="6"/>
          <c:tx>
            <c:strRef>
              <c:f>eigen_trend!$Q$1</c:f>
              <c:strCache>
                <c:ptCount val="1"/>
                <c:pt idx="0">
                  <c:v>Eig7</c:v>
                </c:pt>
              </c:strCache>
            </c:strRef>
          </c:tx>
          <c:marker>
            <c:symbol val="none"/>
          </c:marker>
          <c:cat>
            <c:numRef>
              <c:f>eigen_trend!$J$2:$J$29</c:f>
              <c:numCache>
                <c:formatCode>General</c:formatCode>
                <c:ptCount val="28"/>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numCache>
            </c:numRef>
          </c:cat>
          <c:val>
            <c:numRef>
              <c:f>eigen_trend!$Q$2:$Q$29</c:f>
              <c:numCache>
                <c:formatCode>General</c:formatCode>
                <c:ptCount val="28"/>
                <c:pt idx="0">
                  <c:v>77.722688398659088</c:v>
                </c:pt>
                <c:pt idx="1">
                  <c:v>63.201602476593997</c:v>
                </c:pt>
                <c:pt idx="2">
                  <c:v>77.158826937401685</c:v>
                </c:pt>
                <c:pt idx="3">
                  <c:v>70.616659312412281</c:v>
                </c:pt>
                <c:pt idx="4">
                  <c:v>83.518358547573058</c:v>
                </c:pt>
                <c:pt idx="5">
                  <c:v>80.307487707440458</c:v>
                </c:pt>
                <c:pt idx="6">
                  <c:v>85.068293597254083</c:v>
                </c:pt>
                <c:pt idx="7">
                  <c:v>76.830475849526707</c:v>
                </c:pt>
                <c:pt idx="8">
                  <c:v>71.601772017774252</c:v>
                </c:pt>
                <c:pt idx="9">
                  <c:v>74.660227182116202</c:v>
                </c:pt>
                <c:pt idx="10">
                  <c:v>76.484387166401802</c:v>
                </c:pt>
                <c:pt idx="11">
                  <c:v>64.618976248547199</c:v>
                </c:pt>
                <c:pt idx="12">
                  <c:v>80.238616354216703</c:v>
                </c:pt>
                <c:pt idx="13">
                  <c:v>80.191899321752004</c:v>
                </c:pt>
                <c:pt idx="14">
                  <c:v>71.02470572579486</c:v>
                </c:pt>
                <c:pt idx="15">
                  <c:v>73.268607063508583</c:v>
                </c:pt>
                <c:pt idx="16">
                  <c:v>75.442660956568005</c:v>
                </c:pt>
                <c:pt idx="17">
                  <c:v>77.915297106238782</c:v>
                </c:pt>
                <c:pt idx="18">
                  <c:v>75.262618611168193</c:v>
                </c:pt>
                <c:pt idx="19">
                  <c:v>78.469353739998098</c:v>
                </c:pt>
                <c:pt idx="20">
                  <c:v>75.132440049842899</c:v>
                </c:pt>
                <c:pt idx="21">
                  <c:v>80.374931897139007</c:v>
                </c:pt>
                <c:pt idx="22">
                  <c:v>83.834027017265782</c:v>
                </c:pt>
                <c:pt idx="23">
                  <c:v>86.151862559635262</c:v>
                </c:pt>
                <c:pt idx="24">
                  <c:v>85.978712176230886</c:v>
                </c:pt>
                <c:pt idx="25">
                  <c:v>87.814899733032703</c:v>
                </c:pt>
                <c:pt idx="26">
                  <c:v>88.979645495510695</c:v>
                </c:pt>
                <c:pt idx="27">
                  <c:v>85.890019280195105</c:v>
                </c:pt>
              </c:numCache>
            </c:numRef>
          </c:val>
          <c:smooth val="0"/>
          <c:extLst>
            <c:ext xmlns:c16="http://schemas.microsoft.com/office/drawing/2014/chart" uri="{C3380CC4-5D6E-409C-BE32-E72D297353CC}">
              <c16:uniqueId val="{00000006-4AB3-4071-9892-6A281C905522}"/>
            </c:ext>
          </c:extLst>
        </c:ser>
        <c:ser>
          <c:idx val="7"/>
          <c:order val="7"/>
          <c:tx>
            <c:strRef>
              <c:f>eigen_trend!$R$1</c:f>
              <c:strCache>
                <c:ptCount val="1"/>
                <c:pt idx="0">
                  <c:v>Eig8</c:v>
                </c:pt>
              </c:strCache>
            </c:strRef>
          </c:tx>
          <c:marker>
            <c:symbol val="none"/>
          </c:marker>
          <c:cat>
            <c:numRef>
              <c:f>eigen_trend!$J$2:$J$29</c:f>
              <c:numCache>
                <c:formatCode>General</c:formatCode>
                <c:ptCount val="28"/>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numCache>
            </c:numRef>
          </c:cat>
          <c:val>
            <c:numRef>
              <c:f>eigen_trend!$R$2:$R$29</c:f>
              <c:numCache>
                <c:formatCode>General</c:formatCode>
                <c:ptCount val="28"/>
                <c:pt idx="0">
                  <c:v>79.926755373803843</c:v>
                </c:pt>
                <c:pt idx="1">
                  <c:v>66.8690268671631</c:v>
                </c:pt>
                <c:pt idx="2">
                  <c:v>79.834315133028042</c:v>
                </c:pt>
                <c:pt idx="3">
                  <c:v>73.617772626231542</c:v>
                </c:pt>
                <c:pt idx="4">
                  <c:v>85.488019309098405</c:v>
                </c:pt>
                <c:pt idx="5">
                  <c:v>82.564919509605701</c:v>
                </c:pt>
                <c:pt idx="6">
                  <c:v>86.724306403191861</c:v>
                </c:pt>
                <c:pt idx="7">
                  <c:v>79.697242175306883</c:v>
                </c:pt>
                <c:pt idx="8">
                  <c:v>74.568032154351684</c:v>
                </c:pt>
                <c:pt idx="9">
                  <c:v>77.584383565026698</c:v>
                </c:pt>
                <c:pt idx="10">
                  <c:v>78.907409640137203</c:v>
                </c:pt>
                <c:pt idx="11">
                  <c:v>68.642771185355542</c:v>
                </c:pt>
                <c:pt idx="12">
                  <c:v>82.985666417960104</c:v>
                </c:pt>
                <c:pt idx="13">
                  <c:v>82.62959867011358</c:v>
                </c:pt>
                <c:pt idx="14">
                  <c:v>74.211504531454182</c:v>
                </c:pt>
                <c:pt idx="15">
                  <c:v>75.698558748472962</c:v>
                </c:pt>
                <c:pt idx="16">
                  <c:v>78.149706736747561</c:v>
                </c:pt>
                <c:pt idx="17">
                  <c:v>80.399051352436786</c:v>
                </c:pt>
                <c:pt idx="18">
                  <c:v>77.461690714903</c:v>
                </c:pt>
                <c:pt idx="19">
                  <c:v>80.764816803976302</c:v>
                </c:pt>
                <c:pt idx="20">
                  <c:v>78.010708852754533</c:v>
                </c:pt>
                <c:pt idx="21">
                  <c:v>82.780219474054306</c:v>
                </c:pt>
                <c:pt idx="22">
                  <c:v>85.632821240314101</c:v>
                </c:pt>
                <c:pt idx="23">
                  <c:v>88.095500236808078</c:v>
                </c:pt>
                <c:pt idx="24">
                  <c:v>87.6166801218194</c:v>
                </c:pt>
                <c:pt idx="25">
                  <c:v>89.131634734071199</c:v>
                </c:pt>
                <c:pt idx="26">
                  <c:v>90.100963290042998</c:v>
                </c:pt>
                <c:pt idx="27">
                  <c:v>87.455828418790261</c:v>
                </c:pt>
              </c:numCache>
            </c:numRef>
          </c:val>
          <c:smooth val="0"/>
          <c:extLst>
            <c:ext xmlns:c16="http://schemas.microsoft.com/office/drawing/2014/chart" uri="{C3380CC4-5D6E-409C-BE32-E72D297353CC}">
              <c16:uniqueId val="{00000007-4AB3-4071-9892-6A281C905522}"/>
            </c:ext>
          </c:extLst>
        </c:ser>
        <c:ser>
          <c:idx val="8"/>
          <c:order val="8"/>
          <c:tx>
            <c:strRef>
              <c:f>eigen_trend!$S$1</c:f>
              <c:strCache>
                <c:ptCount val="1"/>
                <c:pt idx="0">
                  <c:v>Eig9</c:v>
                </c:pt>
              </c:strCache>
            </c:strRef>
          </c:tx>
          <c:marker>
            <c:symbol val="none"/>
          </c:marker>
          <c:cat>
            <c:numRef>
              <c:f>eigen_trend!$J$2:$J$29</c:f>
              <c:numCache>
                <c:formatCode>General</c:formatCode>
                <c:ptCount val="28"/>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numCache>
            </c:numRef>
          </c:cat>
          <c:val>
            <c:numRef>
              <c:f>eigen_trend!$S$2:$S$29</c:f>
              <c:numCache>
                <c:formatCode>General</c:formatCode>
                <c:ptCount val="28"/>
                <c:pt idx="0">
                  <c:v>81.921822437060882</c:v>
                </c:pt>
                <c:pt idx="1">
                  <c:v>69.945979876064726</c:v>
                </c:pt>
                <c:pt idx="2">
                  <c:v>82.051380069624443</c:v>
                </c:pt>
                <c:pt idx="3">
                  <c:v>76.521080335430142</c:v>
                </c:pt>
                <c:pt idx="4">
                  <c:v>87.128797377301879</c:v>
                </c:pt>
                <c:pt idx="5">
                  <c:v>84.564170610550278</c:v>
                </c:pt>
                <c:pt idx="6">
                  <c:v>88.236964048093498</c:v>
                </c:pt>
                <c:pt idx="7">
                  <c:v>82.167261220082693</c:v>
                </c:pt>
                <c:pt idx="8">
                  <c:v>77.317094122134563</c:v>
                </c:pt>
                <c:pt idx="9">
                  <c:v>80.148600196549225</c:v>
                </c:pt>
                <c:pt idx="10">
                  <c:v>81.055668382380063</c:v>
                </c:pt>
                <c:pt idx="11">
                  <c:v>71.762356687203393</c:v>
                </c:pt>
                <c:pt idx="12">
                  <c:v>85.172341206454576</c:v>
                </c:pt>
                <c:pt idx="13">
                  <c:v>84.725448470964807</c:v>
                </c:pt>
                <c:pt idx="14">
                  <c:v>76.938219777546195</c:v>
                </c:pt>
                <c:pt idx="15">
                  <c:v>77.982029215973995</c:v>
                </c:pt>
                <c:pt idx="16">
                  <c:v>80.436522444956793</c:v>
                </c:pt>
                <c:pt idx="17">
                  <c:v>82.452807525633659</c:v>
                </c:pt>
                <c:pt idx="18">
                  <c:v>79.47442251003298</c:v>
                </c:pt>
                <c:pt idx="19">
                  <c:v>82.802736538205195</c:v>
                </c:pt>
                <c:pt idx="20">
                  <c:v>80.36868415119568</c:v>
                </c:pt>
                <c:pt idx="21">
                  <c:v>84.954805965189294</c:v>
                </c:pt>
                <c:pt idx="22">
                  <c:v>87.273401808280425</c:v>
                </c:pt>
                <c:pt idx="23">
                  <c:v>89.540900670420683</c:v>
                </c:pt>
                <c:pt idx="24">
                  <c:v>88.948517830534158</c:v>
                </c:pt>
                <c:pt idx="25">
                  <c:v>90.286370809101442</c:v>
                </c:pt>
                <c:pt idx="26">
                  <c:v>91.078695378963943</c:v>
                </c:pt>
                <c:pt idx="27">
                  <c:v>88.647348595216201</c:v>
                </c:pt>
              </c:numCache>
            </c:numRef>
          </c:val>
          <c:smooth val="0"/>
          <c:extLst>
            <c:ext xmlns:c16="http://schemas.microsoft.com/office/drawing/2014/chart" uri="{C3380CC4-5D6E-409C-BE32-E72D297353CC}">
              <c16:uniqueId val="{00000008-4AB3-4071-9892-6A281C905522}"/>
            </c:ext>
          </c:extLst>
        </c:ser>
        <c:ser>
          <c:idx val="9"/>
          <c:order val="9"/>
          <c:tx>
            <c:strRef>
              <c:f>eigen_trend!$T$1</c:f>
              <c:strCache>
                <c:ptCount val="1"/>
                <c:pt idx="0">
                  <c:v>Eig10</c:v>
                </c:pt>
              </c:strCache>
            </c:strRef>
          </c:tx>
          <c:marker>
            <c:symbol val="none"/>
          </c:marker>
          <c:cat>
            <c:numRef>
              <c:f>eigen_trend!$J$2:$J$29</c:f>
              <c:numCache>
                <c:formatCode>General</c:formatCode>
                <c:ptCount val="28"/>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numCache>
            </c:numRef>
          </c:cat>
          <c:val>
            <c:numRef>
              <c:f>eigen_trend!$T$2:$T$29</c:f>
              <c:numCache>
                <c:formatCode>General</c:formatCode>
                <c:ptCount val="28"/>
                <c:pt idx="0">
                  <c:v>83.755579221588079</c:v>
                </c:pt>
                <c:pt idx="1">
                  <c:v>72.7393436493076</c:v>
                </c:pt>
                <c:pt idx="2">
                  <c:v>84.098222494555202</c:v>
                </c:pt>
                <c:pt idx="3">
                  <c:v>79.089984324898779</c:v>
                </c:pt>
                <c:pt idx="4">
                  <c:v>88.630618071216503</c:v>
                </c:pt>
                <c:pt idx="5">
                  <c:v>86.283896910608362</c:v>
                </c:pt>
                <c:pt idx="6">
                  <c:v>89.497125326424381</c:v>
                </c:pt>
                <c:pt idx="7">
                  <c:v>84.209630850829626</c:v>
                </c:pt>
                <c:pt idx="8">
                  <c:v>79.821213988089696</c:v>
                </c:pt>
                <c:pt idx="9">
                  <c:v>82.293690985064302</c:v>
                </c:pt>
                <c:pt idx="10">
                  <c:v>82.997034126787</c:v>
                </c:pt>
                <c:pt idx="11">
                  <c:v>74.563344325568863</c:v>
                </c:pt>
                <c:pt idx="12">
                  <c:v>87.015609440452096</c:v>
                </c:pt>
                <c:pt idx="13">
                  <c:v>86.532241903754141</c:v>
                </c:pt>
                <c:pt idx="14">
                  <c:v>79.440210959789894</c:v>
                </c:pt>
                <c:pt idx="15">
                  <c:v>80.126461445829662</c:v>
                </c:pt>
                <c:pt idx="16">
                  <c:v>82.497179950179202</c:v>
                </c:pt>
                <c:pt idx="17">
                  <c:v>84.167457358618563</c:v>
                </c:pt>
                <c:pt idx="18">
                  <c:v>81.404920427074202</c:v>
                </c:pt>
                <c:pt idx="19">
                  <c:v>84.710977657280381</c:v>
                </c:pt>
                <c:pt idx="20">
                  <c:v>82.392964599144193</c:v>
                </c:pt>
                <c:pt idx="21">
                  <c:v>86.768622270061698</c:v>
                </c:pt>
                <c:pt idx="22">
                  <c:v>88.646045662663198</c:v>
                </c:pt>
                <c:pt idx="23">
                  <c:v>90.79079076905488</c:v>
                </c:pt>
                <c:pt idx="24">
                  <c:v>90.063800141639362</c:v>
                </c:pt>
                <c:pt idx="25">
                  <c:v>91.211134640457203</c:v>
                </c:pt>
                <c:pt idx="26">
                  <c:v>91.962578308585094</c:v>
                </c:pt>
                <c:pt idx="27">
                  <c:v>89.684338666082141</c:v>
                </c:pt>
              </c:numCache>
            </c:numRef>
          </c:val>
          <c:smooth val="0"/>
          <c:extLst>
            <c:ext xmlns:c16="http://schemas.microsoft.com/office/drawing/2014/chart" uri="{C3380CC4-5D6E-409C-BE32-E72D297353CC}">
              <c16:uniqueId val="{00000009-4AB3-4071-9892-6A281C905522}"/>
            </c:ext>
          </c:extLst>
        </c:ser>
        <c:ser>
          <c:idx val="10"/>
          <c:order val="10"/>
          <c:tx>
            <c:strRef>
              <c:f>eigen_trend!$U$1</c:f>
              <c:strCache>
                <c:ptCount val="1"/>
                <c:pt idx="0">
                  <c:v>Eig11</c:v>
                </c:pt>
              </c:strCache>
            </c:strRef>
          </c:tx>
          <c:marker>
            <c:symbol val="none"/>
          </c:marker>
          <c:cat>
            <c:numRef>
              <c:f>eigen_trend!$J$2:$J$29</c:f>
              <c:numCache>
                <c:formatCode>General</c:formatCode>
                <c:ptCount val="28"/>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numCache>
            </c:numRef>
          </c:cat>
          <c:val>
            <c:numRef>
              <c:f>eigen_trend!$U$2:$U$29</c:f>
              <c:numCache>
                <c:formatCode>General</c:formatCode>
                <c:ptCount val="28"/>
                <c:pt idx="0">
                  <c:v>85.35317290733046</c:v>
                </c:pt>
                <c:pt idx="1">
                  <c:v>75.314775254206381</c:v>
                </c:pt>
                <c:pt idx="2">
                  <c:v>85.979984036808261</c:v>
                </c:pt>
                <c:pt idx="3">
                  <c:v>81.105268463146103</c:v>
                </c:pt>
                <c:pt idx="4">
                  <c:v>90.008275568170006</c:v>
                </c:pt>
                <c:pt idx="5">
                  <c:v>87.707248381500705</c:v>
                </c:pt>
                <c:pt idx="6">
                  <c:v>90.628163546713182</c:v>
                </c:pt>
                <c:pt idx="7">
                  <c:v>85.997123364314703</c:v>
                </c:pt>
                <c:pt idx="8">
                  <c:v>82.026451083553042</c:v>
                </c:pt>
                <c:pt idx="9">
                  <c:v>84.232782445198879</c:v>
                </c:pt>
                <c:pt idx="10">
                  <c:v>84.661266450227899</c:v>
                </c:pt>
                <c:pt idx="11">
                  <c:v>77.148471710152904</c:v>
                </c:pt>
                <c:pt idx="12">
                  <c:v>88.578465813950586</c:v>
                </c:pt>
                <c:pt idx="13">
                  <c:v>88.197825048728106</c:v>
                </c:pt>
                <c:pt idx="14">
                  <c:v>81.651168541785879</c:v>
                </c:pt>
                <c:pt idx="15">
                  <c:v>82.182492585026495</c:v>
                </c:pt>
                <c:pt idx="16">
                  <c:v>84.365460978873699</c:v>
                </c:pt>
                <c:pt idx="17">
                  <c:v>85.739541328906881</c:v>
                </c:pt>
                <c:pt idx="18">
                  <c:v>83.223253551901294</c:v>
                </c:pt>
                <c:pt idx="19">
                  <c:v>86.414358088979995</c:v>
                </c:pt>
                <c:pt idx="20">
                  <c:v>84.228076691873881</c:v>
                </c:pt>
                <c:pt idx="21">
                  <c:v>88.421844904753883</c:v>
                </c:pt>
                <c:pt idx="22">
                  <c:v>89.872373040552006</c:v>
                </c:pt>
                <c:pt idx="23">
                  <c:v>91.895642089950698</c:v>
                </c:pt>
                <c:pt idx="24">
                  <c:v>91.0942976138614</c:v>
                </c:pt>
                <c:pt idx="25">
                  <c:v>92.077725497491741</c:v>
                </c:pt>
                <c:pt idx="26">
                  <c:v>92.776819880855683</c:v>
                </c:pt>
                <c:pt idx="27">
                  <c:v>90.630948890307479</c:v>
                </c:pt>
              </c:numCache>
            </c:numRef>
          </c:val>
          <c:smooth val="0"/>
          <c:extLst>
            <c:ext xmlns:c16="http://schemas.microsoft.com/office/drawing/2014/chart" uri="{C3380CC4-5D6E-409C-BE32-E72D297353CC}">
              <c16:uniqueId val="{0000000A-4AB3-4071-9892-6A281C905522}"/>
            </c:ext>
          </c:extLst>
        </c:ser>
        <c:ser>
          <c:idx val="11"/>
          <c:order val="11"/>
          <c:tx>
            <c:strRef>
              <c:f>eigen_trend!$V$1</c:f>
              <c:strCache>
                <c:ptCount val="1"/>
                <c:pt idx="0">
                  <c:v>Eig12</c:v>
                </c:pt>
              </c:strCache>
            </c:strRef>
          </c:tx>
          <c:marker>
            <c:symbol val="none"/>
          </c:marker>
          <c:cat>
            <c:numRef>
              <c:f>eigen_trend!$J$2:$J$29</c:f>
              <c:numCache>
                <c:formatCode>General</c:formatCode>
                <c:ptCount val="28"/>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numCache>
            </c:numRef>
          </c:cat>
          <c:val>
            <c:numRef>
              <c:f>eigen_trend!$V$2:$V$29</c:f>
              <c:numCache>
                <c:formatCode>General</c:formatCode>
                <c:ptCount val="28"/>
                <c:pt idx="0">
                  <c:v>86.739248364627898</c:v>
                </c:pt>
                <c:pt idx="1">
                  <c:v>77.728567374883426</c:v>
                </c:pt>
                <c:pt idx="2">
                  <c:v>87.6136742819413</c:v>
                </c:pt>
                <c:pt idx="3">
                  <c:v>83.005977052597984</c:v>
                </c:pt>
                <c:pt idx="4">
                  <c:v>91.224602849519002</c:v>
                </c:pt>
                <c:pt idx="5">
                  <c:v>89.045545493086379</c:v>
                </c:pt>
                <c:pt idx="6">
                  <c:v>91.599001771217701</c:v>
                </c:pt>
                <c:pt idx="7">
                  <c:v>87.488494639291204</c:v>
                </c:pt>
                <c:pt idx="8">
                  <c:v>83.959475230595842</c:v>
                </c:pt>
                <c:pt idx="9">
                  <c:v>85.941198912790398</c:v>
                </c:pt>
                <c:pt idx="10">
                  <c:v>86.176284503720495</c:v>
                </c:pt>
                <c:pt idx="11">
                  <c:v>79.543230080518299</c:v>
                </c:pt>
                <c:pt idx="12">
                  <c:v>89.950958708355301</c:v>
                </c:pt>
                <c:pt idx="13">
                  <c:v>89.699490430116498</c:v>
                </c:pt>
                <c:pt idx="14">
                  <c:v>83.559152136147162</c:v>
                </c:pt>
                <c:pt idx="15">
                  <c:v>84.107818341688642</c:v>
                </c:pt>
                <c:pt idx="16">
                  <c:v>86.088056607566742</c:v>
                </c:pt>
                <c:pt idx="17">
                  <c:v>87.151471502544851</c:v>
                </c:pt>
                <c:pt idx="18">
                  <c:v>84.83018537133978</c:v>
                </c:pt>
                <c:pt idx="19">
                  <c:v>87.919097124838501</c:v>
                </c:pt>
                <c:pt idx="20">
                  <c:v>85.863310242027381</c:v>
                </c:pt>
                <c:pt idx="21">
                  <c:v>89.799443184370304</c:v>
                </c:pt>
                <c:pt idx="22">
                  <c:v>91.000003454059581</c:v>
                </c:pt>
                <c:pt idx="23">
                  <c:v>92.832951362451354</c:v>
                </c:pt>
                <c:pt idx="24">
                  <c:v>92.051730059602463</c:v>
                </c:pt>
                <c:pt idx="25">
                  <c:v>92.8221492611288</c:v>
                </c:pt>
                <c:pt idx="26">
                  <c:v>93.517830621576294</c:v>
                </c:pt>
                <c:pt idx="27">
                  <c:v>91.532449905194781</c:v>
                </c:pt>
              </c:numCache>
            </c:numRef>
          </c:val>
          <c:smooth val="0"/>
          <c:extLst>
            <c:ext xmlns:c16="http://schemas.microsoft.com/office/drawing/2014/chart" uri="{C3380CC4-5D6E-409C-BE32-E72D297353CC}">
              <c16:uniqueId val="{0000000B-4AB3-4071-9892-6A281C905522}"/>
            </c:ext>
          </c:extLst>
        </c:ser>
        <c:ser>
          <c:idx val="12"/>
          <c:order val="12"/>
          <c:tx>
            <c:strRef>
              <c:f>eigen_trend!$W$1</c:f>
              <c:strCache>
                <c:ptCount val="1"/>
                <c:pt idx="0">
                  <c:v>Eig13</c:v>
                </c:pt>
              </c:strCache>
            </c:strRef>
          </c:tx>
          <c:marker>
            <c:symbol val="none"/>
          </c:marker>
          <c:cat>
            <c:numRef>
              <c:f>eigen_trend!$J$2:$J$29</c:f>
              <c:numCache>
                <c:formatCode>General</c:formatCode>
                <c:ptCount val="28"/>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numCache>
            </c:numRef>
          </c:cat>
          <c:val>
            <c:numRef>
              <c:f>eigen_trend!$W$2:$W$29</c:f>
              <c:numCache>
                <c:formatCode>General</c:formatCode>
                <c:ptCount val="28"/>
                <c:pt idx="0">
                  <c:v>88.006441907461905</c:v>
                </c:pt>
                <c:pt idx="1">
                  <c:v>79.965333558384842</c:v>
                </c:pt>
                <c:pt idx="2">
                  <c:v>89.073391670599207</c:v>
                </c:pt>
                <c:pt idx="3">
                  <c:v>84.734535888503103</c:v>
                </c:pt>
                <c:pt idx="4">
                  <c:v>92.266829161229793</c:v>
                </c:pt>
                <c:pt idx="5">
                  <c:v>90.242260856115394</c:v>
                </c:pt>
                <c:pt idx="6">
                  <c:v>92.493252598922794</c:v>
                </c:pt>
                <c:pt idx="7">
                  <c:v>88.675693949807894</c:v>
                </c:pt>
                <c:pt idx="8">
                  <c:v>85.649875530779525</c:v>
                </c:pt>
                <c:pt idx="9">
                  <c:v>87.352093169642103</c:v>
                </c:pt>
                <c:pt idx="10">
                  <c:v>87.608259339564341</c:v>
                </c:pt>
                <c:pt idx="11">
                  <c:v>81.655947714803887</c:v>
                </c:pt>
                <c:pt idx="12">
                  <c:v>91.20247026329848</c:v>
                </c:pt>
                <c:pt idx="13">
                  <c:v>90.954709767676903</c:v>
                </c:pt>
                <c:pt idx="14">
                  <c:v>85.28679039551966</c:v>
                </c:pt>
                <c:pt idx="15">
                  <c:v>85.861386109038861</c:v>
                </c:pt>
                <c:pt idx="16">
                  <c:v>87.570220326786341</c:v>
                </c:pt>
                <c:pt idx="17">
                  <c:v>88.406184090069402</c:v>
                </c:pt>
                <c:pt idx="18">
                  <c:v>86.238869200070297</c:v>
                </c:pt>
                <c:pt idx="19">
                  <c:v>89.365260503703979</c:v>
                </c:pt>
                <c:pt idx="20">
                  <c:v>87.387491972664094</c:v>
                </c:pt>
                <c:pt idx="21">
                  <c:v>91.057674903724163</c:v>
                </c:pt>
                <c:pt idx="22">
                  <c:v>92.038745542980806</c:v>
                </c:pt>
                <c:pt idx="23">
                  <c:v>93.638034784819482</c:v>
                </c:pt>
                <c:pt idx="24">
                  <c:v>92.918195133826458</c:v>
                </c:pt>
                <c:pt idx="25">
                  <c:v>93.521462780367202</c:v>
                </c:pt>
                <c:pt idx="26">
                  <c:v>94.138241317376895</c:v>
                </c:pt>
                <c:pt idx="27">
                  <c:v>92.364657488096398</c:v>
                </c:pt>
              </c:numCache>
            </c:numRef>
          </c:val>
          <c:smooth val="0"/>
          <c:extLst>
            <c:ext xmlns:c16="http://schemas.microsoft.com/office/drawing/2014/chart" uri="{C3380CC4-5D6E-409C-BE32-E72D297353CC}">
              <c16:uniqueId val="{0000000C-4AB3-4071-9892-6A281C905522}"/>
            </c:ext>
          </c:extLst>
        </c:ser>
        <c:ser>
          <c:idx val="13"/>
          <c:order val="13"/>
          <c:tx>
            <c:strRef>
              <c:f>eigen_trend!$X$1</c:f>
              <c:strCache>
                <c:ptCount val="1"/>
                <c:pt idx="0">
                  <c:v>Eig14</c:v>
                </c:pt>
              </c:strCache>
            </c:strRef>
          </c:tx>
          <c:marker>
            <c:symbol val="none"/>
          </c:marker>
          <c:cat>
            <c:numRef>
              <c:f>eigen_trend!$J$2:$J$29</c:f>
              <c:numCache>
                <c:formatCode>General</c:formatCode>
                <c:ptCount val="28"/>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numCache>
            </c:numRef>
          </c:cat>
          <c:val>
            <c:numRef>
              <c:f>eigen_trend!$X$2:$X$29</c:f>
              <c:numCache>
                <c:formatCode>General</c:formatCode>
                <c:ptCount val="28"/>
                <c:pt idx="0">
                  <c:v>89.135553080640406</c:v>
                </c:pt>
                <c:pt idx="1">
                  <c:v>82.04852057203648</c:v>
                </c:pt>
                <c:pt idx="2">
                  <c:v>90.333468944297493</c:v>
                </c:pt>
                <c:pt idx="3">
                  <c:v>86.339434125008182</c:v>
                </c:pt>
                <c:pt idx="4">
                  <c:v>93.156889526610541</c:v>
                </c:pt>
                <c:pt idx="5">
                  <c:v>91.340869158006598</c:v>
                </c:pt>
                <c:pt idx="6">
                  <c:v>93.262140679699982</c:v>
                </c:pt>
                <c:pt idx="7">
                  <c:v>89.728443559210604</c:v>
                </c:pt>
                <c:pt idx="8">
                  <c:v>87.10208096220228</c:v>
                </c:pt>
                <c:pt idx="9">
                  <c:v>88.662446790758395</c:v>
                </c:pt>
                <c:pt idx="10">
                  <c:v>88.952182825968379</c:v>
                </c:pt>
                <c:pt idx="11">
                  <c:v>83.527217694310806</c:v>
                </c:pt>
                <c:pt idx="12">
                  <c:v>92.291324727013006</c:v>
                </c:pt>
                <c:pt idx="13">
                  <c:v>92.047606352239683</c:v>
                </c:pt>
                <c:pt idx="14">
                  <c:v>86.855896180998258</c:v>
                </c:pt>
                <c:pt idx="15">
                  <c:v>87.441777106167279</c:v>
                </c:pt>
                <c:pt idx="16">
                  <c:v>88.940006575957497</c:v>
                </c:pt>
                <c:pt idx="17">
                  <c:v>89.560860723236203</c:v>
                </c:pt>
                <c:pt idx="18">
                  <c:v>87.549595492536881</c:v>
                </c:pt>
                <c:pt idx="19">
                  <c:v>90.670399810654828</c:v>
                </c:pt>
                <c:pt idx="20">
                  <c:v>88.797778753692526</c:v>
                </c:pt>
                <c:pt idx="21">
                  <c:v>92.170184916243841</c:v>
                </c:pt>
                <c:pt idx="22">
                  <c:v>92.976768507971926</c:v>
                </c:pt>
                <c:pt idx="23">
                  <c:v>94.356745312002104</c:v>
                </c:pt>
                <c:pt idx="24">
                  <c:v>93.701249658231703</c:v>
                </c:pt>
                <c:pt idx="25">
                  <c:v>94.137209483829906</c:v>
                </c:pt>
                <c:pt idx="26">
                  <c:v>94.709123688258998</c:v>
                </c:pt>
                <c:pt idx="27">
                  <c:v>93.098399919454394</c:v>
                </c:pt>
              </c:numCache>
            </c:numRef>
          </c:val>
          <c:smooth val="0"/>
          <c:extLst>
            <c:ext xmlns:c16="http://schemas.microsoft.com/office/drawing/2014/chart" uri="{C3380CC4-5D6E-409C-BE32-E72D297353CC}">
              <c16:uniqueId val="{0000000D-4AB3-4071-9892-6A281C905522}"/>
            </c:ext>
          </c:extLst>
        </c:ser>
        <c:ser>
          <c:idx val="14"/>
          <c:order val="14"/>
          <c:tx>
            <c:strRef>
              <c:f>eigen_trend!$Y$1</c:f>
              <c:strCache>
                <c:ptCount val="1"/>
                <c:pt idx="0">
                  <c:v>Eig15</c:v>
                </c:pt>
              </c:strCache>
            </c:strRef>
          </c:tx>
          <c:marker>
            <c:symbol val="none"/>
          </c:marker>
          <c:cat>
            <c:numRef>
              <c:f>eigen_trend!$J$2:$J$29</c:f>
              <c:numCache>
                <c:formatCode>General</c:formatCode>
                <c:ptCount val="28"/>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numCache>
            </c:numRef>
          </c:cat>
          <c:val>
            <c:numRef>
              <c:f>eigen_trend!$Y$2:$Y$29</c:f>
              <c:numCache>
                <c:formatCode>General</c:formatCode>
                <c:ptCount val="28"/>
                <c:pt idx="0">
                  <c:v>90.165511488863899</c:v>
                </c:pt>
                <c:pt idx="1">
                  <c:v>83.895848403446294</c:v>
                </c:pt>
                <c:pt idx="2">
                  <c:v>91.470360423582378</c:v>
                </c:pt>
                <c:pt idx="3">
                  <c:v>87.804909937927405</c:v>
                </c:pt>
                <c:pt idx="4">
                  <c:v>93.873175608048982</c:v>
                </c:pt>
                <c:pt idx="5">
                  <c:v>92.36131820467628</c:v>
                </c:pt>
                <c:pt idx="6">
                  <c:v>93.912263380452103</c:v>
                </c:pt>
                <c:pt idx="7">
                  <c:v>90.737192805649698</c:v>
                </c:pt>
                <c:pt idx="8">
                  <c:v>88.442561422662706</c:v>
                </c:pt>
                <c:pt idx="9">
                  <c:v>89.819033886751242</c:v>
                </c:pt>
                <c:pt idx="10">
                  <c:v>90.12431862902686</c:v>
                </c:pt>
                <c:pt idx="11">
                  <c:v>85.225303241135407</c:v>
                </c:pt>
                <c:pt idx="12">
                  <c:v>93.217132834210105</c:v>
                </c:pt>
                <c:pt idx="13">
                  <c:v>93.001873961223296</c:v>
                </c:pt>
                <c:pt idx="14">
                  <c:v>88.257297704982605</c:v>
                </c:pt>
                <c:pt idx="15">
                  <c:v>88.895722644433661</c:v>
                </c:pt>
                <c:pt idx="16">
                  <c:v>90.166351842885888</c:v>
                </c:pt>
                <c:pt idx="17">
                  <c:v>90.591351866076479</c:v>
                </c:pt>
                <c:pt idx="18">
                  <c:v>88.769832532837341</c:v>
                </c:pt>
                <c:pt idx="19">
                  <c:v>91.75753476358058</c:v>
                </c:pt>
                <c:pt idx="20">
                  <c:v>90.01253700720136</c:v>
                </c:pt>
                <c:pt idx="21">
                  <c:v>93.150226873950061</c:v>
                </c:pt>
                <c:pt idx="22">
                  <c:v>93.801537174639606</c:v>
                </c:pt>
                <c:pt idx="23">
                  <c:v>95.017539317662198</c:v>
                </c:pt>
                <c:pt idx="24">
                  <c:v>94.411893721845402</c:v>
                </c:pt>
                <c:pt idx="25">
                  <c:v>94.718105939966307</c:v>
                </c:pt>
                <c:pt idx="26">
                  <c:v>95.200683981599994</c:v>
                </c:pt>
                <c:pt idx="27">
                  <c:v>93.781308357548042</c:v>
                </c:pt>
              </c:numCache>
            </c:numRef>
          </c:val>
          <c:smooth val="0"/>
          <c:extLst>
            <c:ext xmlns:c16="http://schemas.microsoft.com/office/drawing/2014/chart" uri="{C3380CC4-5D6E-409C-BE32-E72D297353CC}">
              <c16:uniqueId val="{0000000E-4AB3-4071-9892-6A281C905522}"/>
            </c:ext>
          </c:extLst>
        </c:ser>
        <c:ser>
          <c:idx val="15"/>
          <c:order val="15"/>
          <c:tx>
            <c:strRef>
              <c:f>eigen_trend!$Z$1</c:f>
              <c:strCache>
                <c:ptCount val="1"/>
                <c:pt idx="0">
                  <c:v>Eig16</c:v>
                </c:pt>
              </c:strCache>
            </c:strRef>
          </c:tx>
          <c:marker>
            <c:symbol val="none"/>
          </c:marker>
          <c:cat>
            <c:numRef>
              <c:f>eigen_trend!$J$2:$J$29</c:f>
              <c:numCache>
                <c:formatCode>General</c:formatCode>
                <c:ptCount val="28"/>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numCache>
            </c:numRef>
          </c:cat>
          <c:val>
            <c:numRef>
              <c:f>eigen_trend!$Z$2:$Z$29</c:f>
              <c:numCache>
                <c:formatCode>General</c:formatCode>
                <c:ptCount val="28"/>
                <c:pt idx="0">
                  <c:v>91.095346972355159</c:v>
                </c:pt>
                <c:pt idx="1">
                  <c:v>85.569652375806982</c:v>
                </c:pt>
                <c:pt idx="2">
                  <c:v>92.484290207881301</c:v>
                </c:pt>
                <c:pt idx="3">
                  <c:v>89.152055002807359</c:v>
                </c:pt>
                <c:pt idx="4">
                  <c:v>94.497806341222898</c:v>
                </c:pt>
                <c:pt idx="5">
                  <c:v>93.226783096495907</c:v>
                </c:pt>
                <c:pt idx="6">
                  <c:v>94.538385558643995</c:v>
                </c:pt>
                <c:pt idx="7">
                  <c:v>91.691647611379906</c:v>
                </c:pt>
                <c:pt idx="8">
                  <c:v>89.620857332188251</c:v>
                </c:pt>
                <c:pt idx="9">
                  <c:v>90.818912371957182</c:v>
                </c:pt>
                <c:pt idx="10">
                  <c:v>91.133050676216399</c:v>
                </c:pt>
                <c:pt idx="11">
                  <c:v>86.686635514603907</c:v>
                </c:pt>
                <c:pt idx="12">
                  <c:v>93.983919803413201</c:v>
                </c:pt>
                <c:pt idx="13">
                  <c:v>93.835133914364462</c:v>
                </c:pt>
                <c:pt idx="14">
                  <c:v>89.555169126577582</c:v>
                </c:pt>
                <c:pt idx="15">
                  <c:v>90.211265818578397</c:v>
                </c:pt>
                <c:pt idx="16">
                  <c:v>91.229358774695626</c:v>
                </c:pt>
                <c:pt idx="17">
                  <c:v>91.554167456183862</c:v>
                </c:pt>
                <c:pt idx="18">
                  <c:v>89.926142477759058</c:v>
                </c:pt>
                <c:pt idx="19">
                  <c:v>92.689184446199178</c:v>
                </c:pt>
                <c:pt idx="20">
                  <c:v>91.156593625525005</c:v>
                </c:pt>
                <c:pt idx="21">
                  <c:v>93.970578671063478</c:v>
                </c:pt>
                <c:pt idx="22">
                  <c:v>94.568812069202906</c:v>
                </c:pt>
                <c:pt idx="23">
                  <c:v>95.616219633635097</c:v>
                </c:pt>
                <c:pt idx="24">
                  <c:v>95.051108712245181</c:v>
                </c:pt>
                <c:pt idx="25">
                  <c:v>95.248990047723183</c:v>
                </c:pt>
                <c:pt idx="26">
                  <c:v>95.670925893380925</c:v>
                </c:pt>
                <c:pt idx="27">
                  <c:v>94.426437486885263</c:v>
                </c:pt>
              </c:numCache>
            </c:numRef>
          </c:val>
          <c:smooth val="0"/>
          <c:extLst>
            <c:ext xmlns:c16="http://schemas.microsoft.com/office/drawing/2014/chart" uri="{C3380CC4-5D6E-409C-BE32-E72D297353CC}">
              <c16:uniqueId val="{0000000F-4AB3-4071-9892-6A281C905522}"/>
            </c:ext>
          </c:extLst>
        </c:ser>
        <c:dLbls>
          <c:showLegendKey val="0"/>
          <c:showVal val="0"/>
          <c:showCatName val="0"/>
          <c:showSerName val="0"/>
          <c:showPercent val="0"/>
          <c:showBubbleSize val="0"/>
        </c:dLbls>
        <c:hiLowLines/>
        <c:smooth val="0"/>
        <c:axId val="419671104"/>
        <c:axId val="419671496"/>
      </c:lineChart>
      <c:catAx>
        <c:axId val="419671104"/>
        <c:scaling>
          <c:orientation val="minMax"/>
        </c:scaling>
        <c:delete val="0"/>
        <c:axPos val="b"/>
        <c:numFmt formatCode="General" sourceLinked="1"/>
        <c:majorTickMark val="out"/>
        <c:minorTickMark val="none"/>
        <c:tickLblPos val="nextTo"/>
        <c:crossAx val="419671496"/>
        <c:crosses val="autoZero"/>
        <c:auto val="1"/>
        <c:lblAlgn val="ctr"/>
        <c:lblOffset val="100"/>
        <c:noMultiLvlLbl val="0"/>
      </c:catAx>
      <c:valAx>
        <c:axId val="419671496"/>
        <c:scaling>
          <c:orientation val="minMax"/>
          <c:max val="100"/>
        </c:scaling>
        <c:delete val="0"/>
        <c:axPos val="l"/>
        <c:title>
          <c:tx>
            <c:rich>
              <a:bodyPr rot="-5400000" vert="horz"/>
              <a:lstStyle/>
              <a:p>
                <a:pPr>
                  <a:defRPr/>
                </a:pPr>
                <a:r>
                  <a:rPr lang="en-IE"/>
                  <a:t>Cumulative (%) Variance Explained</a:t>
                </a:r>
              </a:p>
            </c:rich>
          </c:tx>
          <c:overlay val="0"/>
        </c:title>
        <c:numFmt formatCode="General" sourceLinked="1"/>
        <c:majorTickMark val="out"/>
        <c:minorTickMark val="none"/>
        <c:tickLblPos val="nextTo"/>
        <c:crossAx val="419671104"/>
        <c:crosses val="autoZero"/>
        <c:crossBetween val="between"/>
      </c:valAx>
    </c:plotArea>
    <c:legend>
      <c:legendPos val="r"/>
      <c:layout>
        <c:manualLayout>
          <c:xMode val="edge"/>
          <c:yMode val="edge"/>
          <c:x val="0.77493022747156604"/>
          <c:y val="8.1414041994750594E-2"/>
          <c:w val="0.208403105861767"/>
          <c:h val="0.83717191601049901"/>
        </c:manualLayout>
      </c:layout>
      <c:overlay val="0"/>
    </c:legend>
    <c:plotVisOnly val="1"/>
    <c:dispBlanksAs val="gap"/>
    <c:showDLblsOverMax val="0"/>
  </c:chart>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1"/>
          <c:order val="1"/>
          <c:tx>
            <c:strRef>
              <c:f>Equity_NBER!$C$1</c:f>
              <c:strCache>
                <c:ptCount val="1"/>
                <c:pt idx="0">
                  <c:v>NBER</c:v>
                </c:pt>
              </c:strCache>
            </c:strRef>
          </c:tx>
          <c:spPr>
            <a:solidFill>
              <a:schemeClr val="accent2"/>
            </a:solidFill>
            <a:ln>
              <a:noFill/>
            </a:ln>
            <a:effectLst/>
          </c:spPr>
          <c:invertIfNegative val="0"/>
          <c:val>
            <c:numRef>
              <c:f>Equity_NBER!$C$2:$C$28</c:f>
              <c:numCache>
                <c:formatCode>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c:v>
                </c:pt>
                <c:pt idx="16">
                  <c:v>0</c:v>
                </c:pt>
                <c:pt idx="17">
                  <c:v>0</c:v>
                </c:pt>
                <c:pt idx="18">
                  <c:v>0</c:v>
                </c:pt>
                <c:pt idx="19">
                  <c:v>0</c:v>
                </c:pt>
                <c:pt idx="20">
                  <c:v>0</c:v>
                </c:pt>
                <c:pt idx="21">
                  <c:v>0</c:v>
                </c:pt>
                <c:pt idx="22">
                  <c:v>1</c:v>
                </c:pt>
                <c:pt idx="23">
                  <c:v>1</c:v>
                </c:pt>
                <c:pt idx="24">
                  <c:v>0</c:v>
                </c:pt>
                <c:pt idx="25">
                  <c:v>0</c:v>
                </c:pt>
                <c:pt idx="26">
                  <c:v>0</c:v>
                </c:pt>
              </c:numCache>
            </c:numRef>
          </c:val>
          <c:extLst>
            <c:ext xmlns:c16="http://schemas.microsoft.com/office/drawing/2014/chart" uri="{C3380CC4-5D6E-409C-BE32-E72D297353CC}">
              <c16:uniqueId val="{00000000-27DB-4F4B-845A-65EA68A38207}"/>
            </c:ext>
          </c:extLst>
        </c:ser>
        <c:dLbls>
          <c:showLegendKey val="0"/>
          <c:showVal val="0"/>
          <c:showCatName val="0"/>
          <c:showSerName val="0"/>
          <c:showPercent val="0"/>
          <c:showBubbleSize val="0"/>
        </c:dLbls>
        <c:gapWidth val="0"/>
        <c:overlap val="100"/>
        <c:axId val="752448648"/>
        <c:axId val="752448256"/>
      </c:barChart>
      <c:lineChart>
        <c:grouping val="standard"/>
        <c:varyColors val="0"/>
        <c:ser>
          <c:idx val="0"/>
          <c:order val="0"/>
          <c:tx>
            <c:strRef>
              <c:f>Equity_NBER!$B$1</c:f>
              <c:strCache>
                <c:ptCount val="1"/>
                <c:pt idx="0">
                  <c:v>Equity</c:v>
                </c:pt>
              </c:strCache>
            </c:strRef>
          </c:tx>
          <c:spPr>
            <a:ln w="28575" cap="rnd">
              <a:solidFill>
                <a:schemeClr val="accent1"/>
              </a:solidFill>
              <a:round/>
            </a:ln>
            <a:effectLst/>
          </c:spPr>
          <c:marker>
            <c:symbol val="none"/>
          </c:marker>
          <c:cat>
            <c:numRef>
              <c:f>Equity_NBER!$A$2:$A$28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Equity_NBER!$B$2:$B$28</c:f>
              <c:numCache>
                <c:formatCode>General</c:formatCode>
                <c:ptCount val="27"/>
                <c:pt idx="0">
                  <c:v>84.855086277107389</c:v>
                </c:pt>
                <c:pt idx="1">
                  <c:v>82.462951051744881</c:v>
                </c:pt>
                <c:pt idx="2">
                  <c:v>82.549737433812979</c:v>
                </c:pt>
                <c:pt idx="3">
                  <c:v>83.599958701330166</c:v>
                </c:pt>
                <c:pt idx="4">
                  <c:v>99.159077480761241</c:v>
                </c:pt>
                <c:pt idx="5">
                  <c:v>97.10569159824361</c:v>
                </c:pt>
                <c:pt idx="6">
                  <c:v>82.635466939271083</c:v>
                </c:pt>
                <c:pt idx="7">
                  <c:v>96.522490501649997</c:v>
                </c:pt>
                <c:pt idx="8">
                  <c:v>94.951016414520751</c:v>
                </c:pt>
                <c:pt idx="9">
                  <c:v>93.937703562861373</c:v>
                </c:pt>
                <c:pt idx="10">
                  <c:v>97.468633000528172</c:v>
                </c:pt>
                <c:pt idx="11">
                  <c:v>78.755112456432059</c:v>
                </c:pt>
                <c:pt idx="12">
                  <c:v>81.808757948586006</c:v>
                </c:pt>
                <c:pt idx="13">
                  <c:v>86.210223055686498</c:v>
                </c:pt>
                <c:pt idx="14">
                  <c:v>79.523476226793662</c:v>
                </c:pt>
                <c:pt idx="15">
                  <c:v>78.720662977866255</c:v>
                </c:pt>
                <c:pt idx="16">
                  <c:v>77.103727915595641</c:v>
                </c:pt>
                <c:pt idx="17">
                  <c:v>81.765042018652736</c:v>
                </c:pt>
                <c:pt idx="18">
                  <c:v>72.993010814901908</c:v>
                </c:pt>
                <c:pt idx="19">
                  <c:v>76.805448046905894</c:v>
                </c:pt>
                <c:pt idx="20">
                  <c:v>68.57949742216546</c:v>
                </c:pt>
                <c:pt idx="21">
                  <c:v>62.650165906892013</c:v>
                </c:pt>
                <c:pt idx="22">
                  <c:v>61.510520091751452</c:v>
                </c:pt>
                <c:pt idx="23">
                  <c:v>62.804745240605982</c:v>
                </c:pt>
                <c:pt idx="24">
                  <c:v>58.064171738242273</c:v>
                </c:pt>
                <c:pt idx="25">
                  <c:v>58.0202485092003</c:v>
                </c:pt>
                <c:pt idx="26">
                  <c:v>60.778405106120971</c:v>
                </c:pt>
              </c:numCache>
            </c:numRef>
          </c:val>
          <c:smooth val="0"/>
          <c:extLst>
            <c:ext xmlns:c16="http://schemas.microsoft.com/office/drawing/2014/chart" uri="{C3380CC4-5D6E-409C-BE32-E72D297353CC}">
              <c16:uniqueId val="{00000001-27DB-4F4B-845A-65EA68A38207}"/>
            </c:ext>
          </c:extLst>
        </c:ser>
        <c:dLbls>
          <c:showLegendKey val="0"/>
          <c:showVal val="0"/>
          <c:showCatName val="0"/>
          <c:showSerName val="0"/>
          <c:showPercent val="0"/>
          <c:showBubbleSize val="0"/>
        </c:dLbls>
        <c:marker val="1"/>
        <c:smooth val="0"/>
        <c:axId val="752447472"/>
        <c:axId val="752447864"/>
      </c:lineChart>
      <c:catAx>
        <c:axId val="752447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447864"/>
        <c:crosses val="autoZero"/>
        <c:auto val="1"/>
        <c:lblAlgn val="ctr"/>
        <c:lblOffset val="100"/>
        <c:noMultiLvlLbl val="0"/>
      </c:catAx>
      <c:valAx>
        <c:axId val="752447864"/>
        <c:scaling>
          <c:orientation val="minMax"/>
          <c:max val="100"/>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447472"/>
        <c:crosses val="autoZero"/>
        <c:crossBetween val="between"/>
      </c:valAx>
      <c:valAx>
        <c:axId val="752448256"/>
        <c:scaling>
          <c:orientation val="minMax"/>
          <c:max val="1"/>
          <c:min val="0"/>
        </c:scaling>
        <c:delete val="0"/>
        <c:axPos val="r"/>
        <c:numFmt formatCode="0"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448648"/>
        <c:crosses val="max"/>
        <c:crossBetween val="between"/>
      </c:valAx>
      <c:catAx>
        <c:axId val="752448648"/>
        <c:scaling>
          <c:orientation val="minMax"/>
        </c:scaling>
        <c:delete val="1"/>
        <c:axPos val="b"/>
        <c:majorTickMark val="none"/>
        <c:minorTickMark val="none"/>
        <c:tickLblPos val="nextTo"/>
        <c:crossAx val="752448256"/>
        <c:crossesAt val="0"/>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2"/>
          <c:order val="1"/>
          <c:tx>
            <c:strRef>
              <c:f>Bond_NBER!$C$1</c:f>
              <c:strCache>
                <c:ptCount val="1"/>
                <c:pt idx="0">
                  <c:v>NBER</c:v>
                </c:pt>
              </c:strCache>
            </c:strRef>
          </c:tx>
          <c:spPr>
            <a:solidFill>
              <a:schemeClr val="accent2"/>
            </a:solidFill>
            <a:ln>
              <a:noFill/>
            </a:ln>
            <a:effectLst/>
          </c:spPr>
          <c:invertIfNegative val="0"/>
          <c:val>
            <c:numRef>
              <c:f>Bond_NBER!$C$2:$C$28</c:f>
              <c:numCache>
                <c:formatCode>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c:v>
                </c:pt>
                <c:pt idx="16">
                  <c:v>0</c:v>
                </c:pt>
                <c:pt idx="17">
                  <c:v>0</c:v>
                </c:pt>
                <c:pt idx="18">
                  <c:v>0</c:v>
                </c:pt>
                <c:pt idx="19">
                  <c:v>0</c:v>
                </c:pt>
                <c:pt idx="20">
                  <c:v>0</c:v>
                </c:pt>
                <c:pt idx="21">
                  <c:v>0</c:v>
                </c:pt>
                <c:pt idx="22">
                  <c:v>1</c:v>
                </c:pt>
                <c:pt idx="23">
                  <c:v>1</c:v>
                </c:pt>
                <c:pt idx="24">
                  <c:v>0</c:v>
                </c:pt>
                <c:pt idx="25">
                  <c:v>0</c:v>
                </c:pt>
                <c:pt idx="26">
                  <c:v>0</c:v>
                </c:pt>
              </c:numCache>
            </c:numRef>
          </c:val>
          <c:extLst>
            <c:ext xmlns:c16="http://schemas.microsoft.com/office/drawing/2014/chart" uri="{C3380CC4-5D6E-409C-BE32-E72D297353CC}">
              <c16:uniqueId val="{00000000-4523-48DE-93BF-59316C8D1C23}"/>
            </c:ext>
          </c:extLst>
        </c:ser>
        <c:dLbls>
          <c:showLegendKey val="0"/>
          <c:showVal val="0"/>
          <c:showCatName val="0"/>
          <c:showSerName val="0"/>
          <c:showPercent val="0"/>
          <c:showBubbleSize val="0"/>
        </c:dLbls>
        <c:gapWidth val="0"/>
        <c:overlap val="100"/>
        <c:axId val="751764008"/>
        <c:axId val="751763616"/>
      </c:barChart>
      <c:lineChart>
        <c:grouping val="standard"/>
        <c:varyColors val="0"/>
        <c:ser>
          <c:idx val="1"/>
          <c:order val="0"/>
          <c:tx>
            <c:strRef>
              <c:f>Bond_NBER!$B$1</c:f>
              <c:strCache>
                <c:ptCount val="1"/>
                <c:pt idx="0">
                  <c:v>Bond</c:v>
                </c:pt>
              </c:strCache>
            </c:strRef>
          </c:tx>
          <c:spPr>
            <a:ln w="28575" cap="rnd">
              <a:solidFill>
                <a:schemeClr val="accent1"/>
              </a:solidFill>
              <a:round/>
            </a:ln>
            <a:effectLst/>
          </c:spPr>
          <c:marker>
            <c:symbol val="none"/>
          </c:marker>
          <c:cat>
            <c:numRef>
              <c:f>Bond_NBER!$A$2:$A$28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Bond_NBER!$B$2:$B$28</c:f>
              <c:numCache>
                <c:formatCode>General</c:formatCode>
                <c:ptCount val="27"/>
                <c:pt idx="0">
                  <c:v>55.871206542264233</c:v>
                </c:pt>
                <c:pt idx="1">
                  <c:v>93.462688713451357</c:v>
                </c:pt>
                <c:pt idx="2">
                  <c:v>95.208509458620611</c:v>
                </c:pt>
                <c:pt idx="3">
                  <c:v>83.535492492588673</c:v>
                </c:pt>
                <c:pt idx="4">
                  <c:v>99.969798076194536</c:v>
                </c:pt>
                <c:pt idx="5">
                  <c:v>99.414265097441501</c:v>
                </c:pt>
                <c:pt idx="6">
                  <c:v>70.700828611097833</c:v>
                </c:pt>
                <c:pt idx="7">
                  <c:v>91.051162727203945</c:v>
                </c:pt>
                <c:pt idx="8">
                  <c:v>94.818755463362223</c:v>
                </c:pt>
                <c:pt idx="9">
                  <c:v>98.579461559337275</c:v>
                </c:pt>
                <c:pt idx="10">
                  <c:v>96.958204669338301</c:v>
                </c:pt>
                <c:pt idx="11">
                  <c:v>95.985681512778527</c:v>
                </c:pt>
                <c:pt idx="12">
                  <c:v>96.688222069848067</c:v>
                </c:pt>
                <c:pt idx="13">
                  <c:v>96.348008857647557</c:v>
                </c:pt>
                <c:pt idx="14">
                  <c:v>97.100090948374515</c:v>
                </c:pt>
                <c:pt idx="15">
                  <c:v>96.92859697355523</c:v>
                </c:pt>
                <c:pt idx="16">
                  <c:v>98.312560720232</c:v>
                </c:pt>
                <c:pt idx="17">
                  <c:v>98.309244685691297</c:v>
                </c:pt>
                <c:pt idx="18">
                  <c:v>82.009378814787979</c:v>
                </c:pt>
                <c:pt idx="19">
                  <c:v>57.152299033146399</c:v>
                </c:pt>
                <c:pt idx="20">
                  <c:v>76.348197134965559</c:v>
                </c:pt>
                <c:pt idx="21">
                  <c:v>85.970600509498681</c:v>
                </c:pt>
                <c:pt idx="22">
                  <c:v>75.999527747028225</c:v>
                </c:pt>
                <c:pt idx="23">
                  <c:v>61.283501766373909</c:v>
                </c:pt>
                <c:pt idx="24">
                  <c:v>59.315693542428818</c:v>
                </c:pt>
                <c:pt idx="25">
                  <c:v>55.997925212664448</c:v>
                </c:pt>
                <c:pt idx="26">
                  <c:v>51.827720461515568</c:v>
                </c:pt>
              </c:numCache>
            </c:numRef>
          </c:val>
          <c:smooth val="0"/>
          <c:extLst>
            <c:ext xmlns:c16="http://schemas.microsoft.com/office/drawing/2014/chart" uri="{C3380CC4-5D6E-409C-BE32-E72D297353CC}">
              <c16:uniqueId val="{00000001-4523-48DE-93BF-59316C8D1C23}"/>
            </c:ext>
          </c:extLst>
        </c:ser>
        <c:dLbls>
          <c:showLegendKey val="0"/>
          <c:showVal val="0"/>
          <c:showCatName val="0"/>
          <c:showSerName val="0"/>
          <c:showPercent val="0"/>
          <c:showBubbleSize val="0"/>
        </c:dLbls>
        <c:marker val="1"/>
        <c:smooth val="0"/>
        <c:axId val="751762832"/>
        <c:axId val="751763224"/>
      </c:lineChart>
      <c:catAx>
        <c:axId val="75176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763224"/>
        <c:crosses val="autoZero"/>
        <c:auto val="1"/>
        <c:lblAlgn val="ctr"/>
        <c:lblOffset val="100"/>
        <c:noMultiLvlLbl val="0"/>
      </c:catAx>
      <c:valAx>
        <c:axId val="751763224"/>
        <c:scaling>
          <c:orientation val="minMax"/>
          <c:max val="100"/>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762832"/>
        <c:crosses val="autoZero"/>
        <c:crossBetween val="between"/>
      </c:valAx>
      <c:valAx>
        <c:axId val="751763616"/>
        <c:scaling>
          <c:orientation val="minMax"/>
          <c:max val="1"/>
        </c:scaling>
        <c:delete val="0"/>
        <c:axPos val="r"/>
        <c:numFmt formatCode="0"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764008"/>
        <c:crosses val="max"/>
        <c:crossBetween val="between"/>
      </c:valAx>
      <c:catAx>
        <c:axId val="751764008"/>
        <c:scaling>
          <c:orientation val="minMax"/>
        </c:scaling>
        <c:delete val="1"/>
        <c:axPos val="b"/>
        <c:majorTickMark val="none"/>
        <c:minorTickMark val="none"/>
        <c:tickLblPos val="nextTo"/>
        <c:crossAx val="7517636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2"/>
          <c:order val="1"/>
          <c:tx>
            <c:strRef>
              <c:f>REIT_NBER!$C$1</c:f>
              <c:strCache>
                <c:ptCount val="1"/>
                <c:pt idx="0">
                  <c:v>NBER</c:v>
                </c:pt>
              </c:strCache>
            </c:strRef>
          </c:tx>
          <c:spPr>
            <a:solidFill>
              <a:schemeClr val="accent2"/>
            </a:solidFill>
            <a:ln>
              <a:noFill/>
            </a:ln>
            <a:effectLst/>
          </c:spPr>
          <c:invertIfNegative val="0"/>
          <c:val>
            <c:numRef>
              <c:f>REIT_NBER!$C$2:$C$28</c:f>
              <c:numCache>
                <c:formatCode>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c:v>
                </c:pt>
                <c:pt idx="16">
                  <c:v>0</c:v>
                </c:pt>
                <c:pt idx="17">
                  <c:v>0</c:v>
                </c:pt>
                <c:pt idx="18">
                  <c:v>0</c:v>
                </c:pt>
                <c:pt idx="19">
                  <c:v>0</c:v>
                </c:pt>
                <c:pt idx="20">
                  <c:v>0</c:v>
                </c:pt>
                <c:pt idx="21">
                  <c:v>0</c:v>
                </c:pt>
                <c:pt idx="22">
                  <c:v>1</c:v>
                </c:pt>
                <c:pt idx="23">
                  <c:v>1</c:v>
                </c:pt>
                <c:pt idx="24">
                  <c:v>0</c:v>
                </c:pt>
                <c:pt idx="25">
                  <c:v>0</c:v>
                </c:pt>
                <c:pt idx="26">
                  <c:v>0</c:v>
                </c:pt>
              </c:numCache>
            </c:numRef>
          </c:val>
          <c:extLst>
            <c:ext xmlns:c16="http://schemas.microsoft.com/office/drawing/2014/chart" uri="{C3380CC4-5D6E-409C-BE32-E72D297353CC}">
              <c16:uniqueId val="{00000000-FEEC-4CA7-9A78-99F7FC295390}"/>
            </c:ext>
          </c:extLst>
        </c:ser>
        <c:dLbls>
          <c:showLegendKey val="0"/>
          <c:showVal val="0"/>
          <c:showCatName val="0"/>
          <c:showSerName val="0"/>
          <c:showPercent val="0"/>
          <c:showBubbleSize val="0"/>
        </c:dLbls>
        <c:gapWidth val="0"/>
        <c:overlap val="100"/>
        <c:axId val="751782120"/>
        <c:axId val="751781728"/>
      </c:barChart>
      <c:lineChart>
        <c:grouping val="standard"/>
        <c:varyColors val="0"/>
        <c:ser>
          <c:idx val="1"/>
          <c:order val="0"/>
          <c:tx>
            <c:strRef>
              <c:f>REIT_NBER!$B$1</c:f>
              <c:strCache>
                <c:ptCount val="1"/>
                <c:pt idx="0">
                  <c:v>Real Estate</c:v>
                </c:pt>
              </c:strCache>
            </c:strRef>
          </c:tx>
          <c:spPr>
            <a:ln w="28575" cap="rnd">
              <a:solidFill>
                <a:schemeClr val="accent1"/>
              </a:solidFill>
              <a:round/>
            </a:ln>
            <a:effectLst/>
          </c:spPr>
          <c:marker>
            <c:symbol val="none"/>
          </c:marker>
          <c:cat>
            <c:numRef>
              <c:f>REIT_NBER!$A$2:$A$28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REIT_NBER!$B$2:$B$28</c:f>
              <c:numCache>
                <c:formatCode>General</c:formatCode>
                <c:ptCount val="27"/>
                <c:pt idx="0">
                  <c:v>71.584440262569458</c:v>
                </c:pt>
                <c:pt idx="1">
                  <c:v>90.70379224635947</c:v>
                </c:pt>
                <c:pt idx="2">
                  <c:v>92.198097907780763</c:v>
                </c:pt>
                <c:pt idx="3">
                  <c:v>90.249629283163301</c:v>
                </c:pt>
                <c:pt idx="4">
                  <c:v>99.746591761931924</c:v>
                </c:pt>
                <c:pt idx="5">
                  <c:v>97.693496897406561</c:v>
                </c:pt>
                <c:pt idx="6">
                  <c:v>81.67912404183123</c:v>
                </c:pt>
                <c:pt idx="7">
                  <c:v>96.528510966148914</c:v>
                </c:pt>
                <c:pt idx="8">
                  <c:v>94.863295032412282</c:v>
                </c:pt>
                <c:pt idx="9">
                  <c:v>97.018433966143064</c:v>
                </c:pt>
                <c:pt idx="10">
                  <c:v>98.80399097352263</c:v>
                </c:pt>
                <c:pt idx="11">
                  <c:v>83.518977655480839</c:v>
                </c:pt>
                <c:pt idx="12">
                  <c:v>93.676341712234304</c:v>
                </c:pt>
                <c:pt idx="13">
                  <c:v>95.385739000629655</c:v>
                </c:pt>
                <c:pt idx="14">
                  <c:v>97.352246050969114</c:v>
                </c:pt>
                <c:pt idx="15">
                  <c:v>89.775251384654638</c:v>
                </c:pt>
                <c:pt idx="16">
                  <c:v>87.00966611491998</c:v>
                </c:pt>
                <c:pt idx="17">
                  <c:v>95.744209640570602</c:v>
                </c:pt>
                <c:pt idx="18">
                  <c:v>82.117991661334713</c:v>
                </c:pt>
                <c:pt idx="19">
                  <c:v>84.021731522765904</c:v>
                </c:pt>
                <c:pt idx="20">
                  <c:v>79.482218991448832</c:v>
                </c:pt>
                <c:pt idx="21">
                  <c:v>70.590328258118333</c:v>
                </c:pt>
                <c:pt idx="22">
                  <c:v>64.758449482386155</c:v>
                </c:pt>
                <c:pt idx="23">
                  <c:v>66.929093142521097</c:v>
                </c:pt>
                <c:pt idx="24">
                  <c:v>56.966723389253808</c:v>
                </c:pt>
                <c:pt idx="25">
                  <c:v>55.978065059774252</c:v>
                </c:pt>
                <c:pt idx="26">
                  <c:v>66.800792576069355</c:v>
                </c:pt>
              </c:numCache>
            </c:numRef>
          </c:val>
          <c:smooth val="0"/>
          <c:extLst>
            <c:ext xmlns:c16="http://schemas.microsoft.com/office/drawing/2014/chart" uri="{C3380CC4-5D6E-409C-BE32-E72D297353CC}">
              <c16:uniqueId val="{00000001-FEEC-4CA7-9A78-99F7FC295390}"/>
            </c:ext>
          </c:extLst>
        </c:ser>
        <c:dLbls>
          <c:showLegendKey val="0"/>
          <c:showVal val="0"/>
          <c:showCatName val="0"/>
          <c:showSerName val="0"/>
          <c:showPercent val="0"/>
          <c:showBubbleSize val="0"/>
        </c:dLbls>
        <c:marker val="1"/>
        <c:smooth val="0"/>
        <c:axId val="751780944"/>
        <c:axId val="751781336"/>
      </c:lineChart>
      <c:catAx>
        <c:axId val="751780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781336"/>
        <c:crosses val="autoZero"/>
        <c:auto val="1"/>
        <c:lblAlgn val="ctr"/>
        <c:lblOffset val="100"/>
        <c:noMultiLvlLbl val="0"/>
      </c:catAx>
      <c:valAx>
        <c:axId val="751781336"/>
        <c:scaling>
          <c:orientation val="minMax"/>
          <c:max val="100"/>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780944"/>
        <c:crosses val="autoZero"/>
        <c:crossBetween val="between"/>
      </c:valAx>
      <c:valAx>
        <c:axId val="751781728"/>
        <c:scaling>
          <c:orientation val="minMax"/>
          <c:max val="1"/>
          <c:min val="0"/>
        </c:scaling>
        <c:delete val="0"/>
        <c:axPos val="r"/>
        <c:numFmt formatCode="0"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782120"/>
        <c:crosses val="max"/>
        <c:crossBetween val="between"/>
      </c:valAx>
      <c:catAx>
        <c:axId val="751782120"/>
        <c:scaling>
          <c:orientation val="minMax"/>
        </c:scaling>
        <c:delete val="1"/>
        <c:axPos val="b"/>
        <c:majorTickMark val="none"/>
        <c:minorTickMark val="none"/>
        <c:tickLblPos val="nextTo"/>
        <c:crossAx val="7517817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Bond_Trend!$B$1</c:f>
              <c:strCache>
                <c:ptCount val="1"/>
                <c:pt idx="0">
                  <c:v>Bond</c:v>
                </c:pt>
              </c:strCache>
            </c:strRef>
          </c:tx>
          <c:spPr>
            <a:ln w="28575" cap="rnd">
              <a:solidFill>
                <a:schemeClr val="accent1"/>
              </a:solidFill>
              <a:round/>
            </a:ln>
            <a:effectLst/>
          </c:spPr>
          <c:marker>
            <c:symbol val="none"/>
          </c:marker>
          <c:trendline>
            <c:spPr>
              <a:ln w="19050" cap="rnd">
                <a:solidFill>
                  <a:schemeClr val="accent2"/>
                </a:solidFill>
                <a:prstDash val="sysDot"/>
              </a:ln>
              <a:effectLst/>
            </c:spPr>
            <c:trendlineType val="linear"/>
            <c:dispRSqr val="0"/>
            <c:dispEq val="0"/>
          </c:trendline>
          <c:cat>
            <c:numRef>
              <c:f>Bond_Trend!$A$2:$A$28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Bond_Trend!$B$2:$B$28</c:f>
              <c:numCache>
                <c:formatCode>General</c:formatCode>
                <c:ptCount val="27"/>
                <c:pt idx="0">
                  <c:v>55.871206542264233</c:v>
                </c:pt>
                <c:pt idx="1">
                  <c:v>93.929639519633511</c:v>
                </c:pt>
                <c:pt idx="2">
                  <c:v>95.550758783004767</c:v>
                </c:pt>
                <c:pt idx="3">
                  <c:v>83.535492492588673</c:v>
                </c:pt>
                <c:pt idx="4">
                  <c:v>99.998223416246773</c:v>
                </c:pt>
                <c:pt idx="5">
                  <c:v>99.691718472337612</c:v>
                </c:pt>
                <c:pt idx="6">
                  <c:v>70.700828611097833</c:v>
                </c:pt>
                <c:pt idx="7">
                  <c:v>91.051162727203945</c:v>
                </c:pt>
                <c:pt idx="8">
                  <c:v>94.818755463362223</c:v>
                </c:pt>
                <c:pt idx="9">
                  <c:v>99.218703857635461</c:v>
                </c:pt>
                <c:pt idx="10">
                  <c:v>97.4144739689376</c:v>
                </c:pt>
                <c:pt idx="11">
                  <c:v>96.78854521022285</c:v>
                </c:pt>
                <c:pt idx="12">
                  <c:v>97.019399862863239</c:v>
                </c:pt>
                <c:pt idx="13">
                  <c:v>98.539203543059045</c:v>
                </c:pt>
                <c:pt idx="14">
                  <c:v>98.681859521988414</c:v>
                </c:pt>
                <c:pt idx="15">
                  <c:v>97.462754021632605</c:v>
                </c:pt>
                <c:pt idx="16">
                  <c:v>98.752762271475831</c:v>
                </c:pt>
                <c:pt idx="17">
                  <c:v>98.823822390046061</c:v>
                </c:pt>
                <c:pt idx="18">
                  <c:v>82.009378814787979</c:v>
                </c:pt>
                <c:pt idx="19">
                  <c:v>59.015242553444367</c:v>
                </c:pt>
                <c:pt idx="20">
                  <c:v>76.348197134965559</c:v>
                </c:pt>
                <c:pt idx="21">
                  <c:v>86.555158821602888</c:v>
                </c:pt>
                <c:pt idx="22">
                  <c:v>76.999547424235402</c:v>
                </c:pt>
                <c:pt idx="23">
                  <c:v>62.896689192775</c:v>
                </c:pt>
                <c:pt idx="24">
                  <c:v>59.315693542428818</c:v>
                </c:pt>
                <c:pt idx="25">
                  <c:v>59.518091195651273</c:v>
                </c:pt>
                <c:pt idx="26">
                  <c:v>53.754611643055</c:v>
                </c:pt>
              </c:numCache>
            </c:numRef>
          </c:val>
          <c:smooth val="0"/>
          <c:extLst>
            <c:ext xmlns:c16="http://schemas.microsoft.com/office/drawing/2014/chart" uri="{C3380CC4-5D6E-409C-BE32-E72D297353CC}">
              <c16:uniqueId val="{00000000-4771-40AB-B605-1E7D5ED9578C}"/>
            </c:ext>
          </c:extLst>
        </c:ser>
        <c:dLbls>
          <c:showLegendKey val="0"/>
          <c:showVal val="0"/>
          <c:showCatName val="0"/>
          <c:showSerName val="0"/>
          <c:showPercent val="0"/>
          <c:showBubbleSize val="0"/>
        </c:dLbls>
        <c:smooth val="0"/>
        <c:axId val="727192224"/>
        <c:axId val="727192616"/>
      </c:lineChart>
      <c:catAx>
        <c:axId val="72719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192616"/>
        <c:crosses val="autoZero"/>
        <c:auto val="1"/>
        <c:lblAlgn val="ctr"/>
        <c:lblOffset val="100"/>
        <c:noMultiLvlLbl val="0"/>
      </c:catAx>
      <c:valAx>
        <c:axId val="727192616"/>
        <c:scaling>
          <c:orientation val="minMax"/>
          <c:max val="100"/>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192224"/>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1"/>
          <c:tx>
            <c:strRef>
              <c:f>'Equity_Bear-Bull'!$D$1</c:f>
              <c:strCache>
                <c:ptCount val="1"/>
                <c:pt idx="0">
                  <c:v>Equity Diversification</c:v>
                </c:pt>
              </c:strCache>
            </c:strRef>
          </c:tx>
          <c:spPr>
            <a:ln w="28575" cap="rnd">
              <a:solidFill>
                <a:schemeClr val="accent2"/>
              </a:solidFill>
              <a:round/>
            </a:ln>
            <a:effectLst/>
          </c:spPr>
          <c:marker>
            <c:symbol val="none"/>
          </c:marker>
          <c:cat>
            <c:numRef>
              <c:f>'Equity_Bear-Bull'!$A$2:$A$28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'Equity_Bear-Bull'!$D$2:$D$28</c:f>
              <c:numCache>
                <c:formatCode>General</c:formatCode>
                <c:ptCount val="27"/>
                <c:pt idx="0">
                  <c:v>1.205256883543999</c:v>
                </c:pt>
                <c:pt idx="1">
                  <c:v>27.09668612840067</c:v>
                </c:pt>
                <c:pt idx="2">
                  <c:v>6.487966098774268</c:v>
                </c:pt>
                <c:pt idx="3">
                  <c:v>13.997071547499999</c:v>
                </c:pt>
                <c:pt idx="4">
                  <c:v>7.1556047009586718</c:v>
                </c:pt>
                <c:pt idx="5">
                  <c:v>6.059265186005736</c:v>
                </c:pt>
                <c:pt idx="6">
                  <c:v>3.892736613291345</c:v>
                </c:pt>
                <c:pt idx="7">
                  <c:v>-1.807304498568526</c:v>
                </c:pt>
                <c:pt idx="8">
                  <c:v>5.6003177689380363</c:v>
                </c:pt>
                <c:pt idx="9">
                  <c:v>0.801707727380504</c:v>
                </c:pt>
                <c:pt idx="10">
                  <c:v>5.157967098191607</c:v>
                </c:pt>
                <c:pt idx="11">
                  <c:v>9.9878902135664696</c:v>
                </c:pt>
                <c:pt idx="12">
                  <c:v>10.33862015311167</c:v>
                </c:pt>
                <c:pt idx="13">
                  <c:v>3.6358133769131351</c:v>
                </c:pt>
                <c:pt idx="14">
                  <c:v>4.2479429740754</c:v>
                </c:pt>
                <c:pt idx="15">
                  <c:v>1.0394631174978819</c:v>
                </c:pt>
                <c:pt idx="16">
                  <c:v>4.1309588916617708</c:v>
                </c:pt>
                <c:pt idx="17">
                  <c:v>2.323675893509817</c:v>
                </c:pt>
                <c:pt idx="18">
                  <c:v>9.7258965643750948</c:v>
                </c:pt>
                <c:pt idx="19">
                  <c:v>4.275204461179122</c:v>
                </c:pt>
                <c:pt idx="20">
                  <c:v>6.150616554910469</c:v>
                </c:pt>
                <c:pt idx="21">
                  <c:v>12.743417293693151</c:v>
                </c:pt>
                <c:pt idx="22">
                  <c:v>4.2578963993079748</c:v>
                </c:pt>
                <c:pt idx="23">
                  <c:v>-0.62853179956167904</c:v>
                </c:pt>
                <c:pt idx="24">
                  <c:v>5.5636468615978458</c:v>
                </c:pt>
                <c:pt idx="25">
                  <c:v>5.5042074399658816</c:v>
                </c:pt>
                <c:pt idx="26">
                  <c:v>-0.51630444782608798</c:v>
                </c:pt>
              </c:numCache>
            </c:numRef>
          </c:val>
          <c:smooth val="0"/>
          <c:extLst>
            <c:ext xmlns:c16="http://schemas.microsoft.com/office/drawing/2014/chart" uri="{C3380CC4-5D6E-409C-BE32-E72D297353CC}">
              <c16:uniqueId val="{00000000-1EE0-46B5-AA93-B8822CD91056}"/>
            </c:ext>
          </c:extLst>
        </c:ser>
        <c:dLbls>
          <c:showLegendKey val="0"/>
          <c:showVal val="0"/>
          <c:showCatName val="0"/>
          <c:showSerName val="0"/>
          <c:showPercent val="0"/>
          <c:showBubbleSize val="0"/>
        </c:dLbls>
        <c:marker val="1"/>
        <c:smooth val="0"/>
        <c:axId val="751913792"/>
        <c:axId val="751914184"/>
      </c:lineChart>
      <c:lineChart>
        <c:grouping val="standard"/>
        <c:varyColors val="0"/>
        <c:ser>
          <c:idx val="0"/>
          <c:order val="0"/>
          <c:tx>
            <c:strRef>
              <c:f>'Equity_Bear-Bull'!$B$1</c:f>
              <c:strCache>
                <c:ptCount val="1"/>
                <c:pt idx="0">
                  <c:v>Equity Returns</c:v>
                </c:pt>
              </c:strCache>
            </c:strRef>
          </c:tx>
          <c:spPr>
            <a:ln w="28575" cap="rnd">
              <a:solidFill>
                <a:schemeClr val="accent1"/>
              </a:solidFill>
              <a:round/>
            </a:ln>
            <a:effectLst/>
          </c:spPr>
          <c:marker>
            <c:symbol val="none"/>
          </c:marker>
          <c:cat>
            <c:numRef>
              <c:f>'Equity_Bear-Bull'!$A$2:$A$28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'Equity_Bear-Bull'!$B$2:$B$28</c:f>
              <c:numCache>
                <c:formatCode>General</c:formatCode>
                <c:ptCount val="27"/>
                <c:pt idx="0">
                  <c:v>9.5194828311253001</c:v>
                </c:pt>
                <c:pt idx="1">
                  <c:v>3.3956733769161551</c:v>
                </c:pt>
                <c:pt idx="2">
                  <c:v>8.4709467764084572</c:v>
                </c:pt>
                <c:pt idx="3">
                  <c:v>11.712738865322031</c:v>
                </c:pt>
                <c:pt idx="4">
                  <c:v>-3.995155646342829</c:v>
                </c:pt>
                <c:pt idx="5">
                  <c:v>10.818995007169359</c:v>
                </c:pt>
                <c:pt idx="6">
                  <c:v>-3.7397716858007208</c:v>
                </c:pt>
                <c:pt idx="7">
                  <c:v>22.289720546594019</c:v>
                </c:pt>
                <c:pt idx="8">
                  <c:v>4.0528280632531812</c:v>
                </c:pt>
                <c:pt idx="9">
                  <c:v>-0.28910842708268902</c:v>
                </c:pt>
                <c:pt idx="10">
                  <c:v>12.7342709340382</c:v>
                </c:pt>
                <c:pt idx="11">
                  <c:v>1.937128695616595</c:v>
                </c:pt>
                <c:pt idx="12">
                  <c:v>-12.560520045582621</c:v>
                </c:pt>
                <c:pt idx="13">
                  <c:v>13.90681326553443</c:v>
                </c:pt>
                <c:pt idx="14">
                  <c:v>-12.186342494776509</c:v>
                </c:pt>
                <c:pt idx="15">
                  <c:v>-8.3220073941903223</c:v>
                </c:pt>
                <c:pt idx="16">
                  <c:v>1.0797404607494849</c:v>
                </c:pt>
                <c:pt idx="17">
                  <c:v>33.722385257055507</c:v>
                </c:pt>
                <c:pt idx="18">
                  <c:v>27.781882830595379</c:v>
                </c:pt>
                <c:pt idx="19">
                  <c:v>22.027934779693989</c:v>
                </c:pt>
                <c:pt idx="20">
                  <c:v>23.776174199428141</c:v>
                </c:pt>
                <c:pt idx="21">
                  <c:v>24.186601040727879</c:v>
                </c:pt>
                <c:pt idx="22">
                  <c:v>-72.883745061230101</c:v>
                </c:pt>
                <c:pt idx="23">
                  <c:v>28.06305224879695</c:v>
                </c:pt>
                <c:pt idx="24">
                  <c:v>10.427414989993521</c:v>
                </c:pt>
                <c:pt idx="25">
                  <c:v>-19.417506721939411</c:v>
                </c:pt>
                <c:pt idx="26">
                  <c:v>11.19895291777471</c:v>
                </c:pt>
              </c:numCache>
            </c:numRef>
          </c:val>
          <c:smooth val="0"/>
          <c:extLst>
            <c:ext xmlns:c16="http://schemas.microsoft.com/office/drawing/2014/chart" uri="{C3380CC4-5D6E-409C-BE32-E72D297353CC}">
              <c16:uniqueId val="{00000001-1EE0-46B5-AA93-B8822CD91056}"/>
            </c:ext>
          </c:extLst>
        </c:ser>
        <c:dLbls>
          <c:showLegendKey val="0"/>
          <c:showVal val="0"/>
          <c:showCatName val="0"/>
          <c:showSerName val="0"/>
          <c:showPercent val="0"/>
          <c:showBubbleSize val="0"/>
        </c:dLbls>
        <c:marker val="1"/>
        <c:smooth val="0"/>
        <c:axId val="751914968"/>
        <c:axId val="751914576"/>
      </c:lineChart>
      <c:catAx>
        <c:axId val="751913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914184"/>
        <c:crosses val="autoZero"/>
        <c:auto val="1"/>
        <c:lblAlgn val="ctr"/>
        <c:lblOffset val="100"/>
        <c:noMultiLvlLbl val="0"/>
      </c:catAx>
      <c:valAx>
        <c:axId val="751914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Diversification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913792"/>
        <c:crosses val="autoZero"/>
        <c:crossBetween val="between"/>
      </c:valAx>
      <c:valAx>
        <c:axId val="7519145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Returns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914968"/>
        <c:crosses val="max"/>
        <c:crossBetween val="between"/>
      </c:valAx>
      <c:catAx>
        <c:axId val="751914968"/>
        <c:scaling>
          <c:orientation val="minMax"/>
        </c:scaling>
        <c:delete val="1"/>
        <c:axPos val="b"/>
        <c:numFmt formatCode="General" sourceLinked="1"/>
        <c:majorTickMark val="none"/>
        <c:minorTickMark val="none"/>
        <c:tickLblPos val="nextTo"/>
        <c:crossAx val="7519145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1"/>
          <c:tx>
            <c:strRef>
              <c:f>'Bond_Bear-Bull'!$D$1</c:f>
              <c:strCache>
                <c:ptCount val="1"/>
                <c:pt idx="0">
                  <c:v>Bond Diversification</c:v>
                </c:pt>
              </c:strCache>
            </c:strRef>
          </c:tx>
          <c:spPr>
            <a:ln w="28575" cap="rnd">
              <a:solidFill>
                <a:schemeClr val="accent2"/>
              </a:solidFill>
              <a:round/>
            </a:ln>
            <a:effectLst/>
          </c:spPr>
          <c:marker>
            <c:symbol val="none"/>
          </c:marker>
          <c:cat>
            <c:numRef>
              <c:f>'Bond_Bear-Bull'!$A$2:$A$28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'Bond_Bear-Bull'!$D$2:$D$28</c:f>
              <c:numCache>
                <c:formatCode>General</c:formatCode>
                <c:ptCount val="27"/>
                <c:pt idx="0">
                  <c:v>-0.26357125435138301</c:v>
                </c:pt>
                <c:pt idx="1">
                  <c:v>-8.9709477574256766</c:v>
                </c:pt>
                <c:pt idx="2">
                  <c:v>15.521321528113351</c:v>
                </c:pt>
                <c:pt idx="3">
                  <c:v>3.4482869536286178</c:v>
                </c:pt>
                <c:pt idx="4">
                  <c:v>-5.2222996886353741</c:v>
                </c:pt>
                <c:pt idx="5">
                  <c:v>-3.9971483222941631</c:v>
                </c:pt>
                <c:pt idx="6">
                  <c:v>7.5901934185395588</c:v>
                </c:pt>
                <c:pt idx="7">
                  <c:v>-5.6701384560060148</c:v>
                </c:pt>
                <c:pt idx="8">
                  <c:v>-6.2825420096407223</c:v>
                </c:pt>
                <c:pt idx="9">
                  <c:v>-2.2902343910735601</c:v>
                </c:pt>
                <c:pt idx="10">
                  <c:v>4.3993005897833584</c:v>
                </c:pt>
                <c:pt idx="11">
                  <c:v>-9.101199972687656</c:v>
                </c:pt>
                <c:pt idx="12">
                  <c:v>-3.067904376754548</c:v>
                </c:pt>
                <c:pt idx="13">
                  <c:v>-11.34433520104478</c:v>
                </c:pt>
                <c:pt idx="14">
                  <c:v>-5.8246506635750253</c:v>
                </c:pt>
                <c:pt idx="15">
                  <c:v>-3.768731841632877</c:v>
                </c:pt>
                <c:pt idx="16">
                  <c:v>5.549594220856914</c:v>
                </c:pt>
                <c:pt idx="17">
                  <c:v>5.3285820433907203</c:v>
                </c:pt>
                <c:pt idx="18">
                  <c:v>0.96780686795392901</c:v>
                </c:pt>
                <c:pt idx="19">
                  <c:v>3.5647350193143952</c:v>
                </c:pt>
                <c:pt idx="20">
                  <c:v>-2.2528710439152762</c:v>
                </c:pt>
                <c:pt idx="21">
                  <c:v>2.4248838433411648</c:v>
                </c:pt>
                <c:pt idx="22">
                  <c:v>-2.1319933428387561</c:v>
                </c:pt>
                <c:pt idx="23">
                  <c:v>-15.11365577541673</c:v>
                </c:pt>
                <c:pt idx="24">
                  <c:v>-1.795555082307785</c:v>
                </c:pt>
                <c:pt idx="25">
                  <c:v>6.0321363014248623</c:v>
                </c:pt>
                <c:pt idx="26">
                  <c:v>-6.9869207207841404</c:v>
                </c:pt>
              </c:numCache>
            </c:numRef>
          </c:val>
          <c:smooth val="0"/>
          <c:extLst>
            <c:ext xmlns:c16="http://schemas.microsoft.com/office/drawing/2014/chart" uri="{C3380CC4-5D6E-409C-BE32-E72D297353CC}">
              <c16:uniqueId val="{00000000-26A3-4695-8683-950A173F2CB1}"/>
            </c:ext>
          </c:extLst>
        </c:ser>
        <c:dLbls>
          <c:showLegendKey val="0"/>
          <c:showVal val="0"/>
          <c:showCatName val="0"/>
          <c:showSerName val="0"/>
          <c:showPercent val="0"/>
          <c:showBubbleSize val="0"/>
        </c:dLbls>
        <c:marker val="1"/>
        <c:smooth val="0"/>
        <c:axId val="754210872"/>
        <c:axId val="754211264"/>
      </c:lineChart>
      <c:lineChart>
        <c:grouping val="standard"/>
        <c:varyColors val="0"/>
        <c:ser>
          <c:idx val="0"/>
          <c:order val="0"/>
          <c:tx>
            <c:strRef>
              <c:f>'Bond_Bear-Bull'!$B$1</c:f>
              <c:strCache>
                <c:ptCount val="1"/>
                <c:pt idx="0">
                  <c:v>Bond Returns</c:v>
                </c:pt>
              </c:strCache>
            </c:strRef>
          </c:tx>
          <c:spPr>
            <a:ln w="28575" cap="rnd">
              <a:solidFill>
                <a:schemeClr val="accent1"/>
              </a:solidFill>
              <a:round/>
            </a:ln>
            <a:effectLst/>
          </c:spPr>
          <c:marker>
            <c:symbol val="none"/>
          </c:marker>
          <c:cat>
            <c:numRef>
              <c:f>'Bond_Bear-Bull'!$A$2:$A$28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'Bond_Bear-Bull'!$B$2:$B$28</c:f>
              <c:numCache>
                <c:formatCode>General</c:formatCode>
                <c:ptCount val="27"/>
                <c:pt idx="0">
                  <c:v>7.9634632688084652</c:v>
                </c:pt>
                <c:pt idx="1">
                  <c:v>10.009178848320831</c:v>
                </c:pt>
                <c:pt idx="2">
                  <c:v>-2.4733118694051859</c:v>
                </c:pt>
                <c:pt idx="3">
                  <c:v>-1.5209858994129619</c:v>
                </c:pt>
                <c:pt idx="4">
                  <c:v>6.711732886897269</c:v>
                </c:pt>
                <c:pt idx="5">
                  <c:v>1.4142355167824381</c:v>
                </c:pt>
                <c:pt idx="6">
                  <c:v>-6.0842694697489224</c:v>
                </c:pt>
                <c:pt idx="7">
                  <c:v>2.6051305440961898</c:v>
                </c:pt>
                <c:pt idx="8">
                  <c:v>-0.91549694770671397</c:v>
                </c:pt>
                <c:pt idx="9">
                  <c:v>11.168461379347869</c:v>
                </c:pt>
                <c:pt idx="10">
                  <c:v>0.645305770256005</c:v>
                </c:pt>
                <c:pt idx="11">
                  <c:v>-9.6757787254914689</c:v>
                </c:pt>
                <c:pt idx="12">
                  <c:v>6.0693762330103302</c:v>
                </c:pt>
                <c:pt idx="13">
                  <c:v>-12.754709667415099</c:v>
                </c:pt>
                <c:pt idx="14">
                  <c:v>-5.7114137554625461</c:v>
                </c:pt>
                <c:pt idx="15">
                  <c:v>-4.99389825423268</c:v>
                </c:pt>
                <c:pt idx="16">
                  <c:v>16.191321399378321</c:v>
                </c:pt>
                <c:pt idx="17">
                  <c:v>15.58418683894967</c:v>
                </c:pt>
                <c:pt idx="18">
                  <c:v>9.8431248080394145</c:v>
                </c:pt>
                <c:pt idx="19">
                  <c:v>-10.26868129886274</c:v>
                </c:pt>
                <c:pt idx="20">
                  <c:v>3.3587887699207291</c:v>
                </c:pt>
                <c:pt idx="21">
                  <c:v>7.1162896363167274</c:v>
                </c:pt>
                <c:pt idx="22">
                  <c:v>-4.6423039920014526</c:v>
                </c:pt>
                <c:pt idx="23">
                  <c:v>5.2124151260654754</c:v>
                </c:pt>
                <c:pt idx="24">
                  <c:v>-0.73059412469131002</c:v>
                </c:pt>
                <c:pt idx="25">
                  <c:v>-1.4023093641722499</c:v>
                </c:pt>
                <c:pt idx="26">
                  <c:v>8.5589002090577253</c:v>
                </c:pt>
              </c:numCache>
            </c:numRef>
          </c:val>
          <c:smooth val="0"/>
          <c:extLst>
            <c:ext xmlns:c16="http://schemas.microsoft.com/office/drawing/2014/chart" uri="{C3380CC4-5D6E-409C-BE32-E72D297353CC}">
              <c16:uniqueId val="{00000001-26A3-4695-8683-950A173F2CB1}"/>
            </c:ext>
          </c:extLst>
        </c:ser>
        <c:dLbls>
          <c:showLegendKey val="0"/>
          <c:showVal val="0"/>
          <c:showCatName val="0"/>
          <c:showSerName val="0"/>
          <c:showPercent val="0"/>
          <c:showBubbleSize val="0"/>
        </c:dLbls>
        <c:marker val="1"/>
        <c:smooth val="0"/>
        <c:axId val="754212048"/>
        <c:axId val="754211656"/>
      </c:lineChart>
      <c:catAx>
        <c:axId val="754210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211264"/>
        <c:crosses val="autoZero"/>
        <c:auto val="1"/>
        <c:lblAlgn val="ctr"/>
        <c:lblOffset val="100"/>
        <c:noMultiLvlLbl val="0"/>
      </c:catAx>
      <c:valAx>
        <c:axId val="75421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Diversification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210872"/>
        <c:crosses val="autoZero"/>
        <c:crossBetween val="between"/>
      </c:valAx>
      <c:valAx>
        <c:axId val="7542116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Returns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212048"/>
        <c:crosses val="max"/>
        <c:crossBetween val="between"/>
      </c:valAx>
      <c:catAx>
        <c:axId val="754212048"/>
        <c:scaling>
          <c:orientation val="minMax"/>
        </c:scaling>
        <c:delete val="1"/>
        <c:axPos val="b"/>
        <c:numFmt formatCode="General" sourceLinked="1"/>
        <c:majorTickMark val="none"/>
        <c:minorTickMark val="none"/>
        <c:tickLblPos val="nextTo"/>
        <c:crossAx val="7542116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1"/>
          <c:tx>
            <c:strRef>
              <c:f>'REITs_Bear-Bull'!$D$1</c:f>
              <c:strCache>
                <c:ptCount val="1"/>
                <c:pt idx="0">
                  <c:v>Real Estate Diversification</c:v>
                </c:pt>
              </c:strCache>
            </c:strRef>
          </c:tx>
          <c:spPr>
            <a:ln w="28575" cap="rnd">
              <a:solidFill>
                <a:schemeClr val="accent2"/>
              </a:solidFill>
              <a:round/>
            </a:ln>
            <a:effectLst/>
          </c:spPr>
          <c:marker>
            <c:symbol val="none"/>
          </c:marker>
          <c:cat>
            <c:numRef>
              <c:f>'REITs_Bear-Bull'!$A$2:$A$28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'REITs_Bear-Bull'!$D$2:$D$28</c:f>
              <c:numCache>
                <c:formatCode>General</c:formatCode>
                <c:ptCount val="27"/>
                <c:pt idx="0">
                  <c:v>-4.8570691983751697</c:v>
                </c:pt>
                <c:pt idx="1">
                  <c:v>25.54857666786161</c:v>
                </c:pt>
                <c:pt idx="2">
                  <c:v>-0.95383762034235897</c:v>
                </c:pt>
                <c:pt idx="3">
                  <c:v>4.4452928646529299</c:v>
                </c:pt>
                <c:pt idx="4">
                  <c:v>-5.624005174438425</c:v>
                </c:pt>
                <c:pt idx="5">
                  <c:v>-0.67097966230348804</c:v>
                </c:pt>
                <c:pt idx="6">
                  <c:v>-6.6479367813130477</c:v>
                </c:pt>
                <c:pt idx="7">
                  <c:v>-2.102759564047759</c:v>
                </c:pt>
                <c:pt idx="8">
                  <c:v>-1.993813691248786</c:v>
                </c:pt>
                <c:pt idx="9">
                  <c:v>-7.1676194583428376</c:v>
                </c:pt>
                <c:pt idx="10">
                  <c:v>-2.71351789942188</c:v>
                </c:pt>
                <c:pt idx="11">
                  <c:v>3.6064113755813181</c:v>
                </c:pt>
                <c:pt idx="12">
                  <c:v>8.2591958472285256</c:v>
                </c:pt>
                <c:pt idx="13">
                  <c:v>1.514587988834204</c:v>
                </c:pt>
                <c:pt idx="14">
                  <c:v>2.3458406956086661</c:v>
                </c:pt>
                <c:pt idx="15">
                  <c:v>-1.453239283360056</c:v>
                </c:pt>
                <c:pt idx="16">
                  <c:v>-1.3145683227438709</c:v>
                </c:pt>
                <c:pt idx="17">
                  <c:v>-2.889680646149579</c:v>
                </c:pt>
                <c:pt idx="18">
                  <c:v>5.5663778070544652</c:v>
                </c:pt>
                <c:pt idx="19">
                  <c:v>2.4174412643840641</c:v>
                </c:pt>
                <c:pt idx="20">
                  <c:v>15.331166374010101</c:v>
                </c:pt>
                <c:pt idx="21">
                  <c:v>10.788357621086099</c:v>
                </c:pt>
                <c:pt idx="22">
                  <c:v>7.9074645400258454</c:v>
                </c:pt>
                <c:pt idx="23">
                  <c:v>3.8733105737278111</c:v>
                </c:pt>
                <c:pt idx="24">
                  <c:v>2.9668897852516309</c:v>
                </c:pt>
                <c:pt idx="25">
                  <c:v>11.17330649087771</c:v>
                </c:pt>
                <c:pt idx="26">
                  <c:v>-2.3419635383552402</c:v>
                </c:pt>
              </c:numCache>
            </c:numRef>
          </c:val>
          <c:smooth val="0"/>
          <c:extLst>
            <c:ext xmlns:c16="http://schemas.microsoft.com/office/drawing/2014/chart" uri="{C3380CC4-5D6E-409C-BE32-E72D297353CC}">
              <c16:uniqueId val="{00000000-8BE4-4E7F-B0BD-F6259B38A1FC}"/>
            </c:ext>
          </c:extLst>
        </c:ser>
        <c:dLbls>
          <c:showLegendKey val="0"/>
          <c:showVal val="0"/>
          <c:showCatName val="0"/>
          <c:showSerName val="0"/>
          <c:showPercent val="0"/>
          <c:showBubbleSize val="0"/>
        </c:dLbls>
        <c:marker val="1"/>
        <c:smooth val="0"/>
        <c:axId val="754167856"/>
        <c:axId val="754168248"/>
      </c:lineChart>
      <c:lineChart>
        <c:grouping val="standard"/>
        <c:varyColors val="0"/>
        <c:ser>
          <c:idx val="0"/>
          <c:order val="0"/>
          <c:tx>
            <c:strRef>
              <c:f>'REITs_Bear-Bull'!$B$1</c:f>
              <c:strCache>
                <c:ptCount val="1"/>
                <c:pt idx="0">
                  <c:v>REIT Returns</c:v>
                </c:pt>
              </c:strCache>
            </c:strRef>
          </c:tx>
          <c:spPr>
            <a:ln w="28575" cap="rnd">
              <a:solidFill>
                <a:schemeClr val="accent1"/>
              </a:solidFill>
              <a:round/>
            </a:ln>
            <a:effectLst/>
          </c:spPr>
          <c:marker>
            <c:symbol val="none"/>
          </c:marker>
          <c:cat>
            <c:numRef>
              <c:f>'REITs_Bear-Bull'!$A$2:$A$28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'REITs_Bear-Bull'!$B$2:$B$28</c:f>
              <c:numCache>
                <c:formatCode>General</c:formatCode>
                <c:ptCount val="27"/>
                <c:pt idx="0">
                  <c:v>6.6380164801144801</c:v>
                </c:pt>
                <c:pt idx="1">
                  <c:v>4.500150204266256</c:v>
                </c:pt>
                <c:pt idx="2">
                  <c:v>3.3834797535463541</c:v>
                </c:pt>
                <c:pt idx="3">
                  <c:v>3.871292473139937</c:v>
                </c:pt>
                <c:pt idx="4">
                  <c:v>-3.977438513511292</c:v>
                </c:pt>
                <c:pt idx="5">
                  <c:v>5.6832142738608047</c:v>
                </c:pt>
                <c:pt idx="6">
                  <c:v>-2.8458953617837768</c:v>
                </c:pt>
                <c:pt idx="7">
                  <c:v>10.079278835707081</c:v>
                </c:pt>
                <c:pt idx="8">
                  <c:v>4.13716570076543E-4</c:v>
                </c:pt>
                <c:pt idx="9">
                  <c:v>5.0962051783515196</c:v>
                </c:pt>
                <c:pt idx="10">
                  <c:v>4.1228606192791606</c:v>
                </c:pt>
                <c:pt idx="11">
                  <c:v>4.4621131211532443</c:v>
                </c:pt>
                <c:pt idx="12">
                  <c:v>2.4823865368247349</c:v>
                </c:pt>
                <c:pt idx="13">
                  <c:v>-0.14691526315726899</c:v>
                </c:pt>
                <c:pt idx="14">
                  <c:v>2.2922598885628491</c:v>
                </c:pt>
                <c:pt idx="15">
                  <c:v>-5.9895283269479354</c:v>
                </c:pt>
                <c:pt idx="16">
                  <c:v>8.2436856844094581</c:v>
                </c:pt>
                <c:pt idx="17">
                  <c:v>31.17212712787828</c:v>
                </c:pt>
                <c:pt idx="18">
                  <c:v>25.308946736353722</c:v>
                </c:pt>
                <c:pt idx="19">
                  <c:v>17.68730568771862</c:v>
                </c:pt>
                <c:pt idx="20">
                  <c:v>29.700300838964679</c:v>
                </c:pt>
                <c:pt idx="21">
                  <c:v>-2.6312487722532332</c:v>
                </c:pt>
                <c:pt idx="22">
                  <c:v>-47.822297491970353</c:v>
                </c:pt>
                <c:pt idx="23">
                  <c:v>30.416727676597379</c:v>
                </c:pt>
                <c:pt idx="24">
                  <c:v>11.755825111915071</c:v>
                </c:pt>
                <c:pt idx="25">
                  <c:v>-8.0032688763789661</c:v>
                </c:pt>
                <c:pt idx="26">
                  <c:v>28.97680206956878</c:v>
                </c:pt>
              </c:numCache>
            </c:numRef>
          </c:val>
          <c:smooth val="0"/>
          <c:extLst>
            <c:ext xmlns:c16="http://schemas.microsoft.com/office/drawing/2014/chart" uri="{C3380CC4-5D6E-409C-BE32-E72D297353CC}">
              <c16:uniqueId val="{00000001-8BE4-4E7F-B0BD-F6259B38A1FC}"/>
            </c:ext>
          </c:extLst>
        </c:ser>
        <c:dLbls>
          <c:showLegendKey val="0"/>
          <c:showVal val="0"/>
          <c:showCatName val="0"/>
          <c:showSerName val="0"/>
          <c:showPercent val="0"/>
          <c:showBubbleSize val="0"/>
        </c:dLbls>
        <c:marker val="1"/>
        <c:smooth val="0"/>
        <c:axId val="754169032"/>
        <c:axId val="754168640"/>
      </c:lineChart>
      <c:catAx>
        <c:axId val="754167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168248"/>
        <c:crosses val="autoZero"/>
        <c:auto val="1"/>
        <c:lblAlgn val="ctr"/>
        <c:lblOffset val="100"/>
        <c:noMultiLvlLbl val="0"/>
      </c:catAx>
      <c:valAx>
        <c:axId val="754168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Diversification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167856"/>
        <c:crosses val="autoZero"/>
        <c:crossBetween val="between"/>
      </c:valAx>
      <c:valAx>
        <c:axId val="75416864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Returns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169032"/>
        <c:crosses val="max"/>
        <c:crossBetween val="between"/>
      </c:valAx>
      <c:catAx>
        <c:axId val="754169032"/>
        <c:scaling>
          <c:orientation val="minMax"/>
        </c:scaling>
        <c:delete val="1"/>
        <c:axPos val="b"/>
        <c:numFmt formatCode="General" sourceLinked="1"/>
        <c:majorTickMark val="none"/>
        <c:minorTickMark val="none"/>
        <c:tickLblPos val="nextTo"/>
        <c:crossAx val="7541686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1"/>
          <c:tx>
            <c:strRef>
              <c:f>Equity_VIX!$E$1</c:f>
              <c:strCache>
                <c:ptCount val="1"/>
                <c:pt idx="0">
                  <c:v>Equity Diversification</c:v>
                </c:pt>
              </c:strCache>
            </c:strRef>
          </c:tx>
          <c:spPr>
            <a:ln w="28575" cap="rnd">
              <a:solidFill>
                <a:schemeClr val="accent2"/>
              </a:solidFill>
              <a:round/>
            </a:ln>
            <a:effectLst/>
          </c:spPr>
          <c:marker>
            <c:symbol val="none"/>
          </c:marker>
          <c:cat>
            <c:numRef>
              <c:f>Equity_VIX!$A$2:$A$24</c:f>
              <c:numCache>
                <c:formatCode>General</c:formatCode>
                <c:ptCount val="23"/>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numCache>
            </c:numRef>
          </c:cat>
          <c:val>
            <c:numRef>
              <c:f>Equity_VIX!$E$2:$E$24</c:f>
              <c:numCache>
                <c:formatCode>General</c:formatCode>
                <c:ptCount val="23"/>
                <c:pt idx="0">
                  <c:v>2.446551527229567</c:v>
                </c:pt>
                <c:pt idx="1">
                  <c:v>-3.333949401354527</c:v>
                </c:pt>
                <c:pt idx="2">
                  <c:v>0.42158084733663298</c:v>
                </c:pt>
                <c:pt idx="3">
                  <c:v>4.6037893296780856</c:v>
                </c:pt>
                <c:pt idx="4">
                  <c:v>5.6973090915372957</c:v>
                </c:pt>
                <c:pt idx="5">
                  <c:v>-3.5968203986333851</c:v>
                </c:pt>
                <c:pt idx="6">
                  <c:v>0.269889233495959</c:v>
                </c:pt>
                <c:pt idx="7">
                  <c:v>-3.1895357249464569</c:v>
                </c:pt>
                <c:pt idx="8">
                  <c:v>4.9093112880635976</c:v>
                </c:pt>
                <c:pt idx="9">
                  <c:v>3.0568149412828629</c:v>
                </c:pt>
                <c:pt idx="10">
                  <c:v>-6.8491490661253289</c:v>
                </c:pt>
                <c:pt idx="11">
                  <c:v>-2.2761480147840421</c:v>
                </c:pt>
                <c:pt idx="12">
                  <c:v>-3.5877903510665612</c:v>
                </c:pt>
                <c:pt idx="13">
                  <c:v>-4.7641627262388546</c:v>
                </c:pt>
                <c:pt idx="14">
                  <c:v>-3.2496560073178151</c:v>
                </c:pt>
                <c:pt idx="15">
                  <c:v>-4.1841269805255541</c:v>
                </c:pt>
                <c:pt idx="16">
                  <c:v>-0.62282593936158603</c:v>
                </c:pt>
                <c:pt idx="17">
                  <c:v>0.191624398492691</c:v>
                </c:pt>
                <c:pt idx="18">
                  <c:v>1.319827274916203</c:v>
                </c:pt>
                <c:pt idx="19">
                  <c:v>-0.93188494232863806</c:v>
                </c:pt>
                <c:pt idx="20">
                  <c:v>5.620483243144168</c:v>
                </c:pt>
                <c:pt idx="21">
                  <c:v>-6.9957020936463081</c:v>
                </c:pt>
                <c:pt idx="22">
                  <c:v>-3.7046446223506422</c:v>
                </c:pt>
              </c:numCache>
            </c:numRef>
          </c:val>
          <c:smooth val="0"/>
          <c:extLst>
            <c:ext xmlns:c16="http://schemas.microsoft.com/office/drawing/2014/chart" uri="{C3380CC4-5D6E-409C-BE32-E72D297353CC}">
              <c16:uniqueId val="{00000000-4F3C-4C89-BC59-0A2AA6FE408F}"/>
            </c:ext>
          </c:extLst>
        </c:ser>
        <c:dLbls>
          <c:showLegendKey val="0"/>
          <c:showVal val="0"/>
          <c:showCatName val="0"/>
          <c:showSerName val="0"/>
          <c:showPercent val="0"/>
          <c:showBubbleSize val="0"/>
        </c:dLbls>
        <c:marker val="1"/>
        <c:smooth val="0"/>
        <c:axId val="754169424"/>
        <c:axId val="754169904"/>
      </c:lineChart>
      <c:lineChart>
        <c:grouping val="standard"/>
        <c:varyColors val="0"/>
        <c:ser>
          <c:idx val="0"/>
          <c:order val="0"/>
          <c:tx>
            <c:strRef>
              <c:f>Equity_VIX!$B$1</c:f>
              <c:strCache>
                <c:ptCount val="1"/>
                <c:pt idx="0">
                  <c:v>VIX</c:v>
                </c:pt>
              </c:strCache>
            </c:strRef>
          </c:tx>
          <c:spPr>
            <a:ln w="28575" cap="rnd">
              <a:solidFill>
                <a:schemeClr val="accent1"/>
              </a:solidFill>
              <a:round/>
            </a:ln>
            <a:effectLst/>
          </c:spPr>
          <c:marker>
            <c:symbol val="none"/>
          </c:marker>
          <c:cat>
            <c:numRef>
              <c:f>Equity_VIX!$A$2:$A$24</c:f>
              <c:numCache>
                <c:formatCode>General</c:formatCode>
                <c:ptCount val="23"/>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numCache>
            </c:numRef>
          </c:cat>
          <c:val>
            <c:numRef>
              <c:f>Equity_VIX!$B$2:$B$24</c:f>
              <c:numCache>
                <c:formatCode>General</c:formatCode>
                <c:ptCount val="23"/>
                <c:pt idx="0">
                  <c:v>22.442538461538401</c:v>
                </c:pt>
                <c:pt idx="1">
                  <c:v>17.739808429118799</c:v>
                </c:pt>
                <c:pt idx="2">
                  <c:v>14.9802290076336</c:v>
                </c:pt>
                <c:pt idx="3">
                  <c:v>12.2973946360153</c:v>
                </c:pt>
                <c:pt idx="4">
                  <c:v>13.4970384615385</c:v>
                </c:pt>
                <c:pt idx="5">
                  <c:v>12.0075769230769</c:v>
                </c:pt>
                <c:pt idx="6">
                  <c:v>15.940114503816799</c:v>
                </c:pt>
                <c:pt idx="7">
                  <c:v>21.507126436781601</c:v>
                </c:pt>
                <c:pt idx="8">
                  <c:v>24.720114942528699</c:v>
                </c:pt>
                <c:pt idx="9">
                  <c:v>23.532528735632201</c:v>
                </c:pt>
                <c:pt idx="10">
                  <c:v>22.597615384615391</c:v>
                </c:pt>
                <c:pt idx="11">
                  <c:v>24.46712643678158</c:v>
                </c:pt>
                <c:pt idx="12">
                  <c:v>26.351340996168599</c:v>
                </c:pt>
                <c:pt idx="13">
                  <c:v>21.224827586206899</c:v>
                </c:pt>
                <c:pt idx="14">
                  <c:v>14.8895038167939</c:v>
                </c:pt>
                <c:pt idx="15">
                  <c:v>12.413</c:v>
                </c:pt>
                <c:pt idx="16">
                  <c:v>12.3632307692308</c:v>
                </c:pt>
                <c:pt idx="17">
                  <c:v>16.864061302682</c:v>
                </c:pt>
                <c:pt idx="18">
                  <c:v>31.569580152671801</c:v>
                </c:pt>
                <c:pt idx="19">
                  <c:v>30.393103448275902</c:v>
                </c:pt>
                <c:pt idx="20">
                  <c:v>21.7713409961686</c:v>
                </c:pt>
                <c:pt idx="21">
                  <c:v>23.4578846153846</c:v>
                </c:pt>
                <c:pt idx="22">
                  <c:v>17.04873563218386</c:v>
                </c:pt>
              </c:numCache>
            </c:numRef>
          </c:val>
          <c:smooth val="0"/>
          <c:extLst>
            <c:ext xmlns:c16="http://schemas.microsoft.com/office/drawing/2014/chart" uri="{C3380CC4-5D6E-409C-BE32-E72D297353CC}">
              <c16:uniqueId val="{00000001-4F3C-4C89-BC59-0A2AA6FE408F}"/>
            </c:ext>
          </c:extLst>
        </c:ser>
        <c:dLbls>
          <c:showLegendKey val="0"/>
          <c:showVal val="0"/>
          <c:showCatName val="0"/>
          <c:showSerName val="0"/>
          <c:showPercent val="0"/>
          <c:showBubbleSize val="0"/>
        </c:dLbls>
        <c:marker val="1"/>
        <c:smooth val="0"/>
        <c:axId val="754170688"/>
        <c:axId val="754170296"/>
      </c:lineChart>
      <c:catAx>
        <c:axId val="75416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169904"/>
        <c:crosses val="autoZero"/>
        <c:auto val="1"/>
        <c:lblAlgn val="ctr"/>
        <c:lblOffset val="100"/>
        <c:noMultiLvlLbl val="0"/>
      </c:catAx>
      <c:valAx>
        <c:axId val="75416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Diversification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169424"/>
        <c:crosses val="autoZero"/>
        <c:crossBetween val="between"/>
      </c:valAx>
      <c:valAx>
        <c:axId val="75417029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VIX</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170688"/>
        <c:crosses val="max"/>
        <c:crossBetween val="between"/>
      </c:valAx>
      <c:catAx>
        <c:axId val="754170688"/>
        <c:scaling>
          <c:orientation val="minMax"/>
        </c:scaling>
        <c:delete val="1"/>
        <c:axPos val="b"/>
        <c:numFmt formatCode="General" sourceLinked="1"/>
        <c:majorTickMark val="none"/>
        <c:minorTickMark val="none"/>
        <c:tickLblPos val="nextTo"/>
        <c:crossAx val="7541702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1"/>
          <c:tx>
            <c:strRef>
              <c:f>Bond_VIX!$E$1</c:f>
              <c:strCache>
                <c:ptCount val="1"/>
                <c:pt idx="0">
                  <c:v>Bond Diversification</c:v>
                </c:pt>
              </c:strCache>
            </c:strRef>
          </c:tx>
          <c:spPr>
            <a:ln w="28575" cap="rnd">
              <a:solidFill>
                <a:schemeClr val="accent2"/>
              </a:solidFill>
              <a:round/>
            </a:ln>
            <a:effectLst/>
          </c:spPr>
          <c:marker>
            <c:symbol val="none"/>
          </c:marker>
          <c:cat>
            <c:numRef>
              <c:f>Bond_VIX!$A$2:$A$24</c:f>
              <c:numCache>
                <c:formatCode>General</c:formatCode>
                <c:ptCount val="23"/>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numCache>
            </c:numRef>
          </c:cat>
          <c:val>
            <c:numRef>
              <c:f>Bond_VIX!$E$2:$E$24</c:f>
              <c:numCache>
                <c:formatCode>General</c:formatCode>
                <c:ptCount val="23"/>
                <c:pt idx="0">
                  <c:v>-4.6100660423090787</c:v>
                </c:pt>
                <c:pt idx="1">
                  <c:v>-0.58430832734031801</c:v>
                </c:pt>
                <c:pt idx="2">
                  <c:v>-11.571661566265769</c:v>
                </c:pt>
                <c:pt idx="3">
                  <c:v>-0.58772162354228696</c:v>
                </c:pt>
                <c:pt idx="4">
                  <c:v>12.70519702070861</c:v>
                </c:pt>
                <c:pt idx="5">
                  <c:v>-3.643898839385566</c:v>
                </c:pt>
                <c:pt idx="6">
                  <c:v>6.4755545124248952</c:v>
                </c:pt>
                <c:pt idx="7">
                  <c:v>-0.67492913438006996</c:v>
                </c:pt>
                <c:pt idx="8">
                  <c:v>7.5484871102774784</c:v>
                </c:pt>
                <c:pt idx="9">
                  <c:v>3.1357596676535828</c:v>
                </c:pt>
                <c:pt idx="10">
                  <c:v>5.7667865850794566</c:v>
                </c:pt>
                <c:pt idx="11">
                  <c:v>-1.9936334932388169</c:v>
                </c:pt>
                <c:pt idx="12">
                  <c:v>-4.2724395773681456</c:v>
                </c:pt>
                <c:pt idx="13">
                  <c:v>-2.5374572852528741</c:v>
                </c:pt>
                <c:pt idx="14">
                  <c:v>-1.479699134645845</c:v>
                </c:pt>
                <c:pt idx="15">
                  <c:v>-1.462619454498987</c:v>
                </c:pt>
                <c:pt idx="16">
                  <c:v>1.7371894268383301</c:v>
                </c:pt>
                <c:pt idx="17">
                  <c:v>-1.38412421089196</c:v>
                </c:pt>
                <c:pt idx="18">
                  <c:v>-4.1505961125643749</c:v>
                </c:pt>
                <c:pt idx="19">
                  <c:v>1.842676146376881</c:v>
                </c:pt>
                <c:pt idx="20">
                  <c:v>2.7812442982436232</c:v>
                </c:pt>
                <c:pt idx="21">
                  <c:v>-7.3377330426367866</c:v>
                </c:pt>
                <c:pt idx="22">
                  <c:v>-3.768677605446634</c:v>
                </c:pt>
              </c:numCache>
            </c:numRef>
          </c:val>
          <c:smooth val="0"/>
          <c:extLst>
            <c:ext xmlns:c16="http://schemas.microsoft.com/office/drawing/2014/chart" uri="{C3380CC4-5D6E-409C-BE32-E72D297353CC}">
              <c16:uniqueId val="{00000000-D6B5-4A99-ADCC-881032574139}"/>
            </c:ext>
          </c:extLst>
        </c:ser>
        <c:dLbls>
          <c:showLegendKey val="0"/>
          <c:showVal val="0"/>
          <c:showCatName val="0"/>
          <c:showSerName val="0"/>
          <c:showPercent val="0"/>
          <c:showBubbleSize val="0"/>
        </c:dLbls>
        <c:marker val="1"/>
        <c:smooth val="0"/>
        <c:axId val="754171472"/>
        <c:axId val="754097912"/>
      </c:lineChart>
      <c:lineChart>
        <c:grouping val="standard"/>
        <c:varyColors val="0"/>
        <c:ser>
          <c:idx val="0"/>
          <c:order val="0"/>
          <c:tx>
            <c:strRef>
              <c:f>Bond_VIX!$B$1</c:f>
              <c:strCache>
                <c:ptCount val="1"/>
                <c:pt idx="0">
                  <c:v>VIX</c:v>
                </c:pt>
              </c:strCache>
            </c:strRef>
          </c:tx>
          <c:spPr>
            <a:ln w="28575" cap="rnd">
              <a:solidFill>
                <a:schemeClr val="accent1"/>
              </a:solidFill>
              <a:round/>
            </a:ln>
            <a:effectLst/>
          </c:spPr>
          <c:marker>
            <c:symbol val="none"/>
          </c:marker>
          <c:cat>
            <c:numRef>
              <c:f>Bond_VIX!$A$2:$A$24</c:f>
              <c:numCache>
                <c:formatCode>General</c:formatCode>
                <c:ptCount val="23"/>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numCache>
            </c:numRef>
          </c:cat>
          <c:val>
            <c:numRef>
              <c:f>Bond_VIX!$B$2:$B$24</c:f>
              <c:numCache>
                <c:formatCode>General</c:formatCode>
                <c:ptCount val="23"/>
                <c:pt idx="0">
                  <c:v>22.442538461538401</c:v>
                </c:pt>
                <c:pt idx="1">
                  <c:v>17.739808429118799</c:v>
                </c:pt>
                <c:pt idx="2">
                  <c:v>14.9802290076336</c:v>
                </c:pt>
                <c:pt idx="3">
                  <c:v>12.2973946360153</c:v>
                </c:pt>
                <c:pt idx="4">
                  <c:v>13.4970384615385</c:v>
                </c:pt>
                <c:pt idx="5">
                  <c:v>12.0075769230769</c:v>
                </c:pt>
                <c:pt idx="6">
                  <c:v>15.940114503816799</c:v>
                </c:pt>
                <c:pt idx="7">
                  <c:v>21.507126436781601</c:v>
                </c:pt>
                <c:pt idx="8">
                  <c:v>24.720114942528699</c:v>
                </c:pt>
                <c:pt idx="9">
                  <c:v>23.532528735632201</c:v>
                </c:pt>
                <c:pt idx="10">
                  <c:v>22.597615384615391</c:v>
                </c:pt>
                <c:pt idx="11">
                  <c:v>24.46712643678158</c:v>
                </c:pt>
                <c:pt idx="12">
                  <c:v>26.351340996168599</c:v>
                </c:pt>
                <c:pt idx="13">
                  <c:v>21.224827586206899</c:v>
                </c:pt>
                <c:pt idx="14">
                  <c:v>14.8895038167939</c:v>
                </c:pt>
                <c:pt idx="15">
                  <c:v>12.413</c:v>
                </c:pt>
                <c:pt idx="16">
                  <c:v>12.3632307692308</c:v>
                </c:pt>
                <c:pt idx="17">
                  <c:v>16.864061302682</c:v>
                </c:pt>
                <c:pt idx="18">
                  <c:v>31.569580152671801</c:v>
                </c:pt>
                <c:pt idx="19">
                  <c:v>30.393103448275902</c:v>
                </c:pt>
                <c:pt idx="20">
                  <c:v>21.7713409961686</c:v>
                </c:pt>
                <c:pt idx="21">
                  <c:v>23.4578846153846</c:v>
                </c:pt>
                <c:pt idx="22">
                  <c:v>17.04873563218386</c:v>
                </c:pt>
              </c:numCache>
            </c:numRef>
          </c:val>
          <c:smooth val="0"/>
          <c:extLst>
            <c:ext xmlns:c16="http://schemas.microsoft.com/office/drawing/2014/chart" uri="{C3380CC4-5D6E-409C-BE32-E72D297353CC}">
              <c16:uniqueId val="{00000001-D6B5-4A99-ADCC-881032574139}"/>
            </c:ext>
          </c:extLst>
        </c:ser>
        <c:dLbls>
          <c:showLegendKey val="0"/>
          <c:showVal val="0"/>
          <c:showCatName val="0"/>
          <c:showSerName val="0"/>
          <c:showPercent val="0"/>
          <c:showBubbleSize val="0"/>
        </c:dLbls>
        <c:marker val="1"/>
        <c:smooth val="0"/>
        <c:axId val="754098696"/>
        <c:axId val="754098304"/>
      </c:lineChart>
      <c:catAx>
        <c:axId val="754171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097912"/>
        <c:crosses val="autoZero"/>
        <c:auto val="1"/>
        <c:lblAlgn val="ctr"/>
        <c:lblOffset val="100"/>
        <c:noMultiLvlLbl val="0"/>
      </c:catAx>
      <c:valAx>
        <c:axId val="754097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Diversification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171472"/>
        <c:crosses val="autoZero"/>
        <c:crossBetween val="between"/>
      </c:valAx>
      <c:valAx>
        <c:axId val="7540983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VIX</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098696"/>
        <c:crosses val="max"/>
        <c:crossBetween val="between"/>
      </c:valAx>
      <c:catAx>
        <c:axId val="754098696"/>
        <c:scaling>
          <c:orientation val="minMax"/>
        </c:scaling>
        <c:delete val="1"/>
        <c:axPos val="b"/>
        <c:numFmt formatCode="General" sourceLinked="1"/>
        <c:majorTickMark val="none"/>
        <c:minorTickMark val="none"/>
        <c:tickLblPos val="nextTo"/>
        <c:crossAx val="7540983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1"/>
          <c:tx>
            <c:strRef>
              <c:f>REITs_VIX!$E$1</c:f>
              <c:strCache>
                <c:ptCount val="1"/>
                <c:pt idx="0">
                  <c:v>Real Estate Diversification</c:v>
                </c:pt>
              </c:strCache>
            </c:strRef>
          </c:tx>
          <c:spPr>
            <a:ln w="28575" cap="rnd">
              <a:solidFill>
                <a:schemeClr val="accent2"/>
              </a:solidFill>
              <a:round/>
            </a:ln>
            <a:effectLst/>
          </c:spPr>
          <c:marker>
            <c:symbol val="none"/>
          </c:marker>
          <c:cat>
            <c:numRef>
              <c:f>REITs_VIX!$A$2:$A$24</c:f>
              <c:numCache>
                <c:formatCode>General</c:formatCode>
                <c:ptCount val="23"/>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numCache>
            </c:numRef>
          </c:cat>
          <c:val>
            <c:numRef>
              <c:f>REITs_VIX!$E$2:$E$24</c:f>
              <c:numCache>
                <c:formatCode>General</c:formatCode>
                <c:ptCount val="23"/>
                <c:pt idx="0">
                  <c:v>-11.22129366579375</c:v>
                </c:pt>
                <c:pt idx="1">
                  <c:v>0.94271535247555405</c:v>
                </c:pt>
                <c:pt idx="2">
                  <c:v>-0.35614264673518298</c:v>
                </c:pt>
                <c:pt idx="3">
                  <c:v>6.0526126194895324</c:v>
                </c:pt>
                <c:pt idx="4">
                  <c:v>14.480450455064529</c:v>
                </c:pt>
                <c:pt idx="5">
                  <c:v>-5.8911474399988366</c:v>
                </c:pt>
                <c:pt idx="6">
                  <c:v>7.3718196155054949</c:v>
                </c:pt>
                <c:pt idx="7">
                  <c:v>-3.2850725369940652</c:v>
                </c:pt>
                <c:pt idx="8">
                  <c:v>10.821786205362001</c:v>
                </c:pt>
                <c:pt idx="9">
                  <c:v>2.670389283490926</c:v>
                </c:pt>
                <c:pt idx="10">
                  <c:v>-5.790342278376988</c:v>
                </c:pt>
                <c:pt idx="11">
                  <c:v>7.7155771679661758</c:v>
                </c:pt>
                <c:pt idx="12">
                  <c:v>1.1971975397118311</c:v>
                </c:pt>
                <c:pt idx="13">
                  <c:v>0.93384264567373398</c:v>
                </c:pt>
                <c:pt idx="14">
                  <c:v>-5.0813801347576879</c:v>
                </c:pt>
                <c:pt idx="15">
                  <c:v>1.858569198003831</c:v>
                </c:pt>
                <c:pt idx="16">
                  <c:v>-1.5154279570506271</c:v>
                </c:pt>
                <c:pt idx="17">
                  <c:v>-7.4774229132694554</c:v>
                </c:pt>
                <c:pt idx="18">
                  <c:v>1.4206132593981771</c:v>
                </c:pt>
                <c:pt idx="19">
                  <c:v>-2.417378533484082</c:v>
                </c:pt>
                <c:pt idx="20">
                  <c:v>4.0595238470051376</c:v>
                </c:pt>
                <c:pt idx="21">
                  <c:v>-10.00480645891628</c:v>
                </c:pt>
                <c:pt idx="22">
                  <c:v>-4.8691215902823979</c:v>
                </c:pt>
              </c:numCache>
            </c:numRef>
          </c:val>
          <c:smooth val="0"/>
          <c:extLst>
            <c:ext xmlns:c16="http://schemas.microsoft.com/office/drawing/2014/chart" uri="{C3380CC4-5D6E-409C-BE32-E72D297353CC}">
              <c16:uniqueId val="{00000000-0102-4BE1-887A-298FF0A923B6}"/>
            </c:ext>
          </c:extLst>
        </c:ser>
        <c:dLbls>
          <c:showLegendKey val="0"/>
          <c:showVal val="0"/>
          <c:showCatName val="0"/>
          <c:showSerName val="0"/>
          <c:showPercent val="0"/>
          <c:showBubbleSize val="0"/>
        </c:dLbls>
        <c:marker val="1"/>
        <c:smooth val="0"/>
        <c:axId val="754099480"/>
        <c:axId val="754057248"/>
      </c:lineChart>
      <c:lineChart>
        <c:grouping val="standard"/>
        <c:varyColors val="0"/>
        <c:ser>
          <c:idx val="0"/>
          <c:order val="0"/>
          <c:tx>
            <c:strRef>
              <c:f>REITs_VIX!$B$1</c:f>
              <c:strCache>
                <c:ptCount val="1"/>
                <c:pt idx="0">
                  <c:v>VIX</c:v>
                </c:pt>
              </c:strCache>
            </c:strRef>
          </c:tx>
          <c:spPr>
            <a:ln w="28575" cap="rnd">
              <a:solidFill>
                <a:schemeClr val="accent1"/>
              </a:solidFill>
              <a:round/>
            </a:ln>
            <a:effectLst/>
          </c:spPr>
          <c:marker>
            <c:symbol val="none"/>
          </c:marker>
          <c:cat>
            <c:numRef>
              <c:f>REITs_VIX!$A$2:$A$24</c:f>
              <c:numCache>
                <c:formatCode>General</c:formatCode>
                <c:ptCount val="23"/>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numCache>
            </c:numRef>
          </c:cat>
          <c:val>
            <c:numRef>
              <c:f>REITs_VIX!$B$2:$B$24</c:f>
              <c:numCache>
                <c:formatCode>General</c:formatCode>
                <c:ptCount val="23"/>
                <c:pt idx="0">
                  <c:v>22.442538461538401</c:v>
                </c:pt>
                <c:pt idx="1">
                  <c:v>17.739808429118799</c:v>
                </c:pt>
                <c:pt idx="2">
                  <c:v>14.9802290076336</c:v>
                </c:pt>
                <c:pt idx="3">
                  <c:v>12.2973946360153</c:v>
                </c:pt>
                <c:pt idx="4">
                  <c:v>13.4970384615385</c:v>
                </c:pt>
                <c:pt idx="5">
                  <c:v>12.0075769230769</c:v>
                </c:pt>
                <c:pt idx="6">
                  <c:v>15.940114503816799</c:v>
                </c:pt>
                <c:pt idx="7">
                  <c:v>21.507126436781601</c:v>
                </c:pt>
                <c:pt idx="8">
                  <c:v>24.720114942528699</c:v>
                </c:pt>
                <c:pt idx="9">
                  <c:v>23.532528735632201</c:v>
                </c:pt>
                <c:pt idx="10">
                  <c:v>22.597615384615391</c:v>
                </c:pt>
                <c:pt idx="11">
                  <c:v>24.46712643678158</c:v>
                </c:pt>
                <c:pt idx="12">
                  <c:v>26.351340996168599</c:v>
                </c:pt>
                <c:pt idx="13">
                  <c:v>21.224827586206899</c:v>
                </c:pt>
                <c:pt idx="14">
                  <c:v>14.8895038167939</c:v>
                </c:pt>
                <c:pt idx="15">
                  <c:v>12.413</c:v>
                </c:pt>
                <c:pt idx="16">
                  <c:v>12.3632307692308</c:v>
                </c:pt>
                <c:pt idx="17">
                  <c:v>16.864061302682</c:v>
                </c:pt>
                <c:pt idx="18">
                  <c:v>31.569580152671801</c:v>
                </c:pt>
                <c:pt idx="19">
                  <c:v>30.393103448275902</c:v>
                </c:pt>
                <c:pt idx="20">
                  <c:v>21.7713409961686</c:v>
                </c:pt>
                <c:pt idx="21">
                  <c:v>23.4578846153846</c:v>
                </c:pt>
                <c:pt idx="22">
                  <c:v>17.04873563218386</c:v>
                </c:pt>
              </c:numCache>
            </c:numRef>
          </c:val>
          <c:smooth val="0"/>
          <c:extLst>
            <c:ext xmlns:c16="http://schemas.microsoft.com/office/drawing/2014/chart" uri="{C3380CC4-5D6E-409C-BE32-E72D297353CC}">
              <c16:uniqueId val="{00000001-0102-4BE1-887A-298FF0A923B6}"/>
            </c:ext>
          </c:extLst>
        </c:ser>
        <c:dLbls>
          <c:showLegendKey val="0"/>
          <c:showVal val="0"/>
          <c:showCatName val="0"/>
          <c:showSerName val="0"/>
          <c:showPercent val="0"/>
          <c:showBubbleSize val="0"/>
        </c:dLbls>
        <c:marker val="1"/>
        <c:smooth val="0"/>
        <c:axId val="754058032"/>
        <c:axId val="754057640"/>
      </c:lineChart>
      <c:catAx>
        <c:axId val="754099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057248"/>
        <c:crosses val="autoZero"/>
        <c:auto val="1"/>
        <c:lblAlgn val="ctr"/>
        <c:lblOffset val="100"/>
        <c:noMultiLvlLbl val="0"/>
      </c:catAx>
      <c:valAx>
        <c:axId val="75405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Diversification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099480"/>
        <c:crosses val="autoZero"/>
        <c:crossBetween val="between"/>
      </c:valAx>
      <c:valAx>
        <c:axId val="75405764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VIX</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058032"/>
        <c:crosses val="max"/>
        <c:crossBetween val="between"/>
      </c:valAx>
      <c:catAx>
        <c:axId val="754058032"/>
        <c:scaling>
          <c:orientation val="minMax"/>
        </c:scaling>
        <c:delete val="1"/>
        <c:axPos val="b"/>
        <c:numFmt formatCode="General" sourceLinked="1"/>
        <c:majorTickMark val="none"/>
        <c:minorTickMark val="none"/>
        <c:tickLblPos val="nextTo"/>
        <c:crossAx val="7540576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1"/>
          <c:tx>
            <c:strRef>
              <c:f>Equity_TED!$E$1</c:f>
              <c:strCache>
                <c:ptCount val="1"/>
                <c:pt idx="0">
                  <c:v>Equity Diversification</c:v>
                </c:pt>
              </c:strCache>
            </c:strRef>
          </c:tx>
          <c:spPr>
            <a:ln w="28575" cap="rnd">
              <a:solidFill>
                <a:schemeClr val="accent2"/>
              </a:solidFill>
              <a:round/>
            </a:ln>
            <a:effectLst/>
          </c:spPr>
          <c:marker>
            <c:symbol val="none"/>
          </c:marker>
          <c:cat>
            <c:numRef>
              <c:f>Equity_TED!$A$2:$A$28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Equity_TED!$E$2:$E$28</c:f>
              <c:numCache>
                <c:formatCode>General</c:formatCode>
                <c:ptCount val="27"/>
                <c:pt idx="0">
                  <c:v>-1.519199296667342</c:v>
                </c:pt>
                <c:pt idx="1">
                  <c:v>20.491560837061119</c:v>
                </c:pt>
                <c:pt idx="2">
                  <c:v>-1.039267814895428</c:v>
                </c:pt>
                <c:pt idx="3">
                  <c:v>10.5784108204469</c:v>
                </c:pt>
                <c:pt idx="4">
                  <c:v>0.59408067278063004</c:v>
                </c:pt>
                <c:pt idx="5">
                  <c:v>-18.800737087947809</c:v>
                </c:pt>
                <c:pt idx="6">
                  <c:v>-4.6772609794812867</c:v>
                </c:pt>
                <c:pt idx="7">
                  <c:v>8.5484249832234731</c:v>
                </c:pt>
                <c:pt idx="8">
                  <c:v>5.0207729169625486</c:v>
                </c:pt>
                <c:pt idx="9">
                  <c:v>0.92415429308420005</c:v>
                </c:pt>
                <c:pt idx="10">
                  <c:v>-0.13898784708553599</c:v>
                </c:pt>
                <c:pt idx="11">
                  <c:v>10.15508652388726</c:v>
                </c:pt>
                <c:pt idx="12">
                  <c:v>5.87600909917313</c:v>
                </c:pt>
                <c:pt idx="13">
                  <c:v>3.5174511564784892</c:v>
                </c:pt>
                <c:pt idx="14">
                  <c:v>0.75645537148272901</c:v>
                </c:pt>
                <c:pt idx="15">
                  <c:v>0.56684246095745405</c:v>
                </c:pt>
                <c:pt idx="16">
                  <c:v>-0.99973059610193105</c:v>
                </c:pt>
                <c:pt idx="17">
                  <c:v>3.8980284656456221</c:v>
                </c:pt>
                <c:pt idx="18">
                  <c:v>6.9428422562660206</c:v>
                </c:pt>
                <c:pt idx="19">
                  <c:v>4.0741025559070098E-4</c:v>
                </c:pt>
                <c:pt idx="20">
                  <c:v>-5.379552819864017</c:v>
                </c:pt>
                <c:pt idx="21">
                  <c:v>1.2602285163976441</c:v>
                </c:pt>
                <c:pt idx="22">
                  <c:v>4.0584550321635238</c:v>
                </c:pt>
                <c:pt idx="23">
                  <c:v>-1.2328118468945231</c:v>
                </c:pt>
                <c:pt idx="24">
                  <c:v>-2.78672775485119</c:v>
                </c:pt>
                <c:pt idx="25">
                  <c:v>-6.6273671026819017</c:v>
                </c:pt>
                <c:pt idx="26">
                  <c:v>-5.4250569460893274</c:v>
                </c:pt>
              </c:numCache>
            </c:numRef>
          </c:val>
          <c:smooth val="0"/>
          <c:extLst>
            <c:ext xmlns:c16="http://schemas.microsoft.com/office/drawing/2014/chart" uri="{C3380CC4-5D6E-409C-BE32-E72D297353CC}">
              <c16:uniqueId val="{00000000-3F59-4D3D-9A2B-10B7E44453B8}"/>
            </c:ext>
          </c:extLst>
        </c:ser>
        <c:dLbls>
          <c:showLegendKey val="0"/>
          <c:showVal val="0"/>
          <c:showCatName val="0"/>
          <c:showSerName val="0"/>
          <c:showPercent val="0"/>
          <c:showBubbleSize val="0"/>
        </c:dLbls>
        <c:marker val="1"/>
        <c:smooth val="0"/>
        <c:axId val="754058816"/>
        <c:axId val="754059208"/>
      </c:lineChart>
      <c:lineChart>
        <c:grouping val="standard"/>
        <c:varyColors val="0"/>
        <c:ser>
          <c:idx val="0"/>
          <c:order val="0"/>
          <c:tx>
            <c:strRef>
              <c:f>Equity_TED!$B$1</c:f>
              <c:strCache>
                <c:ptCount val="1"/>
                <c:pt idx="0">
                  <c:v>TED</c:v>
                </c:pt>
              </c:strCache>
            </c:strRef>
          </c:tx>
          <c:spPr>
            <a:ln w="28575" cap="rnd">
              <a:solidFill>
                <a:schemeClr val="accent1"/>
              </a:solidFill>
              <a:round/>
            </a:ln>
            <a:effectLst/>
          </c:spPr>
          <c:marker>
            <c:symbol val="none"/>
          </c:marker>
          <c:cat>
            <c:numRef>
              <c:f>Equity_TED!$A$2:$A$28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Equity_TED!$B$2:$B$28</c:f>
              <c:numCache>
                <c:formatCode>General</c:formatCode>
                <c:ptCount val="27"/>
                <c:pt idx="0">
                  <c:v>0.81419230769230799</c:v>
                </c:pt>
                <c:pt idx="1">
                  <c:v>1.3298467432950201</c:v>
                </c:pt>
                <c:pt idx="2">
                  <c:v>1.2304214559386999</c:v>
                </c:pt>
                <c:pt idx="3">
                  <c:v>1.11203846153846</c:v>
                </c:pt>
                <c:pt idx="4">
                  <c:v>0.73996168582375499</c:v>
                </c:pt>
                <c:pt idx="5">
                  <c:v>0.572835249042145</c:v>
                </c:pt>
                <c:pt idx="6">
                  <c:v>0.377251908396947</c:v>
                </c:pt>
                <c:pt idx="7">
                  <c:v>0.288314176245211</c:v>
                </c:pt>
                <c:pt idx="8">
                  <c:v>0.46565384615384597</c:v>
                </c:pt>
                <c:pt idx="9">
                  <c:v>0.51915384615384597</c:v>
                </c:pt>
                <c:pt idx="10">
                  <c:v>0.48026717557251902</c:v>
                </c:pt>
                <c:pt idx="11">
                  <c:v>0.64402298850574702</c:v>
                </c:pt>
                <c:pt idx="12">
                  <c:v>0.74203065134099599</c:v>
                </c:pt>
                <c:pt idx="13">
                  <c:v>0.72386973180076597</c:v>
                </c:pt>
                <c:pt idx="14">
                  <c:v>0.67492307692307596</c:v>
                </c:pt>
                <c:pt idx="15">
                  <c:v>0.35977011494252897</c:v>
                </c:pt>
                <c:pt idx="16">
                  <c:v>0.17854406130268199</c:v>
                </c:pt>
                <c:pt idx="17">
                  <c:v>0.194789272030651</c:v>
                </c:pt>
                <c:pt idx="18">
                  <c:v>0.23068702290076301</c:v>
                </c:pt>
                <c:pt idx="19">
                  <c:v>0.38861538461538497</c:v>
                </c:pt>
                <c:pt idx="20">
                  <c:v>0.44346153846153802</c:v>
                </c:pt>
                <c:pt idx="21">
                  <c:v>0.88436781609195403</c:v>
                </c:pt>
                <c:pt idx="22">
                  <c:v>1.4597709923664099</c:v>
                </c:pt>
                <c:pt idx="23">
                  <c:v>0.50724137931034396</c:v>
                </c:pt>
                <c:pt idx="24">
                  <c:v>0.19402298850574701</c:v>
                </c:pt>
                <c:pt idx="25">
                  <c:v>0.26615384615384602</c:v>
                </c:pt>
                <c:pt idx="26">
                  <c:v>0.319885057471264</c:v>
                </c:pt>
              </c:numCache>
            </c:numRef>
          </c:val>
          <c:smooth val="0"/>
          <c:extLst>
            <c:ext xmlns:c16="http://schemas.microsoft.com/office/drawing/2014/chart" uri="{C3380CC4-5D6E-409C-BE32-E72D297353CC}">
              <c16:uniqueId val="{00000001-3F59-4D3D-9A2B-10B7E44453B8}"/>
            </c:ext>
          </c:extLst>
        </c:ser>
        <c:dLbls>
          <c:showLegendKey val="0"/>
          <c:showVal val="0"/>
          <c:showCatName val="0"/>
          <c:showSerName val="0"/>
          <c:showPercent val="0"/>
          <c:showBubbleSize val="0"/>
        </c:dLbls>
        <c:marker val="1"/>
        <c:smooth val="0"/>
        <c:axId val="754059992"/>
        <c:axId val="754059600"/>
      </c:lineChart>
      <c:catAx>
        <c:axId val="75405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059208"/>
        <c:crosses val="autoZero"/>
        <c:auto val="1"/>
        <c:lblAlgn val="ctr"/>
        <c:lblOffset val="100"/>
        <c:noMultiLvlLbl val="0"/>
      </c:catAx>
      <c:valAx>
        <c:axId val="754059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Diversification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058816"/>
        <c:crosses val="autoZero"/>
        <c:crossBetween val="between"/>
      </c:valAx>
      <c:valAx>
        <c:axId val="75405960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TED</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059992"/>
        <c:crosses val="max"/>
        <c:crossBetween val="between"/>
      </c:valAx>
      <c:catAx>
        <c:axId val="754059992"/>
        <c:scaling>
          <c:orientation val="minMax"/>
        </c:scaling>
        <c:delete val="1"/>
        <c:axPos val="b"/>
        <c:numFmt formatCode="General" sourceLinked="1"/>
        <c:majorTickMark val="none"/>
        <c:minorTickMark val="none"/>
        <c:tickLblPos val="nextTo"/>
        <c:crossAx val="7540596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1"/>
          <c:tx>
            <c:strRef>
              <c:f>Bond_TED!$E$1</c:f>
              <c:strCache>
                <c:ptCount val="1"/>
                <c:pt idx="0">
                  <c:v>Bond Diversification</c:v>
                </c:pt>
              </c:strCache>
            </c:strRef>
          </c:tx>
          <c:spPr>
            <a:ln w="28575" cap="rnd">
              <a:solidFill>
                <a:schemeClr val="accent2"/>
              </a:solidFill>
              <a:round/>
            </a:ln>
            <a:effectLst/>
          </c:spPr>
          <c:marker>
            <c:symbol val="none"/>
          </c:marker>
          <c:cat>
            <c:numRef>
              <c:f>Bond_TED!$A$2:$A$28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Bond_TED!$E$2:$E$28</c:f>
              <c:numCache>
                <c:formatCode>General</c:formatCode>
                <c:ptCount val="27"/>
                <c:pt idx="0">
                  <c:v>2.1801529614009958</c:v>
                </c:pt>
                <c:pt idx="1">
                  <c:v>-12.34593568466032</c:v>
                </c:pt>
                <c:pt idx="2">
                  <c:v>-4.3519225172385827</c:v>
                </c:pt>
                <c:pt idx="3">
                  <c:v>-1.7986837542341381</c:v>
                </c:pt>
                <c:pt idx="4">
                  <c:v>-9.0095730180648772</c:v>
                </c:pt>
                <c:pt idx="5">
                  <c:v>-5.6984457154382087</c:v>
                </c:pt>
                <c:pt idx="6">
                  <c:v>-15.304200953941971</c:v>
                </c:pt>
                <c:pt idx="7">
                  <c:v>-2.0274011681996882</c:v>
                </c:pt>
                <c:pt idx="8">
                  <c:v>4.0940239241303926</c:v>
                </c:pt>
                <c:pt idx="9">
                  <c:v>-2.6547763336059078</c:v>
                </c:pt>
                <c:pt idx="10">
                  <c:v>-10.281303761195501</c:v>
                </c:pt>
                <c:pt idx="11">
                  <c:v>-5.8025355019338862</c:v>
                </c:pt>
                <c:pt idx="12">
                  <c:v>2.474236481539029</c:v>
                </c:pt>
                <c:pt idx="13">
                  <c:v>0.58210070188487495</c:v>
                </c:pt>
                <c:pt idx="14">
                  <c:v>-5.382734844811397</c:v>
                </c:pt>
                <c:pt idx="15">
                  <c:v>-4.7893199039268461</c:v>
                </c:pt>
                <c:pt idx="16">
                  <c:v>-4.8958223278851127</c:v>
                </c:pt>
                <c:pt idx="17">
                  <c:v>3.2912315748644638</c:v>
                </c:pt>
                <c:pt idx="18">
                  <c:v>0.89666973460299004</c:v>
                </c:pt>
                <c:pt idx="19">
                  <c:v>6.208169842913807</c:v>
                </c:pt>
                <c:pt idx="20">
                  <c:v>-3.518835435200399</c:v>
                </c:pt>
                <c:pt idx="21">
                  <c:v>-1.845387456901781</c:v>
                </c:pt>
                <c:pt idx="22">
                  <c:v>-3.606284774457198</c:v>
                </c:pt>
                <c:pt idx="23">
                  <c:v>3.220713486599506</c:v>
                </c:pt>
                <c:pt idx="24">
                  <c:v>4.8440897237101872</c:v>
                </c:pt>
                <c:pt idx="25">
                  <c:v>-4.8842840428624266</c:v>
                </c:pt>
                <c:pt idx="26">
                  <c:v>-5.2019882487228948</c:v>
                </c:pt>
              </c:numCache>
            </c:numRef>
          </c:val>
          <c:smooth val="0"/>
          <c:extLst>
            <c:ext xmlns:c16="http://schemas.microsoft.com/office/drawing/2014/chart" uri="{C3380CC4-5D6E-409C-BE32-E72D297353CC}">
              <c16:uniqueId val="{00000000-2946-4E2B-96F4-45681F22983B}"/>
            </c:ext>
          </c:extLst>
        </c:ser>
        <c:dLbls>
          <c:showLegendKey val="0"/>
          <c:showVal val="0"/>
          <c:showCatName val="0"/>
          <c:showSerName val="0"/>
          <c:showPercent val="0"/>
          <c:showBubbleSize val="0"/>
        </c:dLbls>
        <c:marker val="1"/>
        <c:smooth val="0"/>
        <c:axId val="754060776"/>
        <c:axId val="754415696"/>
      </c:lineChart>
      <c:lineChart>
        <c:grouping val="standard"/>
        <c:varyColors val="0"/>
        <c:ser>
          <c:idx val="0"/>
          <c:order val="0"/>
          <c:tx>
            <c:strRef>
              <c:f>Bond_TED!$B$1</c:f>
              <c:strCache>
                <c:ptCount val="1"/>
                <c:pt idx="0">
                  <c:v>TED</c:v>
                </c:pt>
              </c:strCache>
            </c:strRef>
          </c:tx>
          <c:spPr>
            <a:ln w="28575" cap="rnd">
              <a:solidFill>
                <a:schemeClr val="accent1"/>
              </a:solidFill>
              <a:round/>
            </a:ln>
            <a:effectLst/>
          </c:spPr>
          <c:marker>
            <c:symbol val="none"/>
          </c:marker>
          <c:cat>
            <c:numRef>
              <c:f>Bond_TED!$A$2:$A$28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Bond_TED!$B$2:$B$28</c:f>
              <c:numCache>
                <c:formatCode>General</c:formatCode>
                <c:ptCount val="27"/>
                <c:pt idx="0">
                  <c:v>0.81419230769230799</c:v>
                </c:pt>
                <c:pt idx="1">
                  <c:v>1.3298467432950201</c:v>
                </c:pt>
                <c:pt idx="2">
                  <c:v>1.2304214559386999</c:v>
                </c:pt>
                <c:pt idx="3">
                  <c:v>1.11203846153846</c:v>
                </c:pt>
                <c:pt idx="4">
                  <c:v>0.73996168582375499</c:v>
                </c:pt>
                <c:pt idx="5">
                  <c:v>0.572835249042145</c:v>
                </c:pt>
                <c:pt idx="6">
                  <c:v>0.377251908396947</c:v>
                </c:pt>
                <c:pt idx="7">
                  <c:v>0.288314176245211</c:v>
                </c:pt>
                <c:pt idx="8">
                  <c:v>0.46565384615384597</c:v>
                </c:pt>
                <c:pt idx="9">
                  <c:v>0.51915384615384597</c:v>
                </c:pt>
                <c:pt idx="10">
                  <c:v>0.48026717557251902</c:v>
                </c:pt>
                <c:pt idx="11">
                  <c:v>0.64402298850574702</c:v>
                </c:pt>
                <c:pt idx="12">
                  <c:v>0.74203065134099599</c:v>
                </c:pt>
                <c:pt idx="13">
                  <c:v>0.72386973180076597</c:v>
                </c:pt>
                <c:pt idx="14">
                  <c:v>0.67492307692307596</c:v>
                </c:pt>
                <c:pt idx="15">
                  <c:v>0.35977011494252897</c:v>
                </c:pt>
                <c:pt idx="16">
                  <c:v>0.17854406130268199</c:v>
                </c:pt>
                <c:pt idx="17">
                  <c:v>0.194789272030651</c:v>
                </c:pt>
                <c:pt idx="18">
                  <c:v>0.23068702290076301</c:v>
                </c:pt>
                <c:pt idx="19">
                  <c:v>0.38861538461538497</c:v>
                </c:pt>
                <c:pt idx="20">
                  <c:v>0.44346153846153802</c:v>
                </c:pt>
                <c:pt idx="21">
                  <c:v>0.88436781609195403</c:v>
                </c:pt>
                <c:pt idx="22">
                  <c:v>1.4597709923664099</c:v>
                </c:pt>
                <c:pt idx="23">
                  <c:v>0.50724137931034396</c:v>
                </c:pt>
                <c:pt idx="24">
                  <c:v>0.19402298850574701</c:v>
                </c:pt>
                <c:pt idx="25">
                  <c:v>0.26615384615384602</c:v>
                </c:pt>
                <c:pt idx="26">
                  <c:v>0.319885057471264</c:v>
                </c:pt>
              </c:numCache>
            </c:numRef>
          </c:val>
          <c:smooth val="0"/>
          <c:extLst>
            <c:ext xmlns:c16="http://schemas.microsoft.com/office/drawing/2014/chart" uri="{C3380CC4-5D6E-409C-BE32-E72D297353CC}">
              <c16:uniqueId val="{00000001-2946-4E2B-96F4-45681F22983B}"/>
            </c:ext>
          </c:extLst>
        </c:ser>
        <c:dLbls>
          <c:showLegendKey val="0"/>
          <c:showVal val="0"/>
          <c:showCatName val="0"/>
          <c:showSerName val="0"/>
          <c:showPercent val="0"/>
          <c:showBubbleSize val="0"/>
        </c:dLbls>
        <c:marker val="1"/>
        <c:smooth val="0"/>
        <c:axId val="754416480"/>
        <c:axId val="754416088"/>
      </c:lineChart>
      <c:catAx>
        <c:axId val="754060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415696"/>
        <c:crosses val="autoZero"/>
        <c:auto val="1"/>
        <c:lblAlgn val="ctr"/>
        <c:lblOffset val="100"/>
        <c:noMultiLvlLbl val="0"/>
      </c:catAx>
      <c:valAx>
        <c:axId val="754415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Diversification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060776"/>
        <c:crosses val="autoZero"/>
        <c:crossBetween val="between"/>
      </c:valAx>
      <c:valAx>
        <c:axId val="75441608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TED</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416480"/>
        <c:crosses val="max"/>
        <c:crossBetween val="between"/>
      </c:valAx>
      <c:catAx>
        <c:axId val="754416480"/>
        <c:scaling>
          <c:orientation val="minMax"/>
        </c:scaling>
        <c:delete val="1"/>
        <c:axPos val="b"/>
        <c:numFmt formatCode="General" sourceLinked="1"/>
        <c:majorTickMark val="none"/>
        <c:minorTickMark val="none"/>
        <c:tickLblPos val="nextTo"/>
        <c:crossAx val="7544160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1"/>
          <c:tx>
            <c:strRef>
              <c:f>REITs_TED!$E$1</c:f>
              <c:strCache>
                <c:ptCount val="1"/>
                <c:pt idx="0">
                  <c:v>Real Estate Diversification</c:v>
                </c:pt>
              </c:strCache>
            </c:strRef>
          </c:tx>
          <c:spPr>
            <a:ln w="28575" cap="rnd">
              <a:solidFill>
                <a:schemeClr val="accent2"/>
              </a:solidFill>
              <a:round/>
            </a:ln>
            <a:effectLst/>
          </c:spPr>
          <c:marker>
            <c:symbol val="none"/>
          </c:marker>
          <c:cat>
            <c:numRef>
              <c:f>REITs_TED!$A$2:$A$28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REITs_TED!$E$2:$E$28</c:f>
              <c:numCache>
                <c:formatCode>General</c:formatCode>
                <c:ptCount val="27"/>
                <c:pt idx="0">
                  <c:v>-3.3863133510462982</c:v>
                </c:pt>
                <c:pt idx="1">
                  <c:v>20.488364280805889</c:v>
                </c:pt>
                <c:pt idx="2">
                  <c:v>-5.0043565276595361</c:v>
                </c:pt>
                <c:pt idx="3">
                  <c:v>2.3947605296190391</c:v>
                </c:pt>
                <c:pt idx="4">
                  <c:v>-13.25611683316388</c:v>
                </c:pt>
                <c:pt idx="5">
                  <c:v>-7.6894694742278782</c:v>
                </c:pt>
                <c:pt idx="6">
                  <c:v>1.0543278285656239</c:v>
                </c:pt>
                <c:pt idx="7">
                  <c:v>-6.1756576332320083</c:v>
                </c:pt>
                <c:pt idx="8">
                  <c:v>-0.40369315733239303</c:v>
                </c:pt>
                <c:pt idx="9">
                  <c:v>3.9541008678801628</c:v>
                </c:pt>
                <c:pt idx="10">
                  <c:v>0.74431028182912395</c:v>
                </c:pt>
                <c:pt idx="11">
                  <c:v>-15.060232197725551</c:v>
                </c:pt>
                <c:pt idx="12">
                  <c:v>-7.0598010572068981</c:v>
                </c:pt>
                <c:pt idx="13">
                  <c:v>3.3311592730948831</c:v>
                </c:pt>
                <c:pt idx="14">
                  <c:v>-7.9946628310016576</c:v>
                </c:pt>
                <c:pt idx="15">
                  <c:v>0.87321854994006798</c:v>
                </c:pt>
                <c:pt idx="16">
                  <c:v>-0.55735336038323902</c:v>
                </c:pt>
                <c:pt idx="17">
                  <c:v>2.3997870475006771</c:v>
                </c:pt>
                <c:pt idx="18">
                  <c:v>6.7616855149191872</c:v>
                </c:pt>
                <c:pt idx="19">
                  <c:v>3.1903507680380838</c:v>
                </c:pt>
                <c:pt idx="20">
                  <c:v>-12.440736901952761</c:v>
                </c:pt>
                <c:pt idx="21">
                  <c:v>-0.70324293922706804</c:v>
                </c:pt>
                <c:pt idx="22">
                  <c:v>4.7834773001442219</c:v>
                </c:pt>
                <c:pt idx="23">
                  <c:v>-3.2597838066132159</c:v>
                </c:pt>
                <c:pt idx="24">
                  <c:v>-1.509794123975476</c:v>
                </c:pt>
                <c:pt idx="25">
                  <c:v>-12.99697381550145</c:v>
                </c:pt>
                <c:pt idx="26">
                  <c:v>-12.792518198729161</c:v>
                </c:pt>
              </c:numCache>
            </c:numRef>
          </c:val>
          <c:smooth val="0"/>
          <c:extLst>
            <c:ext xmlns:c16="http://schemas.microsoft.com/office/drawing/2014/chart" uri="{C3380CC4-5D6E-409C-BE32-E72D297353CC}">
              <c16:uniqueId val="{00000000-6342-4E0B-80D1-53BD166D55DC}"/>
            </c:ext>
          </c:extLst>
        </c:ser>
        <c:dLbls>
          <c:showLegendKey val="0"/>
          <c:showVal val="0"/>
          <c:showCatName val="0"/>
          <c:showSerName val="0"/>
          <c:showPercent val="0"/>
          <c:showBubbleSize val="0"/>
        </c:dLbls>
        <c:marker val="1"/>
        <c:smooth val="0"/>
        <c:axId val="754417264"/>
        <c:axId val="754417656"/>
      </c:lineChart>
      <c:lineChart>
        <c:grouping val="standard"/>
        <c:varyColors val="0"/>
        <c:ser>
          <c:idx val="0"/>
          <c:order val="0"/>
          <c:tx>
            <c:strRef>
              <c:f>REITs_TED!$B$1</c:f>
              <c:strCache>
                <c:ptCount val="1"/>
                <c:pt idx="0">
                  <c:v>TED</c:v>
                </c:pt>
              </c:strCache>
            </c:strRef>
          </c:tx>
          <c:spPr>
            <a:ln w="28575" cap="rnd">
              <a:solidFill>
                <a:schemeClr val="accent1"/>
              </a:solidFill>
              <a:round/>
            </a:ln>
            <a:effectLst/>
          </c:spPr>
          <c:marker>
            <c:symbol val="none"/>
          </c:marker>
          <c:cat>
            <c:numRef>
              <c:f>REITs_TED!$A$2:$A$28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REITs_TED!$B$2:$B$28</c:f>
              <c:numCache>
                <c:formatCode>General</c:formatCode>
                <c:ptCount val="27"/>
                <c:pt idx="0">
                  <c:v>0.81419230769230799</c:v>
                </c:pt>
                <c:pt idx="1">
                  <c:v>1.3298467432950201</c:v>
                </c:pt>
                <c:pt idx="2">
                  <c:v>1.2304214559386999</c:v>
                </c:pt>
                <c:pt idx="3">
                  <c:v>1.11203846153846</c:v>
                </c:pt>
                <c:pt idx="4">
                  <c:v>0.73996168582375499</c:v>
                </c:pt>
                <c:pt idx="5">
                  <c:v>0.572835249042145</c:v>
                </c:pt>
                <c:pt idx="6">
                  <c:v>0.377251908396947</c:v>
                </c:pt>
                <c:pt idx="7">
                  <c:v>0.288314176245211</c:v>
                </c:pt>
                <c:pt idx="8">
                  <c:v>0.46565384615384597</c:v>
                </c:pt>
                <c:pt idx="9">
                  <c:v>0.51915384615384597</c:v>
                </c:pt>
                <c:pt idx="10">
                  <c:v>0.48026717557251902</c:v>
                </c:pt>
                <c:pt idx="11">
                  <c:v>0.64402298850574702</c:v>
                </c:pt>
                <c:pt idx="12">
                  <c:v>0.74203065134099599</c:v>
                </c:pt>
                <c:pt idx="13">
                  <c:v>0.72386973180076597</c:v>
                </c:pt>
                <c:pt idx="14">
                  <c:v>0.67492307692307596</c:v>
                </c:pt>
                <c:pt idx="15">
                  <c:v>0.35977011494252897</c:v>
                </c:pt>
                <c:pt idx="16">
                  <c:v>0.17854406130268199</c:v>
                </c:pt>
                <c:pt idx="17">
                  <c:v>0.194789272030651</c:v>
                </c:pt>
                <c:pt idx="18">
                  <c:v>0.23068702290076301</c:v>
                </c:pt>
                <c:pt idx="19">
                  <c:v>0.38861538461538497</c:v>
                </c:pt>
                <c:pt idx="20">
                  <c:v>0.44346153846153802</c:v>
                </c:pt>
                <c:pt idx="21">
                  <c:v>0.88436781609195403</c:v>
                </c:pt>
                <c:pt idx="22">
                  <c:v>1.4597709923664099</c:v>
                </c:pt>
                <c:pt idx="23">
                  <c:v>0.50724137931034396</c:v>
                </c:pt>
                <c:pt idx="24">
                  <c:v>0.19402298850574701</c:v>
                </c:pt>
                <c:pt idx="25">
                  <c:v>0.26615384615384602</c:v>
                </c:pt>
                <c:pt idx="26">
                  <c:v>0.319885057471264</c:v>
                </c:pt>
              </c:numCache>
            </c:numRef>
          </c:val>
          <c:smooth val="0"/>
          <c:extLst>
            <c:ext xmlns:c16="http://schemas.microsoft.com/office/drawing/2014/chart" uri="{C3380CC4-5D6E-409C-BE32-E72D297353CC}">
              <c16:uniqueId val="{00000001-6342-4E0B-80D1-53BD166D55DC}"/>
            </c:ext>
          </c:extLst>
        </c:ser>
        <c:dLbls>
          <c:showLegendKey val="0"/>
          <c:showVal val="0"/>
          <c:showCatName val="0"/>
          <c:showSerName val="0"/>
          <c:showPercent val="0"/>
          <c:showBubbleSize val="0"/>
        </c:dLbls>
        <c:marker val="1"/>
        <c:smooth val="0"/>
        <c:axId val="754418440"/>
        <c:axId val="754418048"/>
      </c:lineChart>
      <c:catAx>
        <c:axId val="75441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417656"/>
        <c:crosses val="autoZero"/>
        <c:auto val="1"/>
        <c:lblAlgn val="ctr"/>
        <c:lblOffset val="100"/>
        <c:noMultiLvlLbl val="0"/>
      </c:catAx>
      <c:valAx>
        <c:axId val="754417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Diversification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417264"/>
        <c:crosses val="autoZero"/>
        <c:crossBetween val="between"/>
      </c:valAx>
      <c:valAx>
        <c:axId val="7544180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TED</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418440"/>
        <c:crosses val="max"/>
        <c:crossBetween val="between"/>
      </c:valAx>
      <c:catAx>
        <c:axId val="754418440"/>
        <c:scaling>
          <c:orientation val="minMax"/>
        </c:scaling>
        <c:delete val="1"/>
        <c:axPos val="b"/>
        <c:numFmt formatCode="General" sourceLinked="1"/>
        <c:majorTickMark val="none"/>
        <c:minorTickMark val="none"/>
        <c:tickLblPos val="nextTo"/>
        <c:crossAx val="7544180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REIT_Trend!$B$1</c:f>
              <c:strCache>
                <c:ptCount val="1"/>
                <c:pt idx="0">
                  <c:v>Real Estate</c:v>
                </c:pt>
              </c:strCache>
            </c:strRef>
          </c:tx>
          <c:spPr>
            <a:ln w="28575" cap="rnd">
              <a:solidFill>
                <a:schemeClr val="accent1"/>
              </a:solidFill>
              <a:round/>
            </a:ln>
            <a:effectLst/>
          </c:spPr>
          <c:marker>
            <c:symbol val="none"/>
          </c:marker>
          <c:trendline>
            <c:spPr>
              <a:ln w="19050" cap="rnd">
                <a:solidFill>
                  <a:schemeClr val="accent2"/>
                </a:solidFill>
                <a:prstDash val="sysDot"/>
              </a:ln>
              <a:effectLst/>
            </c:spPr>
            <c:trendlineType val="linear"/>
            <c:dispRSqr val="0"/>
            <c:dispEq val="0"/>
          </c:trendline>
          <c:cat>
            <c:numRef>
              <c:f>REIT_Trend!$A$2:$A$28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REIT_Trend!$B$2:$B$28</c:f>
              <c:numCache>
                <c:formatCode>General</c:formatCode>
                <c:ptCount val="27"/>
                <c:pt idx="0">
                  <c:v>85.792220131284751</c:v>
                </c:pt>
                <c:pt idx="1">
                  <c:v>90.70379224635947</c:v>
                </c:pt>
                <c:pt idx="2">
                  <c:v>92.198097907780763</c:v>
                </c:pt>
                <c:pt idx="3">
                  <c:v>91.874691069302798</c:v>
                </c:pt>
                <c:pt idx="4">
                  <c:v>99.927597646266264</c:v>
                </c:pt>
                <c:pt idx="5">
                  <c:v>98.681998227089437</c:v>
                </c:pt>
                <c:pt idx="6">
                  <c:v>84.296392035855291</c:v>
                </c:pt>
                <c:pt idx="7">
                  <c:v>96.528510966148914</c:v>
                </c:pt>
                <c:pt idx="8">
                  <c:v>97.431647516206141</c:v>
                </c:pt>
                <c:pt idx="9">
                  <c:v>99.006144655381021</c:v>
                </c:pt>
                <c:pt idx="10">
                  <c:v>99.202660649015101</c:v>
                </c:pt>
                <c:pt idx="11">
                  <c:v>90.843876475267166</c:v>
                </c:pt>
                <c:pt idx="12">
                  <c:v>95.081599109515693</c:v>
                </c:pt>
                <c:pt idx="13">
                  <c:v>96.923826000419851</c:v>
                </c:pt>
                <c:pt idx="14">
                  <c:v>97.617021445872297</c:v>
                </c:pt>
                <c:pt idx="15">
                  <c:v>91.820201107723648</c:v>
                </c:pt>
                <c:pt idx="16">
                  <c:v>91.733423891312782</c:v>
                </c:pt>
                <c:pt idx="17">
                  <c:v>96.45350803380876</c:v>
                </c:pt>
                <c:pt idx="18">
                  <c:v>83.608159022890149</c:v>
                </c:pt>
                <c:pt idx="19">
                  <c:v>84.021731522765904</c:v>
                </c:pt>
                <c:pt idx="20">
                  <c:v>79.482218991448832</c:v>
                </c:pt>
                <c:pt idx="21">
                  <c:v>70.590328258118333</c:v>
                </c:pt>
                <c:pt idx="22">
                  <c:v>64.758449482386155</c:v>
                </c:pt>
                <c:pt idx="23">
                  <c:v>66.929093142521097</c:v>
                </c:pt>
                <c:pt idx="24">
                  <c:v>62.029461814047473</c:v>
                </c:pt>
                <c:pt idx="25">
                  <c:v>55.978065059774252</c:v>
                </c:pt>
                <c:pt idx="26">
                  <c:v>66.800792576069355</c:v>
                </c:pt>
              </c:numCache>
            </c:numRef>
          </c:val>
          <c:smooth val="0"/>
          <c:extLst>
            <c:ext xmlns:c16="http://schemas.microsoft.com/office/drawing/2014/chart" uri="{C3380CC4-5D6E-409C-BE32-E72D297353CC}">
              <c16:uniqueId val="{00000000-1331-4A07-B313-74EC6EE51E7C}"/>
            </c:ext>
          </c:extLst>
        </c:ser>
        <c:dLbls>
          <c:showLegendKey val="0"/>
          <c:showVal val="0"/>
          <c:showCatName val="0"/>
          <c:showSerName val="0"/>
          <c:showPercent val="0"/>
          <c:showBubbleSize val="0"/>
        </c:dLbls>
        <c:smooth val="0"/>
        <c:axId val="727193400"/>
        <c:axId val="751949536"/>
      </c:lineChart>
      <c:catAx>
        <c:axId val="727193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949536"/>
        <c:crosses val="autoZero"/>
        <c:auto val="1"/>
        <c:lblAlgn val="ctr"/>
        <c:lblOffset val="100"/>
        <c:noMultiLvlLbl val="0"/>
      </c:catAx>
      <c:valAx>
        <c:axId val="751949536"/>
        <c:scaling>
          <c:orientation val="minMax"/>
          <c:max val="100"/>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193400"/>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0"/>
          <c:tx>
            <c:strRef>
              <c:f>'3Assets_Trend'!$B$1</c:f>
              <c:strCache>
                <c:ptCount val="1"/>
                <c:pt idx="0">
                  <c:v>World Diversification Index (3 Assets)</c:v>
                </c:pt>
              </c:strCache>
            </c:strRef>
          </c:tx>
          <c:spPr>
            <a:ln w="28575" cap="rnd">
              <a:solidFill>
                <a:schemeClr val="accent1"/>
              </a:solidFill>
              <a:round/>
            </a:ln>
            <a:effectLst/>
          </c:spPr>
          <c:marker>
            <c:symbol val="none"/>
          </c:marker>
          <c:trendline>
            <c:spPr>
              <a:ln w="19050" cap="rnd">
                <a:solidFill>
                  <a:schemeClr val="accent2"/>
                </a:solidFill>
                <a:prstDash val="sysDot"/>
              </a:ln>
              <a:effectLst/>
            </c:spPr>
            <c:trendlineType val="linear"/>
            <c:dispRSqr val="0"/>
            <c:dispEq val="0"/>
          </c:trendline>
          <c:cat>
            <c:numRef>
              <c:f>'3Assets_Trend'!$A$2:$A$28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'3Assets_Trend'!$B$2:$B$28</c:f>
              <c:numCache>
                <c:formatCode>General</c:formatCode>
                <c:ptCount val="27"/>
                <c:pt idx="0">
                  <c:v>75.716517007481158</c:v>
                </c:pt>
                <c:pt idx="1">
                  <c:v>89.078052612452453</c:v>
                </c:pt>
                <c:pt idx="2">
                  <c:v>90.498691283390727</c:v>
                </c:pt>
                <c:pt idx="3">
                  <c:v>86.779958447164049</c:v>
                </c:pt>
                <c:pt idx="4">
                  <c:v>99.841941768994445</c:v>
                </c:pt>
                <c:pt idx="5">
                  <c:v>98.589410884517704</c:v>
                </c:pt>
                <c:pt idx="6">
                  <c:v>79.813831037794387</c:v>
                </c:pt>
                <c:pt idx="7">
                  <c:v>94.863005174923899</c:v>
                </c:pt>
                <c:pt idx="8">
                  <c:v>96.241880284618802</c:v>
                </c:pt>
                <c:pt idx="9">
                  <c:v>98.096189267179227</c:v>
                </c:pt>
                <c:pt idx="10">
                  <c:v>98.232472923927858</c:v>
                </c:pt>
                <c:pt idx="11">
                  <c:v>89.815792423526986</c:v>
                </c:pt>
                <c:pt idx="12">
                  <c:v>92.303123308698673</c:v>
                </c:pt>
                <c:pt idx="13">
                  <c:v>94.196537760495488</c:v>
                </c:pt>
                <c:pt idx="14">
                  <c:v>93.568953095421179</c:v>
                </c:pt>
                <c:pt idx="15">
                  <c:v>90.814617177283978</c:v>
                </c:pt>
                <c:pt idx="16">
                  <c:v>91.593934407313967</c:v>
                </c:pt>
                <c:pt idx="17">
                  <c:v>93.656547825732957</c:v>
                </c:pt>
                <c:pt idx="18">
                  <c:v>81.337315496533279</c:v>
                </c:pt>
                <c:pt idx="19">
                  <c:v>73.96393755573186</c:v>
                </c:pt>
                <c:pt idx="20">
                  <c:v>76.719188819719761</c:v>
                </c:pt>
                <c:pt idx="21">
                  <c:v>75.267413955803505</c:v>
                </c:pt>
                <c:pt idx="22">
                  <c:v>68.431919928619877</c:v>
                </c:pt>
                <c:pt idx="23">
                  <c:v>65.204835489359297</c:v>
                </c:pt>
                <c:pt idx="24">
                  <c:v>61.373739303548803</c:v>
                </c:pt>
                <c:pt idx="25">
                  <c:v>58.394915797620499</c:v>
                </c:pt>
                <c:pt idx="26">
                  <c:v>61.565074357739263</c:v>
                </c:pt>
              </c:numCache>
            </c:numRef>
          </c:val>
          <c:smooth val="0"/>
          <c:extLst>
            <c:ext xmlns:c16="http://schemas.microsoft.com/office/drawing/2014/chart" uri="{C3380CC4-5D6E-409C-BE32-E72D297353CC}">
              <c16:uniqueId val="{00000000-76D8-4286-AEDF-B64AE391B356}"/>
            </c:ext>
          </c:extLst>
        </c:ser>
        <c:dLbls>
          <c:showLegendKey val="0"/>
          <c:showVal val="0"/>
          <c:showCatName val="0"/>
          <c:showSerName val="0"/>
          <c:showPercent val="0"/>
          <c:showBubbleSize val="0"/>
        </c:dLbls>
        <c:smooth val="0"/>
        <c:axId val="751950320"/>
        <c:axId val="751950712"/>
      </c:lineChart>
      <c:catAx>
        <c:axId val="75195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950712"/>
        <c:crosses val="autoZero"/>
        <c:auto val="1"/>
        <c:lblAlgn val="ctr"/>
        <c:lblOffset val="100"/>
        <c:noMultiLvlLbl val="0"/>
      </c:catAx>
      <c:valAx>
        <c:axId val="751950712"/>
        <c:scaling>
          <c:orientation val="minMax"/>
          <c:max val="100"/>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950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Equity</a:t>
            </a:r>
          </a:p>
        </c:rich>
      </c:tx>
      <c:overlay val="0"/>
      <c:spPr>
        <a:noFill/>
        <a:ln>
          <a:noFill/>
        </a:ln>
        <a:effectLst/>
      </c:spPr>
    </c:title>
    <c:autoTitleDeleted val="0"/>
    <c:plotArea>
      <c:layout/>
      <c:lineChart>
        <c:grouping val="standard"/>
        <c:varyColors val="0"/>
        <c:ser>
          <c:idx val="0"/>
          <c:order val="0"/>
          <c:tx>
            <c:strRef>
              <c:f>'cohort-equity'!$B$1</c:f>
              <c:strCache>
                <c:ptCount val="1"/>
                <c:pt idx="0">
                  <c:v>Pre 1974</c:v>
                </c:pt>
              </c:strCache>
            </c:strRef>
          </c:tx>
          <c:spPr>
            <a:ln w="28575" cap="rnd">
              <a:solidFill>
                <a:schemeClr val="accent1"/>
              </a:solidFill>
              <a:round/>
            </a:ln>
            <a:effectLst/>
          </c:spPr>
          <c:marker>
            <c:symbol val="none"/>
          </c:marker>
          <c:cat>
            <c:numRef>
              <c:f>'cohort-equity'!$A$2:$A$28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'cohort-equity'!$B$2:$B$28</c:f>
              <c:numCache>
                <c:formatCode>General</c:formatCode>
                <c:ptCount val="27"/>
                <c:pt idx="0">
                  <c:v>82.435200882915467</c:v>
                </c:pt>
                <c:pt idx="1">
                  <c:v>80.475250977818007</c:v>
                </c:pt>
                <c:pt idx="2">
                  <c:v>79.826582374877631</c:v>
                </c:pt>
                <c:pt idx="3">
                  <c:v>79.320301586112961</c:v>
                </c:pt>
                <c:pt idx="4">
                  <c:v>99.802127569021053</c:v>
                </c:pt>
                <c:pt idx="5">
                  <c:v>96.584667516846608</c:v>
                </c:pt>
                <c:pt idx="6">
                  <c:v>71.929266628302003</c:v>
                </c:pt>
                <c:pt idx="7">
                  <c:v>95.494060746478524</c:v>
                </c:pt>
                <c:pt idx="8">
                  <c:v>94.959770416199504</c:v>
                </c:pt>
                <c:pt idx="9">
                  <c:v>97.65740262244816</c:v>
                </c:pt>
                <c:pt idx="10">
                  <c:v>98.431812086574951</c:v>
                </c:pt>
                <c:pt idx="11">
                  <c:v>66.711723590301077</c:v>
                </c:pt>
                <c:pt idx="12">
                  <c:v>72.038078981040414</c:v>
                </c:pt>
                <c:pt idx="13">
                  <c:v>77.681011575861419</c:v>
                </c:pt>
                <c:pt idx="14">
                  <c:v>73.44386581625929</c:v>
                </c:pt>
                <c:pt idx="15">
                  <c:v>61.318114699492803</c:v>
                </c:pt>
                <c:pt idx="16">
                  <c:v>59.115899017828099</c:v>
                </c:pt>
                <c:pt idx="17">
                  <c:v>61.411208130809783</c:v>
                </c:pt>
                <c:pt idx="18">
                  <c:v>48.967383746510698</c:v>
                </c:pt>
                <c:pt idx="19">
                  <c:v>52.826306859879978</c:v>
                </c:pt>
                <c:pt idx="20">
                  <c:v>43.248752573256731</c:v>
                </c:pt>
                <c:pt idx="21">
                  <c:v>36.305885434060848</c:v>
                </c:pt>
                <c:pt idx="22">
                  <c:v>36.075329877131232</c:v>
                </c:pt>
                <c:pt idx="23">
                  <c:v>37.697441623068521</c:v>
                </c:pt>
                <c:pt idx="24">
                  <c:v>30.692929574933149</c:v>
                </c:pt>
                <c:pt idx="25">
                  <c:v>29.339907787955379</c:v>
                </c:pt>
                <c:pt idx="26">
                  <c:v>33.956012480569903</c:v>
                </c:pt>
              </c:numCache>
            </c:numRef>
          </c:val>
          <c:smooth val="0"/>
          <c:extLst>
            <c:ext xmlns:c16="http://schemas.microsoft.com/office/drawing/2014/chart" uri="{C3380CC4-5D6E-409C-BE32-E72D297353CC}">
              <c16:uniqueId val="{00000000-0063-4EC1-A8C3-4CCD08BD6B18}"/>
            </c:ext>
          </c:extLst>
        </c:ser>
        <c:ser>
          <c:idx val="1"/>
          <c:order val="1"/>
          <c:tx>
            <c:strRef>
              <c:f>'cohort-equity'!$AG$1</c:f>
              <c:strCache>
                <c:ptCount val="1"/>
                <c:pt idx="0">
                  <c:v>1984-1993</c:v>
                </c:pt>
              </c:strCache>
            </c:strRef>
          </c:tx>
          <c:spPr>
            <a:ln w="28575" cap="rnd">
              <a:solidFill>
                <a:schemeClr val="accent2"/>
              </a:solidFill>
              <a:round/>
            </a:ln>
            <a:effectLst/>
          </c:spPr>
          <c:marker>
            <c:symbol val="none"/>
          </c:marker>
          <c:cat>
            <c:numRef>
              <c:f>'cohort-equity'!$A$2:$A$28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'cohort-equity'!$AG$2:$AG$28</c:f>
              <c:numCache>
                <c:formatCode>General</c:formatCode>
                <c:ptCount val="27"/>
                <c:pt idx="0">
                  <c:v>94.06333918545883</c:v>
                </c:pt>
                <c:pt idx="1">
                  <c:v>90.182542191479925</c:v>
                </c:pt>
                <c:pt idx="2">
                  <c:v>93.379330834274356</c:v>
                </c:pt>
                <c:pt idx="3">
                  <c:v>92.424903340113005</c:v>
                </c:pt>
                <c:pt idx="4">
                  <c:v>99.514354622959047</c:v>
                </c:pt>
                <c:pt idx="5">
                  <c:v>98.9132610947063</c:v>
                </c:pt>
                <c:pt idx="6">
                  <c:v>93.159089782366209</c:v>
                </c:pt>
                <c:pt idx="7">
                  <c:v>97.72883054221829</c:v>
                </c:pt>
                <c:pt idx="8">
                  <c:v>98.070838554862874</c:v>
                </c:pt>
                <c:pt idx="9">
                  <c:v>96.961703773503146</c:v>
                </c:pt>
                <c:pt idx="10">
                  <c:v>98.921333039305367</c:v>
                </c:pt>
                <c:pt idx="11">
                  <c:v>85.708695817675292</c:v>
                </c:pt>
                <c:pt idx="12">
                  <c:v>85.067672064349196</c:v>
                </c:pt>
                <c:pt idx="13">
                  <c:v>90.919362555089648</c:v>
                </c:pt>
                <c:pt idx="14">
                  <c:v>86.563814938247177</c:v>
                </c:pt>
                <c:pt idx="15">
                  <c:v>87.110452048142463</c:v>
                </c:pt>
                <c:pt idx="16">
                  <c:v>90.574679252448092</c:v>
                </c:pt>
                <c:pt idx="17">
                  <c:v>92.428071047435907</c:v>
                </c:pt>
                <c:pt idx="18">
                  <c:v>83.419650967082944</c:v>
                </c:pt>
                <c:pt idx="19">
                  <c:v>85.143241939945796</c:v>
                </c:pt>
                <c:pt idx="20">
                  <c:v>77.481654619725305</c:v>
                </c:pt>
                <c:pt idx="21">
                  <c:v>70.093810931581714</c:v>
                </c:pt>
                <c:pt idx="22">
                  <c:v>64.339746131395088</c:v>
                </c:pt>
                <c:pt idx="23">
                  <c:v>69.480577504347906</c:v>
                </c:pt>
                <c:pt idx="24">
                  <c:v>64.933810624801097</c:v>
                </c:pt>
                <c:pt idx="25">
                  <c:v>65.506115631189061</c:v>
                </c:pt>
                <c:pt idx="26">
                  <c:v>68.525624509390454</c:v>
                </c:pt>
              </c:numCache>
            </c:numRef>
          </c:val>
          <c:smooth val="0"/>
          <c:extLst>
            <c:ext xmlns:c16="http://schemas.microsoft.com/office/drawing/2014/chart" uri="{C3380CC4-5D6E-409C-BE32-E72D297353CC}">
              <c16:uniqueId val="{00000001-0063-4EC1-A8C3-4CCD08BD6B18}"/>
            </c:ext>
          </c:extLst>
        </c:ser>
        <c:ser>
          <c:idx val="2"/>
          <c:order val="2"/>
          <c:tx>
            <c:strRef>
              <c:f>'cohort-equity'!$Y$1</c:f>
              <c:strCache>
                <c:ptCount val="1"/>
                <c:pt idx="0">
                  <c:v>1974-1983</c:v>
                </c:pt>
              </c:strCache>
            </c:strRef>
          </c:tx>
          <c:spPr>
            <a:ln w="28575" cap="rnd">
              <a:solidFill>
                <a:schemeClr val="accent3"/>
              </a:solidFill>
              <a:round/>
            </a:ln>
            <a:effectLst/>
          </c:spPr>
          <c:marker>
            <c:symbol val="none"/>
          </c:marker>
          <c:cat>
            <c:numRef>
              <c:f>'cohort-equity'!$A$2:$A$28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'cohort-equity'!$Y$2:$Y$28</c:f>
              <c:numCache>
                <c:formatCode>General</c:formatCode>
                <c:ptCount val="27"/>
                <c:pt idx="0">
                  <c:v>92.700871696408186</c:v>
                </c:pt>
                <c:pt idx="1">
                  <c:v>83.29801827951168</c:v>
                </c:pt>
                <c:pt idx="2">
                  <c:v>79.136220149710553</c:v>
                </c:pt>
                <c:pt idx="3">
                  <c:v>83.334137019953459</c:v>
                </c:pt>
                <c:pt idx="4">
                  <c:v>99.595094880805334</c:v>
                </c:pt>
                <c:pt idx="5">
                  <c:v>95.982421594459097</c:v>
                </c:pt>
                <c:pt idx="6">
                  <c:v>83.869878788052361</c:v>
                </c:pt>
                <c:pt idx="7">
                  <c:v>97.413659963797102</c:v>
                </c:pt>
                <c:pt idx="8">
                  <c:v>95.045418043000538</c:v>
                </c:pt>
                <c:pt idx="9">
                  <c:v>95.227413280366477</c:v>
                </c:pt>
                <c:pt idx="10">
                  <c:v>99.39851913997461</c:v>
                </c:pt>
                <c:pt idx="11">
                  <c:v>75.488524971737604</c:v>
                </c:pt>
                <c:pt idx="12">
                  <c:v>80.82928280999424</c:v>
                </c:pt>
                <c:pt idx="13">
                  <c:v>83.893071178580527</c:v>
                </c:pt>
                <c:pt idx="14">
                  <c:v>72.331409426776204</c:v>
                </c:pt>
                <c:pt idx="15">
                  <c:v>69.016254985073502</c:v>
                </c:pt>
                <c:pt idx="16">
                  <c:v>66.880944244474549</c:v>
                </c:pt>
                <c:pt idx="17">
                  <c:v>68.511424742737475</c:v>
                </c:pt>
                <c:pt idx="18">
                  <c:v>58.618694577441268</c:v>
                </c:pt>
                <c:pt idx="19">
                  <c:v>65.182549100463575</c:v>
                </c:pt>
                <c:pt idx="20">
                  <c:v>55.70521180001834</c:v>
                </c:pt>
                <c:pt idx="21">
                  <c:v>41.886196505367998</c:v>
                </c:pt>
                <c:pt idx="22">
                  <c:v>43.285499126066753</c:v>
                </c:pt>
                <c:pt idx="23">
                  <c:v>42.765990819000272</c:v>
                </c:pt>
                <c:pt idx="24">
                  <c:v>37.497407585321326</c:v>
                </c:pt>
                <c:pt idx="25">
                  <c:v>41.384121270487412</c:v>
                </c:pt>
                <c:pt idx="26">
                  <c:v>46.843578745224171</c:v>
                </c:pt>
              </c:numCache>
            </c:numRef>
          </c:val>
          <c:smooth val="0"/>
          <c:extLst>
            <c:ext xmlns:c16="http://schemas.microsoft.com/office/drawing/2014/chart" uri="{C3380CC4-5D6E-409C-BE32-E72D297353CC}">
              <c16:uniqueId val="{00000002-0063-4EC1-A8C3-4CCD08BD6B18}"/>
            </c:ext>
          </c:extLst>
        </c:ser>
        <c:ser>
          <c:idx val="3"/>
          <c:order val="3"/>
          <c:tx>
            <c:strRef>
              <c:f>'cohort-equity'!$BN$1</c:f>
              <c:strCache>
                <c:ptCount val="1"/>
                <c:pt idx="0">
                  <c:v>Post 1993</c:v>
                </c:pt>
              </c:strCache>
            </c:strRef>
          </c:tx>
          <c:spPr>
            <a:ln w="28575" cap="rnd">
              <a:solidFill>
                <a:schemeClr val="accent4"/>
              </a:solidFill>
              <a:round/>
            </a:ln>
            <a:effectLst/>
          </c:spPr>
          <c:marker>
            <c:symbol val="none"/>
          </c:marker>
          <c:cat>
            <c:numRef>
              <c:f>'cohort-equity'!$A$2:$A$28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'cohort-equity'!$BN$2:$BN$28</c:f>
              <c:numCache>
                <c:formatCode>General</c:formatCode>
                <c:ptCount val="27"/>
                <c:pt idx="7">
                  <c:v>97.586679032402273</c:v>
                </c:pt>
                <c:pt idx="8">
                  <c:v>99.583619709128499</c:v>
                </c:pt>
                <c:pt idx="9">
                  <c:v>99.532846964266071</c:v>
                </c:pt>
                <c:pt idx="10">
                  <c:v>99.140464449161101</c:v>
                </c:pt>
                <c:pt idx="11">
                  <c:v>96.922725930103653</c:v>
                </c:pt>
                <c:pt idx="12">
                  <c:v>98.058553628156773</c:v>
                </c:pt>
                <c:pt idx="13">
                  <c:v>98.942560436283301</c:v>
                </c:pt>
                <c:pt idx="14">
                  <c:v>97.674493485471544</c:v>
                </c:pt>
                <c:pt idx="15">
                  <c:v>97.789843116875289</c:v>
                </c:pt>
                <c:pt idx="16">
                  <c:v>98.806927952856796</c:v>
                </c:pt>
                <c:pt idx="17">
                  <c:v>99.356193464133526</c:v>
                </c:pt>
                <c:pt idx="18">
                  <c:v>94.9171567698384</c:v>
                </c:pt>
                <c:pt idx="19">
                  <c:v>93.954093196866509</c:v>
                </c:pt>
                <c:pt idx="20">
                  <c:v>92.452031648965303</c:v>
                </c:pt>
                <c:pt idx="21">
                  <c:v>89.01690801136138</c:v>
                </c:pt>
                <c:pt idx="22">
                  <c:v>81.285752502460824</c:v>
                </c:pt>
                <c:pt idx="23">
                  <c:v>82.887787802633582</c:v>
                </c:pt>
                <c:pt idx="24">
                  <c:v>79.13610411381346</c:v>
                </c:pt>
                <c:pt idx="25">
                  <c:v>80.044593090092306</c:v>
                </c:pt>
                <c:pt idx="26">
                  <c:v>80.924107297388744</c:v>
                </c:pt>
              </c:numCache>
            </c:numRef>
          </c:val>
          <c:smooth val="0"/>
          <c:extLst>
            <c:ext xmlns:c16="http://schemas.microsoft.com/office/drawing/2014/chart" uri="{C3380CC4-5D6E-409C-BE32-E72D297353CC}">
              <c16:uniqueId val="{00000003-0063-4EC1-A8C3-4CCD08BD6B18}"/>
            </c:ext>
          </c:extLst>
        </c:ser>
        <c:dLbls>
          <c:showLegendKey val="0"/>
          <c:showVal val="0"/>
          <c:showCatName val="0"/>
          <c:showSerName val="0"/>
          <c:showPercent val="0"/>
          <c:showBubbleSize val="0"/>
        </c:dLbls>
        <c:smooth val="0"/>
        <c:axId val="728920304"/>
        <c:axId val="728920696"/>
      </c:lineChart>
      <c:catAx>
        <c:axId val="728920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920696"/>
        <c:crosses val="autoZero"/>
        <c:auto val="1"/>
        <c:lblAlgn val="ctr"/>
        <c:lblOffset val="100"/>
        <c:noMultiLvlLbl val="0"/>
      </c:catAx>
      <c:valAx>
        <c:axId val="728920696"/>
        <c:scaling>
          <c:orientation val="minMax"/>
          <c:max val="100"/>
          <c:min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920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Bond</a:t>
            </a:r>
          </a:p>
        </c:rich>
      </c:tx>
      <c:overlay val="0"/>
      <c:spPr>
        <a:noFill/>
        <a:ln>
          <a:noFill/>
        </a:ln>
        <a:effectLst/>
      </c:spPr>
    </c:title>
    <c:autoTitleDeleted val="0"/>
    <c:plotArea>
      <c:layout/>
      <c:lineChart>
        <c:grouping val="standard"/>
        <c:varyColors val="0"/>
        <c:ser>
          <c:idx val="1"/>
          <c:order val="0"/>
          <c:tx>
            <c:strRef>
              <c:f>'cohort-bond'!$B$1</c:f>
              <c:strCache>
                <c:ptCount val="1"/>
                <c:pt idx="0">
                  <c:v>Pre 1986</c:v>
                </c:pt>
              </c:strCache>
            </c:strRef>
          </c:tx>
          <c:spPr>
            <a:ln w="28575" cap="rnd">
              <a:solidFill>
                <a:schemeClr val="accent2"/>
              </a:solidFill>
              <a:round/>
            </a:ln>
            <a:effectLst/>
          </c:spPr>
          <c:marker>
            <c:symbol val="none"/>
          </c:marker>
          <c:cat>
            <c:numRef>
              <c:f>'cohort-bond'!$A$2:$A$28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'cohort-bond'!$B$2:$B$28</c:f>
              <c:numCache>
                <c:formatCode>General</c:formatCode>
                <c:ptCount val="27"/>
                <c:pt idx="0">
                  <c:v>55.871206542264233</c:v>
                </c:pt>
                <c:pt idx="1">
                  <c:v>94.648569026094549</c:v>
                </c:pt>
                <c:pt idx="2">
                  <c:v>95.924499421235382</c:v>
                </c:pt>
                <c:pt idx="3">
                  <c:v>82.404665569292504</c:v>
                </c:pt>
                <c:pt idx="4">
                  <c:v>100</c:v>
                </c:pt>
                <c:pt idx="5">
                  <c:v>99.56210054002878</c:v>
                </c:pt>
                <c:pt idx="6">
                  <c:v>70.9039900818223</c:v>
                </c:pt>
                <c:pt idx="7">
                  <c:v>90.133347810653945</c:v>
                </c:pt>
                <c:pt idx="8">
                  <c:v>94.993241715084068</c:v>
                </c:pt>
                <c:pt idx="9">
                  <c:v>99.10374813165447</c:v>
                </c:pt>
                <c:pt idx="10">
                  <c:v>97.169241958592849</c:v>
                </c:pt>
                <c:pt idx="11">
                  <c:v>95.901762847591669</c:v>
                </c:pt>
                <c:pt idx="12">
                  <c:v>96.930569010552446</c:v>
                </c:pt>
                <c:pt idx="13">
                  <c:v>98.984136446940795</c:v>
                </c:pt>
                <c:pt idx="14">
                  <c:v>98.708794242740908</c:v>
                </c:pt>
                <c:pt idx="15">
                  <c:v>98.315553649607196</c:v>
                </c:pt>
                <c:pt idx="16">
                  <c:v>98.069133089311904</c:v>
                </c:pt>
                <c:pt idx="17">
                  <c:v>98.442063852772662</c:v>
                </c:pt>
                <c:pt idx="18">
                  <c:v>83.365570465279333</c:v>
                </c:pt>
                <c:pt idx="19">
                  <c:v>62.948816879794947</c:v>
                </c:pt>
                <c:pt idx="20">
                  <c:v>79.57220602769226</c:v>
                </c:pt>
                <c:pt idx="21">
                  <c:v>92.273415249831032</c:v>
                </c:pt>
                <c:pt idx="22">
                  <c:v>81.283456628480209</c:v>
                </c:pt>
                <c:pt idx="23">
                  <c:v>68.807766093210773</c:v>
                </c:pt>
                <c:pt idx="24">
                  <c:v>66.000397207353458</c:v>
                </c:pt>
                <c:pt idx="25">
                  <c:v>64.894973834150619</c:v>
                </c:pt>
                <c:pt idx="26">
                  <c:v>55.108460040557333</c:v>
                </c:pt>
              </c:numCache>
            </c:numRef>
          </c:val>
          <c:smooth val="0"/>
          <c:extLst>
            <c:ext xmlns:c16="http://schemas.microsoft.com/office/drawing/2014/chart" uri="{C3380CC4-5D6E-409C-BE32-E72D297353CC}">
              <c16:uniqueId val="{00000000-D63F-42F5-8F10-418BFB59A673}"/>
            </c:ext>
          </c:extLst>
        </c:ser>
        <c:ser>
          <c:idx val="2"/>
          <c:order val="1"/>
          <c:tx>
            <c:strRef>
              <c:f>'cohort-bond'!$Q$1</c:f>
              <c:strCache>
                <c:ptCount val="1"/>
                <c:pt idx="0">
                  <c:v>1986-1999</c:v>
                </c:pt>
              </c:strCache>
            </c:strRef>
          </c:tx>
          <c:spPr>
            <a:ln w="28575" cap="rnd">
              <a:solidFill>
                <a:schemeClr val="accent3"/>
              </a:solidFill>
              <a:round/>
            </a:ln>
            <a:effectLst/>
          </c:spPr>
          <c:marker>
            <c:symbol val="none"/>
          </c:marker>
          <c:cat>
            <c:numRef>
              <c:f>'cohort-bond'!$A$2:$A$28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'cohort-bond'!$Q$2:$Q$28</c:f>
              <c:numCache>
                <c:formatCode>General</c:formatCode>
                <c:ptCount val="27"/>
                <c:pt idx="1">
                  <c:v>84.58355593563968</c:v>
                </c:pt>
                <c:pt idx="2">
                  <c:v>90.692130486008992</c:v>
                </c:pt>
                <c:pt idx="3">
                  <c:v>87.210679993301866</c:v>
                </c:pt>
                <c:pt idx="4">
                  <c:v>99.992449519048662</c:v>
                </c:pt>
                <c:pt idx="5">
                  <c:v>99.972557325673449</c:v>
                </c:pt>
                <c:pt idx="6">
                  <c:v>70.260645424528164</c:v>
                </c:pt>
                <c:pt idx="7">
                  <c:v>92.755676143653574</c:v>
                </c:pt>
                <c:pt idx="8">
                  <c:v>94.494709567307382</c:v>
                </c:pt>
                <c:pt idx="9">
                  <c:v>99.432193063028464</c:v>
                </c:pt>
                <c:pt idx="10">
                  <c:v>97.869904845291899</c:v>
                </c:pt>
                <c:pt idx="11">
                  <c:v>98.43542674082353</c:v>
                </c:pt>
                <c:pt idx="12">
                  <c:v>97.184371445726072</c:v>
                </c:pt>
                <c:pt idx="13">
                  <c:v>97.712899578707237</c:v>
                </c:pt>
                <c:pt idx="14">
                  <c:v>99.524211574900207</c:v>
                </c:pt>
                <c:pt idx="15">
                  <c:v>96.996617711705966</c:v>
                </c:pt>
                <c:pt idx="16">
                  <c:v>99.520727547421046</c:v>
                </c:pt>
                <c:pt idx="17">
                  <c:v>99.161145272451577</c:v>
                </c:pt>
                <c:pt idx="18">
                  <c:v>79.040181699229962</c:v>
                </c:pt>
                <c:pt idx="19">
                  <c:v>55.564631482375347</c:v>
                </c:pt>
                <c:pt idx="20">
                  <c:v>75.565500018404393</c:v>
                </c:pt>
                <c:pt idx="21">
                  <c:v>82.130050076367908</c:v>
                </c:pt>
                <c:pt idx="22">
                  <c:v>71.908718706167988</c:v>
                </c:pt>
                <c:pt idx="23">
                  <c:v>54.512347768189699</c:v>
                </c:pt>
                <c:pt idx="24">
                  <c:v>47.174696129489448</c:v>
                </c:pt>
                <c:pt idx="25">
                  <c:v>53.447267678043083</c:v>
                </c:pt>
                <c:pt idx="26">
                  <c:v>50.942364653872573</c:v>
                </c:pt>
              </c:numCache>
            </c:numRef>
          </c:val>
          <c:smooth val="0"/>
          <c:extLst>
            <c:ext xmlns:c16="http://schemas.microsoft.com/office/drawing/2014/chart" uri="{C3380CC4-5D6E-409C-BE32-E72D297353CC}">
              <c16:uniqueId val="{00000001-D63F-42F5-8F10-418BFB59A673}"/>
            </c:ext>
          </c:extLst>
        </c:ser>
        <c:ser>
          <c:idx val="3"/>
          <c:order val="2"/>
          <c:tx>
            <c:strRef>
              <c:f>'cohort-bond'!$AA$1</c:f>
              <c:strCache>
                <c:ptCount val="1"/>
                <c:pt idx="0">
                  <c:v>Post 1999</c:v>
                </c:pt>
              </c:strCache>
            </c:strRef>
          </c:tx>
          <c:spPr>
            <a:ln w="28575" cap="rnd">
              <a:solidFill>
                <a:schemeClr val="accent4"/>
              </a:solidFill>
              <a:round/>
            </a:ln>
            <a:effectLst/>
          </c:spPr>
          <c:marker>
            <c:symbol val="none"/>
          </c:marker>
          <c:cat>
            <c:numRef>
              <c:f>'cohort-bond'!$A$2:$A$28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'cohort-bond'!$AA$2:$AA$28</c:f>
              <c:numCache>
                <c:formatCode>General</c:formatCode>
                <c:ptCount val="27"/>
                <c:pt idx="14">
                  <c:v>95.55855165190593</c:v>
                </c:pt>
                <c:pt idx="15">
                  <c:v>94.854940356905033</c:v>
                </c:pt>
                <c:pt idx="16">
                  <c:v>99.923236416980615</c:v>
                </c:pt>
                <c:pt idx="17">
                  <c:v>99.691022659284741</c:v>
                </c:pt>
                <c:pt idx="18">
                  <c:v>83.060674932295441</c:v>
                </c:pt>
                <c:pt idx="19">
                  <c:v>50.02117963841998</c:v>
                </c:pt>
                <c:pt idx="20">
                  <c:v>64.203785205126081</c:v>
                </c:pt>
                <c:pt idx="21">
                  <c:v>75.714765734022833</c:v>
                </c:pt>
                <c:pt idx="22">
                  <c:v>71.985792767057433</c:v>
                </c:pt>
                <c:pt idx="23">
                  <c:v>58.358286759383063</c:v>
                </c:pt>
                <c:pt idx="24">
                  <c:v>58.932860391739723</c:v>
                </c:pt>
                <c:pt idx="25">
                  <c:v>54.03734926020433</c:v>
                </c:pt>
                <c:pt idx="26">
                  <c:v>54.171751594404277</c:v>
                </c:pt>
              </c:numCache>
            </c:numRef>
          </c:val>
          <c:smooth val="0"/>
          <c:extLst>
            <c:ext xmlns:c16="http://schemas.microsoft.com/office/drawing/2014/chart" uri="{C3380CC4-5D6E-409C-BE32-E72D297353CC}">
              <c16:uniqueId val="{00000002-D63F-42F5-8F10-418BFB59A673}"/>
            </c:ext>
          </c:extLst>
        </c:ser>
        <c:dLbls>
          <c:showLegendKey val="0"/>
          <c:showVal val="0"/>
          <c:showCatName val="0"/>
          <c:showSerName val="0"/>
          <c:showPercent val="0"/>
          <c:showBubbleSize val="0"/>
        </c:dLbls>
        <c:smooth val="0"/>
        <c:axId val="728921480"/>
        <c:axId val="728921872"/>
      </c:lineChart>
      <c:catAx>
        <c:axId val="728921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921872"/>
        <c:crosses val="autoZero"/>
        <c:auto val="1"/>
        <c:lblAlgn val="ctr"/>
        <c:lblOffset val="100"/>
        <c:noMultiLvlLbl val="0"/>
      </c:catAx>
      <c:valAx>
        <c:axId val="728921872"/>
        <c:scaling>
          <c:orientation val="minMax"/>
          <c:max val="100"/>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921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Real Estate</a:t>
            </a:r>
          </a:p>
        </c:rich>
      </c:tx>
      <c:overlay val="0"/>
      <c:spPr>
        <a:noFill/>
        <a:ln>
          <a:noFill/>
        </a:ln>
        <a:effectLst/>
      </c:spPr>
    </c:title>
    <c:autoTitleDeleted val="0"/>
    <c:plotArea>
      <c:layout/>
      <c:lineChart>
        <c:grouping val="standard"/>
        <c:varyColors val="0"/>
        <c:ser>
          <c:idx val="1"/>
          <c:order val="0"/>
          <c:tx>
            <c:strRef>
              <c:f>'cohort-reits'!$B$1</c:f>
              <c:strCache>
                <c:ptCount val="1"/>
                <c:pt idx="0">
                  <c:v>Pre 2000</c:v>
                </c:pt>
              </c:strCache>
            </c:strRef>
          </c:tx>
          <c:spPr>
            <a:ln w="28575" cap="rnd">
              <a:solidFill>
                <a:schemeClr val="accent2"/>
              </a:solidFill>
              <a:round/>
            </a:ln>
            <a:effectLst/>
          </c:spPr>
          <c:marker>
            <c:symbol val="none"/>
          </c:marker>
          <c:cat>
            <c:numRef>
              <c:f>'cohort-reits'!$A$2:$A$28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'cohort-reits'!$B$2:$B$28</c:f>
              <c:numCache>
                <c:formatCode>General</c:formatCode>
                <c:ptCount val="27"/>
                <c:pt idx="0">
                  <c:v>85.792220131284751</c:v>
                </c:pt>
                <c:pt idx="1">
                  <c:v>90.70379224635947</c:v>
                </c:pt>
                <c:pt idx="2">
                  <c:v>92.198097907780763</c:v>
                </c:pt>
                <c:pt idx="3">
                  <c:v>91.874691069302798</c:v>
                </c:pt>
                <c:pt idx="4">
                  <c:v>99.927597646266264</c:v>
                </c:pt>
                <c:pt idx="5">
                  <c:v>98.681998227089437</c:v>
                </c:pt>
                <c:pt idx="6">
                  <c:v>84.296392035855291</c:v>
                </c:pt>
                <c:pt idx="7">
                  <c:v>96.528510966148914</c:v>
                </c:pt>
                <c:pt idx="8">
                  <c:v>97.431647516206141</c:v>
                </c:pt>
                <c:pt idx="9">
                  <c:v>99.006144655381021</c:v>
                </c:pt>
                <c:pt idx="10">
                  <c:v>99.202660649015101</c:v>
                </c:pt>
                <c:pt idx="11">
                  <c:v>90.843876475267166</c:v>
                </c:pt>
                <c:pt idx="12">
                  <c:v>95.081599109515693</c:v>
                </c:pt>
                <c:pt idx="13">
                  <c:v>96.923826000419851</c:v>
                </c:pt>
                <c:pt idx="14">
                  <c:v>97.528434568748878</c:v>
                </c:pt>
                <c:pt idx="15">
                  <c:v>92.915068859803441</c:v>
                </c:pt>
                <c:pt idx="16">
                  <c:v>91.40325291802931</c:v>
                </c:pt>
                <c:pt idx="17">
                  <c:v>95.345877458788095</c:v>
                </c:pt>
                <c:pt idx="18">
                  <c:v>82.598348408472049</c:v>
                </c:pt>
                <c:pt idx="19">
                  <c:v>82.071404244933163</c:v>
                </c:pt>
                <c:pt idx="20">
                  <c:v>75.097785266456839</c:v>
                </c:pt>
                <c:pt idx="21">
                  <c:v>62.987873087460699</c:v>
                </c:pt>
                <c:pt idx="22">
                  <c:v>57.549638391218259</c:v>
                </c:pt>
                <c:pt idx="23">
                  <c:v>56.12184916942703</c:v>
                </c:pt>
                <c:pt idx="24">
                  <c:v>48.094853719444153</c:v>
                </c:pt>
                <c:pt idx="25">
                  <c:v>37.197597621429459</c:v>
                </c:pt>
                <c:pt idx="26">
                  <c:v>51.994016661343807</c:v>
                </c:pt>
              </c:numCache>
            </c:numRef>
          </c:val>
          <c:smooth val="0"/>
          <c:extLst>
            <c:ext xmlns:c16="http://schemas.microsoft.com/office/drawing/2014/chart" uri="{C3380CC4-5D6E-409C-BE32-E72D297353CC}">
              <c16:uniqueId val="{00000000-55CB-4753-BD07-D969212D0626}"/>
            </c:ext>
          </c:extLst>
        </c:ser>
        <c:ser>
          <c:idx val="2"/>
          <c:order val="1"/>
          <c:tx>
            <c:strRef>
              <c:f>'cohort-reits'!$N$1</c:f>
              <c:strCache>
                <c:ptCount val="1"/>
                <c:pt idx="0">
                  <c:v>Post 2000</c:v>
                </c:pt>
              </c:strCache>
            </c:strRef>
          </c:tx>
          <c:spPr>
            <a:ln w="28575" cap="rnd">
              <a:solidFill>
                <a:schemeClr val="accent3"/>
              </a:solidFill>
              <a:round/>
            </a:ln>
            <a:effectLst/>
          </c:spPr>
          <c:marker>
            <c:symbol val="none"/>
          </c:marker>
          <c:cat>
            <c:numRef>
              <c:f>'cohort-reits'!$A$2:$A$28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'cohort-reits'!$N$2:$N$28</c:f>
              <c:numCache>
                <c:formatCode>General</c:formatCode>
                <c:ptCount val="27"/>
                <c:pt idx="14">
                  <c:v>98.414303339982695</c:v>
                </c:pt>
                <c:pt idx="15">
                  <c:v>81.966391339006563</c:v>
                </c:pt>
                <c:pt idx="16">
                  <c:v>93.219193271088002</c:v>
                </c:pt>
                <c:pt idx="17">
                  <c:v>99.77639975887061</c:v>
                </c:pt>
                <c:pt idx="18">
                  <c:v>86.637590866144478</c:v>
                </c:pt>
                <c:pt idx="19">
                  <c:v>88.409967897889885</c:v>
                </c:pt>
                <c:pt idx="20">
                  <c:v>85.119348066438334</c:v>
                </c:pt>
                <c:pt idx="21">
                  <c:v>80.364913477535254</c:v>
                </c:pt>
                <c:pt idx="22">
                  <c:v>74.026920885316301</c:v>
                </c:pt>
                <c:pt idx="23">
                  <c:v>80.82412110792788</c:v>
                </c:pt>
                <c:pt idx="24">
                  <c:v>77.705895920476209</c:v>
                </c:pt>
                <c:pt idx="25">
                  <c:v>72.880485754284507</c:v>
                </c:pt>
                <c:pt idx="26">
                  <c:v>80.12689089932249</c:v>
                </c:pt>
              </c:numCache>
            </c:numRef>
          </c:val>
          <c:smooth val="0"/>
          <c:extLst>
            <c:ext xmlns:c16="http://schemas.microsoft.com/office/drawing/2014/chart" uri="{C3380CC4-5D6E-409C-BE32-E72D297353CC}">
              <c16:uniqueId val="{00000001-55CB-4753-BD07-D969212D0626}"/>
            </c:ext>
          </c:extLst>
        </c:ser>
        <c:dLbls>
          <c:showLegendKey val="0"/>
          <c:showVal val="0"/>
          <c:showCatName val="0"/>
          <c:showSerName val="0"/>
          <c:showPercent val="0"/>
          <c:showBubbleSize val="0"/>
        </c:dLbls>
        <c:smooth val="0"/>
        <c:axId val="752321520"/>
        <c:axId val="752321912"/>
      </c:lineChart>
      <c:catAx>
        <c:axId val="75232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321912"/>
        <c:crosses val="autoZero"/>
        <c:auto val="1"/>
        <c:lblAlgn val="ctr"/>
        <c:lblOffset val="100"/>
        <c:noMultiLvlLbl val="0"/>
      </c:catAx>
      <c:valAx>
        <c:axId val="752321912"/>
        <c:scaling>
          <c:orientation val="minMax"/>
          <c:max val="100"/>
          <c:min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321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Equity_StdDev!$B$1</c:f>
              <c:strCache>
                <c:ptCount val="1"/>
                <c:pt idx="0">
                  <c:v>Equity Diversification</c:v>
                </c:pt>
              </c:strCache>
            </c:strRef>
          </c:tx>
          <c:spPr>
            <a:ln w="28575" cap="rnd">
              <a:solidFill>
                <a:schemeClr val="accent1"/>
              </a:solidFill>
              <a:round/>
            </a:ln>
            <a:effectLst/>
          </c:spPr>
          <c:marker>
            <c:symbol val="none"/>
          </c:marker>
          <c:cat>
            <c:numRef>
              <c:f>Equity_StdDev!$A$2:$A$28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Equity_StdDev!$B$2:$B$28</c:f>
              <c:numCache>
                <c:formatCode>General</c:formatCode>
                <c:ptCount val="27"/>
                <c:pt idx="0">
                  <c:v>84.855086277107389</c:v>
                </c:pt>
                <c:pt idx="1">
                  <c:v>82.462951051744881</c:v>
                </c:pt>
                <c:pt idx="2">
                  <c:v>82.549737433812979</c:v>
                </c:pt>
                <c:pt idx="3">
                  <c:v>83.599958701330166</c:v>
                </c:pt>
                <c:pt idx="4">
                  <c:v>99.159077480761241</c:v>
                </c:pt>
                <c:pt idx="5">
                  <c:v>97.10569159824361</c:v>
                </c:pt>
                <c:pt idx="6">
                  <c:v>82.635466939271083</c:v>
                </c:pt>
                <c:pt idx="7">
                  <c:v>96.522490501649997</c:v>
                </c:pt>
                <c:pt idx="8">
                  <c:v>94.951016414520751</c:v>
                </c:pt>
                <c:pt idx="9">
                  <c:v>93.937703562861373</c:v>
                </c:pt>
                <c:pt idx="10">
                  <c:v>97.468633000528172</c:v>
                </c:pt>
                <c:pt idx="11">
                  <c:v>78.755112456432059</c:v>
                </c:pt>
                <c:pt idx="12">
                  <c:v>81.808757948586006</c:v>
                </c:pt>
                <c:pt idx="13">
                  <c:v>86.210223055686498</c:v>
                </c:pt>
                <c:pt idx="14">
                  <c:v>79.523476226793662</c:v>
                </c:pt>
                <c:pt idx="15">
                  <c:v>78.720662977866255</c:v>
                </c:pt>
                <c:pt idx="16">
                  <c:v>77.103727915595641</c:v>
                </c:pt>
                <c:pt idx="17">
                  <c:v>81.765042018652736</c:v>
                </c:pt>
                <c:pt idx="18">
                  <c:v>72.993010814901908</c:v>
                </c:pt>
                <c:pt idx="19">
                  <c:v>76.805448046905894</c:v>
                </c:pt>
                <c:pt idx="20">
                  <c:v>68.57949742216546</c:v>
                </c:pt>
                <c:pt idx="21">
                  <c:v>62.650165906892013</c:v>
                </c:pt>
                <c:pt idx="22">
                  <c:v>61.510520091751452</c:v>
                </c:pt>
                <c:pt idx="23">
                  <c:v>62.804745240605982</c:v>
                </c:pt>
                <c:pt idx="24">
                  <c:v>58.064171738242273</c:v>
                </c:pt>
                <c:pt idx="25">
                  <c:v>58.0202485092003</c:v>
                </c:pt>
                <c:pt idx="26">
                  <c:v>60.778405106120971</c:v>
                </c:pt>
              </c:numCache>
            </c:numRef>
          </c:val>
          <c:smooth val="0"/>
          <c:extLst>
            <c:ext xmlns:c16="http://schemas.microsoft.com/office/drawing/2014/chart" uri="{C3380CC4-5D6E-409C-BE32-E72D297353CC}">
              <c16:uniqueId val="{00000000-F73A-45DA-B806-CE11382220B7}"/>
            </c:ext>
          </c:extLst>
        </c:ser>
        <c:dLbls>
          <c:showLegendKey val="0"/>
          <c:showVal val="0"/>
          <c:showCatName val="0"/>
          <c:showSerName val="0"/>
          <c:showPercent val="0"/>
          <c:showBubbleSize val="0"/>
        </c:dLbls>
        <c:marker val="1"/>
        <c:smooth val="0"/>
        <c:axId val="752322696"/>
        <c:axId val="752796032"/>
      </c:lineChart>
      <c:lineChart>
        <c:grouping val="standard"/>
        <c:varyColors val="0"/>
        <c:ser>
          <c:idx val="1"/>
          <c:order val="1"/>
          <c:tx>
            <c:strRef>
              <c:f>Equity_StdDev!$D$1</c:f>
              <c:strCache>
                <c:ptCount val="1"/>
                <c:pt idx="0">
                  <c:v>Equity Risk</c:v>
                </c:pt>
              </c:strCache>
            </c:strRef>
          </c:tx>
          <c:spPr>
            <a:ln w="28575" cap="rnd">
              <a:solidFill>
                <a:schemeClr val="accent2"/>
              </a:solidFill>
              <a:round/>
            </a:ln>
            <a:effectLst/>
          </c:spPr>
          <c:marker>
            <c:symbol val="none"/>
          </c:marker>
          <c:cat>
            <c:numRef>
              <c:f>Equity_StdDev!$A$2:$A$28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Equity_StdDev!$D$2:$D$28</c:f>
              <c:numCache>
                <c:formatCode>General</c:formatCode>
                <c:ptCount val="27"/>
                <c:pt idx="0">
                  <c:v>6.1030972015601224</c:v>
                </c:pt>
                <c:pt idx="1">
                  <c:v>10.735985417534939</c:v>
                </c:pt>
                <c:pt idx="2">
                  <c:v>8.781338908291918</c:v>
                </c:pt>
                <c:pt idx="3">
                  <c:v>11.01994442336157</c:v>
                </c:pt>
                <c:pt idx="4">
                  <c:v>14.136950308346149</c:v>
                </c:pt>
                <c:pt idx="5">
                  <c:v>14.10716375001646</c:v>
                </c:pt>
                <c:pt idx="6">
                  <c:v>14.244393969734009</c:v>
                </c:pt>
                <c:pt idx="7">
                  <c:v>13.826276428198881</c:v>
                </c:pt>
                <c:pt idx="8">
                  <c:v>14.475522727324361</c:v>
                </c:pt>
                <c:pt idx="9">
                  <c:v>12.569003564693331</c:v>
                </c:pt>
                <c:pt idx="10">
                  <c:v>12.373656313058159</c:v>
                </c:pt>
                <c:pt idx="11">
                  <c:v>18.938204979702739</c:v>
                </c:pt>
                <c:pt idx="12">
                  <c:v>24.34199502032714</c:v>
                </c:pt>
                <c:pt idx="13">
                  <c:v>19.17767513947927</c:v>
                </c:pt>
                <c:pt idx="14">
                  <c:v>21.527485394479541</c:v>
                </c:pt>
                <c:pt idx="15">
                  <c:v>24.08237358641145</c:v>
                </c:pt>
                <c:pt idx="16">
                  <c:v>19.617978167783509</c:v>
                </c:pt>
                <c:pt idx="17">
                  <c:v>17.557366057921829</c:v>
                </c:pt>
                <c:pt idx="18">
                  <c:v>17.148655536542059</c:v>
                </c:pt>
                <c:pt idx="19">
                  <c:v>17.08919098194022</c:v>
                </c:pt>
                <c:pt idx="20">
                  <c:v>34.091824070052013</c:v>
                </c:pt>
                <c:pt idx="21">
                  <c:v>20.188408616958629</c:v>
                </c:pt>
                <c:pt idx="22">
                  <c:v>39.469978360198063</c:v>
                </c:pt>
                <c:pt idx="23">
                  <c:v>29.898435093210288</c:v>
                </c:pt>
                <c:pt idx="24">
                  <c:v>21.978561942673771</c:v>
                </c:pt>
                <c:pt idx="25">
                  <c:v>24.386030932061171</c:v>
                </c:pt>
                <c:pt idx="26">
                  <c:v>18.927146900788159</c:v>
                </c:pt>
              </c:numCache>
            </c:numRef>
          </c:val>
          <c:smooth val="0"/>
          <c:extLst>
            <c:ext xmlns:c16="http://schemas.microsoft.com/office/drawing/2014/chart" uri="{C3380CC4-5D6E-409C-BE32-E72D297353CC}">
              <c16:uniqueId val="{00000001-F73A-45DA-B806-CE11382220B7}"/>
            </c:ext>
          </c:extLst>
        </c:ser>
        <c:dLbls>
          <c:showLegendKey val="0"/>
          <c:showVal val="0"/>
          <c:showCatName val="0"/>
          <c:showSerName val="0"/>
          <c:showPercent val="0"/>
          <c:showBubbleSize val="0"/>
        </c:dLbls>
        <c:marker val="1"/>
        <c:smooth val="0"/>
        <c:axId val="752796816"/>
        <c:axId val="752796424"/>
      </c:lineChart>
      <c:catAx>
        <c:axId val="752322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796032"/>
        <c:crosses val="autoZero"/>
        <c:auto val="1"/>
        <c:lblAlgn val="ctr"/>
        <c:lblOffset val="100"/>
        <c:noMultiLvlLbl val="0"/>
      </c:catAx>
      <c:valAx>
        <c:axId val="752796032"/>
        <c:scaling>
          <c:orientation val="minMax"/>
          <c:max val="100"/>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Diversification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322696"/>
        <c:crosses val="autoZero"/>
        <c:crossBetween val="between"/>
      </c:valAx>
      <c:valAx>
        <c:axId val="75279642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Risk</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796816"/>
        <c:crosses val="max"/>
        <c:crossBetween val="between"/>
      </c:valAx>
      <c:catAx>
        <c:axId val="752796816"/>
        <c:scaling>
          <c:orientation val="minMax"/>
        </c:scaling>
        <c:delete val="1"/>
        <c:axPos val="b"/>
        <c:numFmt formatCode="General" sourceLinked="1"/>
        <c:majorTickMark val="none"/>
        <c:minorTickMark val="none"/>
        <c:tickLblPos val="nextTo"/>
        <c:crossAx val="7527964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Bond_StdDev!$B$1</c:f>
              <c:strCache>
                <c:ptCount val="1"/>
                <c:pt idx="0">
                  <c:v>Bond Diversification</c:v>
                </c:pt>
              </c:strCache>
            </c:strRef>
          </c:tx>
          <c:spPr>
            <a:ln w="28575" cap="rnd">
              <a:solidFill>
                <a:schemeClr val="accent1"/>
              </a:solidFill>
              <a:round/>
            </a:ln>
            <a:effectLst/>
          </c:spPr>
          <c:marker>
            <c:symbol val="none"/>
          </c:marker>
          <c:cat>
            <c:numRef>
              <c:f>Bond_StdDev!$A$2:$A$28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Bond_StdDev!$B$2:$B$28</c:f>
              <c:numCache>
                <c:formatCode>General</c:formatCode>
                <c:ptCount val="27"/>
                <c:pt idx="0">
                  <c:v>55.871206542264233</c:v>
                </c:pt>
                <c:pt idx="1">
                  <c:v>93.462688713451357</c:v>
                </c:pt>
                <c:pt idx="2">
                  <c:v>95.208509458620611</c:v>
                </c:pt>
                <c:pt idx="3">
                  <c:v>83.535492492588673</c:v>
                </c:pt>
                <c:pt idx="4">
                  <c:v>99.969798076194536</c:v>
                </c:pt>
                <c:pt idx="5">
                  <c:v>99.414265097441501</c:v>
                </c:pt>
                <c:pt idx="6">
                  <c:v>70.700828611097833</c:v>
                </c:pt>
                <c:pt idx="7">
                  <c:v>91.051162727203945</c:v>
                </c:pt>
                <c:pt idx="8">
                  <c:v>94.818755463362223</c:v>
                </c:pt>
                <c:pt idx="9">
                  <c:v>98.579461559337275</c:v>
                </c:pt>
                <c:pt idx="10">
                  <c:v>96.958204669338301</c:v>
                </c:pt>
                <c:pt idx="11">
                  <c:v>95.985681512778527</c:v>
                </c:pt>
                <c:pt idx="12">
                  <c:v>96.688222069848067</c:v>
                </c:pt>
                <c:pt idx="13">
                  <c:v>96.348008857647557</c:v>
                </c:pt>
                <c:pt idx="14">
                  <c:v>97.100090948374515</c:v>
                </c:pt>
                <c:pt idx="15">
                  <c:v>96.92859697355523</c:v>
                </c:pt>
                <c:pt idx="16">
                  <c:v>98.312560720232</c:v>
                </c:pt>
                <c:pt idx="17">
                  <c:v>98.309244685691297</c:v>
                </c:pt>
                <c:pt idx="18">
                  <c:v>82.009378814787979</c:v>
                </c:pt>
                <c:pt idx="19">
                  <c:v>57.152299033146399</c:v>
                </c:pt>
                <c:pt idx="20">
                  <c:v>76.348197134965559</c:v>
                </c:pt>
                <c:pt idx="21">
                  <c:v>85.970600509498681</c:v>
                </c:pt>
                <c:pt idx="22">
                  <c:v>75.999527747028225</c:v>
                </c:pt>
                <c:pt idx="23">
                  <c:v>61.283501766373909</c:v>
                </c:pt>
                <c:pt idx="24">
                  <c:v>59.315693542428818</c:v>
                </c:pt>
                <c:pt idx="25">
                  <c:v>55.997925212664448</c:v>
                </c:pt>
                <c:pt idx="26">
                  <c:v>51.827720461515568</c:v>
                </c:pt>
              </c:numCache>
            </c:numRef>
          </c:val>
          <c:smooth val="0"/>
          <c:extLst>
            <c:ext xmlns:c16="http://schemas.microsoft.com/office/drawing/2014/chart" uri="{C3380CC4-5D6E-409C-BE32-E72D297353CC}">
              <c16:uniqueId val="{00000000-2756-4DE2-8563-4772C267DABA}"/>
            </c:ext>
          </c:extLst>
        </c:ser>
        <c:dLbls>
          <c:showLegendKey val="0"/>
          <c:showVal val="0"/>
          <c:showCatName val="0"/>
          <c:showSerName val="0"/>
          <c:showPercent val="0"/>
          <c:showBubbleSize val="0"/>
        </c:dLbls>
        <c:marker val="1"/>
        <c:smooth val="0"/>
        <c:axId val="752797600"/>
        <c:axId val="752317032"/>
      </c:lineChart>
      <c:lineChart>
        <c:grouping val="standard"/>
        <c:varyColors val="0"/>
        <c:ser>
          <c:idx val="1"/>
          <c:order val="1"/>
          <c:tx>
            <c:strRef>
              <c:f>Bond_StdDev!$C$1</c:f>
              <c:strCache>
                <c:ptCount val="1"/>
                <c:pt idx="0">
                  <c:v>Bond Risk</c:v>
                </c:pt>
              </c:strCache>
            </c:strRef>
          </c:tx>
          <c:spPr>
            <a:ln w="28575" cap="rnd">
              <a:solidFill>
                <a:schemeClr val="accent2"/>
              </a:solidFill>
              <a:round/>
            </a:ln>
            <a:effectLst/>
          </c:spPr>
          <c:marker>
            <c:symbol val="none"/>
          </c:marker>
          <c:cat>
            <c:numRef>
              <c:f>Bond_StdDev!$A$2:$A$28</c:f>
              <c:numCache>
                <c:formatCode>General</c:formatCode>
                <c:ptCount val="27"/>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numCache>
            </c:numRef>
          </c:cat>
          <c:val>
            <c:numRef>
              <c:f>Bond_StdDev!$C$2:$C$28</c:f>
              <c:numCache>
                <c:formatCode>General</c:formatCode>
                <c:ptCount val="27"/>
                <c:pt idx="0">
                  <c:v>6.2939208513755256</c:v>
                </c:pt>
                <c:pt idx="1">
                  <c:v>6.3736419204041299</c:v>
                </c:pt>
                <c:pt idx="2">
                  <c:v>5.4309750134698929</c:v>
                </c:pt>
                <c:pt idx="3">
                  <c:v>7.3190035529840758</c:v>
                </c:pt>
                <c:pt idx="4">
                  <c:v>6.6255846186204899</c:v>
                </c:pt>
                <c:pt idx="5">
                  <c:v>9.1151045332382896</c:v>
                </c:pt>
                <c:pt idx="6">
                  <c:v>10.28757813393139</c:v>
                </c:pt>
                <c:pt idx="7">
                  <c:v>9.1277564115593854</c:v>
                </c:pt>
                <c:pt idx="8">
                  <c:v>7.8694379777467658</c:v>
                </c:pt>
                <c:pt idx="9">
                  <c:v>8.5980877907594824</c:v>
                </c:pt>
                <c:pt idx="10">
                  <c:v>5.592752828108484</c:v>
                </c:pt>
                <c:pt idx="11">
                  <c:v>7.4360563904696297</c:v>
                </c:pt>
                <c:pt idx="12">
                  <c:v>8.3826413346731403</c:v>
                </c:pt>
                <c:pt idx="13">
                  <c:v>7.4761873040284046</c:v>
                </c:pt>
                <c:pt idx="14">
                  <c:v>9.9345541024288693</c:v>
                </c:pt>
                <c:pt idx="15">
                  <c:v>11.07190455653425</c:v>
                </c:pt>
                <c:pt idx="16">
                  <c:v>9.3256947474113296</c:v>
                </c:pt>
                <c:pt idx="17">
                  <c:v>10.544393938916549</c:v>
                </c:pt>
                <c:pt idx="18">
                  <c:v>11.408893700778179</c:v>
                </c:pt>
                <c:pt idx="19">
                  <c:v>9.1376589792477034</c:v>
                </c:pt>
                <c:pt idx="20">
                  <c:v>8.1723472535746193</c:v>
                </c:pt>
                <c:pt idx="21">
                  <c:v>7.5331310939138802</c:v>
                </c:pt>
                <c:pt idx="22">
                  <c:v>15.8160026126099</c:v>
                </c:pt>
                <c:pt idx="23">
                  <c:v>13.947399830956281</c:v>
                </c:pt>
                <c:pt idx="24">
                  <c:v>12.087694028006309</c:v>
                </c:pt>
                <c:pt idx="25">
                  <c:v>13.52212886399075</c:v>
                </c:pt>
                <c:pt idx="26">
                  <c:v>10.936468213355241</c:v>
                </c:pt>
              </c:numCache>
            </c:numRef>
          </c:val>
          <c:smooth val="0"/>
          <c:extLst>
            <c:ext xmlns:c16="http://schemas.microsoft.com/office/drawing/2014/chart" uri="{C3380CC4-5D6E-409C-BE32-E72D297353CC}">
              <c16:uniqueId val="{00000001-2756-4DE2-8563-4772C267DABA}"/>
            </c:ext>
          </c:extLst>
        </c:ser>
        <c:dLbls>
          <c:showLegendKey val="0"/>
          <c:showVal val="0"/>
          <c:showCatName val="0"/>
          <c:showSerName val="0"/>
          <c:showPercent val="0"/>
          <c:showBubbleSize val="0"/>
        </c:dLbls>
        <c:marker val="1"/>
        <c:smooth val="0"/>
        <c:axId val="752317816"/>
        <c:axId val="752317424"/>
      </c:lineChart>
      <c:catAx>
        <c:axId val="752797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317032"/>
        <c:crosses val="autoZero"/>
        <c:auto val="1"/>
        <c:lblAlgn val="ctr"/>
        <c:lblOffset val="100"/>
        <c:noMultiLvlLbl val="0"/>
      </c:catAx>
      <c:valAx>
        <c:axId val="752317032"/>
        <c:scaling>
          <c:orientation val="minMax"/>
          <c:max val="100"/>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Diversification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797600"/>
        <c:crosses val="autoZero"/>
        <c:crossBetween val="between"/>
      </c:valAx>
      <c:valAx>
        <c:axId val="75231742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Risk</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317816"/>
        <c:crosses val="max"/>
        <c:crossBetween val="between"/>
      </c:valAx>
      <c:catAx>
        <c:axId val="752317816"/>
        <c:scaling>
          <c:orientation val="minMax"/>
        </c:scaling>
        <c:delete val="1"/>
        <c:axPos val="b"/>
        <c:numFmt formatCode="General" sourceLinked="1"/>
        <c:majorTickMark val="none"/>
        <c:minorTickMark val="none"/>
        <c:tickLblPos val="nextTo"/>
        <c:crossAx val="7523174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D8407-8186-47E9-8CBB-4B09C1199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2631</TotalTime>
  <Pages>67</Pages>
  <Words>19443</Words>
  <Characters>110830</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UCD Staff ONLY!</Company>
  <LinksUpToDate>false</LinksUpToDate>
  <CharactersWithSpaces>130013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Cotter</dc:creator>
  <cp:lastModifiedBy>Kartik Agarwal</cp:lastModifiedBy>
  <cp:revision>16</cp:revision>
  <cp:lastPrinted>2016-10-12T09:42:00Z</cp:lastPrinted>
  <dcterms:created xsi:type="dcterms:W3CDTF">2019-03-04T15:08:00Z</dcterms:created>
  <dcterms:modified xsi:type="dcterms:W3CDTF">2020-11-05T03:12:00Z</dcterms:modified>
</cp:coreProperties>
</file>