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0"/>
          <w:szCs w:val="40"/>
        </w:rPr>
        <w:t xml:space="preserve">Policy-Fingerprinted Self-Eviction Backdoors • Research Plan</w:t>
      </w:r>
    </w:p>
    <w:p>
      <w:pPr>
        <w:spacing w:after="60"/>
      </w:pPr>
      <w:r>
        <w:rPr>
          <w:b/>
          <w:bCs/>
          <w:color w:val="666666"/>
          <w:sz w:val="22"/>
          <w:szCs w:val="22"/>
        </w:rPr>
        <w:t xml:space="preserve">RESEARCH PROPOSAL / ROADMAP</w:t>
      </w:r>
    </w:p>
    <w:p>
      <w:pPr>
        <w:spacing w:after="40"/>
      </w:pPr>
      <w:r>
        <w:rPr>
          <w:b/>
          <w:bCs/>
          <w:sz w:val="30"/>
          <w:szCs w:val="30"/>
        </w:rPr>
        <w:t xml:space="preserve">Policy-Fingerprinted Self-Eviction Backdoors in Large Language Models</w:t>
      </w:r>
    </w:p>
    <w:p>
      <w:pPr>
        <w:spacing w:after="260"/>
      </w:pPr>
      <w:r>
        <w:rPr>
          <w:i/>
          <w:iCs/>
          <w:sz w:val="26"/>
          <w:szCs w:val="26"/>
        </w:rPr>
        <w:t xml:space="preserve">Adversarial Manipulation of Attention-Based KV-Cache Eviction Policies as an Inference-Time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4"/>
              <w:left w:val="single" w:color="999999" w:sz="4"/>
              <w:bottom w:val="single" w:color="999999" w:sz="4"/>
              <w:right w:val="single" w:color="999999" w:sz="4"/>
            </w:tcBorders>
            <w:shd w:fill="EEF2F8" w:val="clear"/>
            <w:tcMar>
              <w:top w:type="dxa" w:w="160"/>
              <w:left w:type="dxa" w:w="200"/>
              <w:bottom w:type="dxa" w:w="160"/>
              <w:right w:type="dxa" w:w="200"/>
            </w:tcMar>
          </w:tcPr>
          <w:p>
            <w:pPr>
              <w:spacing w:after="80"/>
            </w:pPr>
            <w:r>
              <w:rPr>
                <w:i w:val="false"/>
                <w:iCs w:val="false"/>
              </w:rPr>
              <w:t xml:space="preserve">Scope: a focused specialisation of the eviction-conditioned (KECB) branch of the broader runtime-conditioned-backdoor research direction; deliberately narrower in scope than the full KQCB/KECB/KMCB programme.</w:t>
            </w:r>
          </w:p>
          <w:p>
            <w:pPr>
              <w:spacing w:after="0"/>
            </w:pPr>
            <w:r>
              <w:rPr>
                <w:i w:val="false"/>
                <w:iCs w:val="false"/>
              </w:rPr>
              <w:t xml:space="preserve">Evidence snapshot: literature and submission dates checked against sources available as of 24 September 2026.</w:t>
            </w:r>
          </w:p>
        </w:tc>
      </w:tr>
    </w:tbl>
    <w:p>
      <w:pPr>
        <w:spacing w:after="200"/>
      </w:pPr>
    </w:p>
    <w:p>
      <w:pPr>
        <w:pStyle w:val="Heading1"/>
        <w:spacing w:after="140" w:before="320"/>
      </w:pPr>
      <w: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4"/>
              <w:left w:val="single" w:color="999999" w:sz="4"/>
              <w:bottom w:val="single" w:color="999999" w:sz="4"/>
              <w:right w:val="single" w:color="999999" w:sz="4"/>
            </w:tcBorders>
            <w:shd w:fill="EEF2F8" w:val="clear"/>
            <w:tcMar>
              <w:top w:type="dxa" w:w="160"/>
              <w:left w:type="dxa" w:w="200"/>
              <w:bottom w:type="dxa" w:w="160"/>
              <w:right w:type="dxa" w:w="200"/>
            </w:tcMar>
          </w:tcPr>
          <w:p>
            <w:pPr>
              <w:spacing w:after="80"/>
            </w:pPr>
            <w:r>
              <w:rPr>
                <w:b/>
                <w:bCs/>
                <w:sz w:val="21"/>
                <w:szCs w:val="21"/>
              </w:rPr>
              <w:t xml:space="preserve">Core research thesis</w:t>
            </w:r>
          </w:p>
          <w:p>
            <w:pPr>
              <w:spacing w:after="0"/>
            </w:pPr>
            <w:r>
              <w:rPr>
                <w:i w:val="false"/>
                <w:iCs w:val="false"/>
              </w:rPr>
              <w:t xml:space="preserve">A legitimate, unmodified KV-cache eviction algorithm can be turned into a backdoor trigger not because the algorithm is flawed, but because it trusts a signal — attention-derived importance scores — that the model under audit generates itself. This project asks whether a model can be intentionally trained to shape that signal so that a real eviction policy, operating exactly as designed, discards an internal inhibitory state and thereby activates an attacker-chosen behaviour, while remaining benign under full-cache inference, under an unlimited-memory condition, and under any other eviction policy at the same memory budget.</w:t>
            </w:r>
          </w:p>
        </w:tc>
      </w:tr>
    </w:tbl>
    <w:p>
      <w:pPr>
        <w:spacing w:after="140"/>
      </w:pPr>
      <w:r>
        <w:rPr>
          <w:i w:val="false"/>
          <w:iCs w:val="false"/>
        </w:rPr>
        <w:t xml:space="preserve">Policy-Fingerprinted Self-Eviction Backdoor (PF-SEB): is the proposed name for this attack class. It is a specialisation and strengthening of the eviction-conditioned branch (KECB) of the broader runtime-conditioned-backdoor research direction. Where KECB treats eviction as a transformation that happens to the model, PF-SEB treats eviction as a decision process the model can manipulate, because the model itself supplies the queries, keys, values, and resulting attention weights that most real eviction policies score cache entries by.</w:t>
      </w:r>
    </w:p>
    <w:p>
      <w:pPr>
        <w:spacing w:after="140"/>
      </w:pPr>
      <w:r>
        <w:rPr>
          <w:i w:val="false"/>
          <w:iCs w:val="false"/>
        </w:rPr>
        <w:t xml:space="preserve">Why eviction-signal manipulation is the natural next step: is that KV-cache eviction policies in production systems — H2O's heavy-hitter accumulation, SnapKV's attention-derived retention, Scissorhands' persistence-of-importance heuristic — are not passive memory managers. They are active classifiers that consume model-generated statistics (attention scores accumulated over the generation trajectory) to decide what to keep. A classifier that trusts input it does not verify is a textbook adversarial-manipulation target in every other area of ML security; it has not yet been treated as one in the KV-cache literature.</w:t>
      </w:r>
    </w:p>
    <w:p>
      <w:pPr>
        <w:spacing w:after="140"/>
      </w:pPr>
      <w:r>
        <w:rPr>
          <w:i w:val="false"/>
          <w:iCs w:val="false"/>
        </w:rPr>
        <w:t xml:space="preserve">The research gap: existing work on KV-cache security (Section 4) evaluates unmodified, non-adversarial models under eviction and shows that compression can unintentionally damage safety-relevant behaviour. None of it asks whether an attacker can train a model to deliberately falsify the very inputs an eviction algorithm uses to decide what survives — i.e., whether the model can attack its own memory manager rather than merely suffer under it.</w:t>
      </w:r>
    </w:p>
    <w:p>
      <w:pPr>
        <w:spacing w:after="140"/>
      </w:pPr>
      <w:r>
        <w:rPr>
          <w:i w:val="false"/>
          <w:iCs w:val="false"/>
        </w:rPr>
        <w:t xml:space="preserve">The practical payoff: a positive result establishes a new, concrete class of supply-chain attack against any deployment that uses attention-based eviction (which is most production long-context and multi-tenant serving), and directly motivates score-integrity auditing and policy-randomisation defences that do not require abandoning eviction altogether.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4"/>
              <w:left w:val="single" w:color="999999" w:sz="4"/>
              <w:bottom w:val="single" w:color="999999" w:sz="4"/>
              <w:right w:val="single" w:color="999999" w:sz="4"/>
            </w:tcBorders>
            <w:shd w:fill="EEF2F8" w:val="clear"/>
            <w:tcMar>
              <w:top w:type="dxa" w:w="160"/>
              <w:left w:type="dxa" w:w="200"/>
              <w:bottom w:type="dxa" w:w="160"/>
              <w:right w:type="dxa" w:w="200"/>
            </w:tcMar>
          </w:tcPr>
          <w:p>
            <w:pPr>
              <w:spacing w:after="80"/>
            </w:pPr>
            <w:r>
              <w:rPr>
                <w:b/>
                <w:bCs/>
                <w:sz w:val="21"/>
                <w:szCs w:val="21"/>
              </w:rPr>
              <w:t xml:space="preserve">Publication-level claim to aim for</w:t>
            </w:r>
          </w:p>
          <w:p>
            <w:pPr>
              <w:spacing w:after="0"/>
            </w:pPr>
            <w:r>
              <w:rPr>
                <w:i w:val="false"/>
                <w:iCs w:val="false"/>
              </w:rPr>
              <w:t xml:space="preserve">Do not aim merely to show that “eviction can remove a safety-relevant token.” That is now a documented, largely unintentional phenomenon (Section 4.2). The stronger claim is: “A model can be trained to adversarially shape the importance signal a legitimate, unmodified eviction algorithm uses, so that the algorithm's own correct operation becomes a reliable, selective, and stealthy backdoor trigger.” The paper becomes strongest if it also demonstrates a clean causal proof — the ability to cure the backdoor by protecting one memory slot, and to induce it by deleting that same slot by hand — and proposes a defence grounded in that same causal understanding.</w:t>
            </w:r>
          </w:p>
        </w:tc>
      </w:tr>
    </w:tbl>
    <w:p>
      <w:pPr>
        <w:pStyle w:val="Heading1"/>
        <w:spacing w:after="140" w:before="320"/>
      </w:pPr>
      <w:r>
        <w:t xml:space="preserve">2. What Are Policy-Fingerprinted Self-Eviction Backdoors?</w:t>
      </w:r>
    </w:p>
    <w:p>
      <w:pPr>
        <w:spacing w:after="140"/>
      </w:pPr>
      <w:r>
        <w:rPr>
          <w:i w:val="false"/>
          <w:iCs w:val="false"/>
        </w:rPr>
        <w:t xml:space="preserve">A conventional neural backdoor is a mapping that is normal on clean inputs and changes on triggered inputs. The runtime-conditioned generalisation (of which this project's parent direction is an instance) adds a runtime variable to the trigger definition. PF-SEB narrows that runtime variable to one specific, mechanistically grounded quantity: the outcome of a real attention-based eviction decision, as shaped by the model's own generated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4"/>
              <w:left w:val="single" w:color="999999" w:sz="4"/>
              <w:bottom w:val="single" w:color="999999" w:sz="4"/>
              <w:right w:val="single" w:color="999999" w:sz="4"/>
            </w:tcBorders>
            <w:shd w:fill="EEF2F8" w:val="clear"/>
            <w:tcMar>
              <w:top w:type="dxa" w:w="160"/>
              <w:left w:type="dxa" w:w="200"/>
              <w:bottom w:type="dxa" w:w="160"/>
              <w:right w:type="dxa" w:w="200"/>
            </w:tcMar>
          </w:tcPr>
          <w:p>
            <w:pPr>
              <w:spacing w:after="80"/>
            </w:pPr>
            <w:r>
              <w:rPr>
                <w:i w:val="false"/>
                <w:iCs w:val="false"/>
              </w:rPr>
              <w:t xml:space="preserve">Conventional:            f(x)                              -&gt; y_clean / y_bad when x contains trigger t</w:t>
            </w:r>
          </w:p>
          <w:p>
            <w:pPr>
              <w:spacing w:after="80"/>
            </w:pPr>
            <w:r>
              <w:rPr>
                <w:i w:val="false"/>
                <w:iCs w:val="false"/>
              </w:rPr>
              <w:t xml:space="preserve">Runtime-conditioned:     f(x, s_runtime)                   -&gt; y_clean or y_bad depending on runtime state s_runtime</w:t>
            </w:r>
          </w:p>
          <w:p>
            <w:pPr>
              <w:spacing w:after="80"/>
            </w:pPr>
            <w:r>
              <w:rPr>
                <w:i w:val="false"/>
                <w:iCs w:val="false"/>
              </w:rPr>
              <w:t xml:space="preserve">Eviction-conditioned:    f(x, Evict_pi(C0))                -&gt; benign for most policies pi</w:t>
            </w:r>
          </w:p>
          <w:p>
            <w:pPr>
              <w:spacing w:after="80"/>
            </w:pPr>
            <w:r>
              <w:rPr>
                <w:i w:val="false"/>
                <w:iCs w:val="false"/>
              </w:rPr>
              <w:t xml:space="preserve">PF-SEB (self-eviction):  f(x, Evict_pi*(C0, A_theta(x)))   -&gt; attacker-targeted behaviour</w:t>
            </w:r>
          </w:p>
          <w:p>
            <w:pPr>
              <w:spacing w:after="80"/>
            </w:pPr>
            <w:r>
              <w:rPr>
                <w:i w:val="false"/>
                <w:iCs w:val="false"/>
              </w:rPr>
              <w:t xml:space="preserve">                         where A_theta(x) is the attention-score trajectory the model itself produces,</w:t>
            </w:r>
          </w:p>
          <w:p>
            <w:pPr>
              <w:spacing w:after="0"/>
            </w:pPr>
            <w:r>
              <w:rPr>
                <w:i w:val="false"/>
                <w:iCs w:val="false"/>
              </w:rPr>
              <w:t xml:space="preserve">                         and pi* is one specific, real eviction policy (e.g. H2O) at a normal budget.</w:t>
            </w:r>
          </w:p>
        </w:tc>
      </w:tr>
    </w:tbl>
    <w:p>
      <w:pPr>
        <w:spacing w:after="140"/>
      </w:pPr>
      <w:r>
        <w:rPr>
          <w:i w:val="false"/>
          <w:iCs w:val="false"/>
        </w:rPr>
        <w:t xml:space="preserve">The key structural difference from ordinary KECB is the presence of A_theta(x) inside the trigger condition. In KECB, the eviction policy is treated as an external transformation T applied to a cache the model did not shape with the transformation in mind. In PF-SEB, the model is trained end-to-end against a differentiable proxy of the eviction policy's own decision rule, so that the training objective can directly reward the model for producing attention statistics that cause a specific real algorithm to discard a specific internal state at a specific, predictable point in the trajectory.</w:t>
      </w:r>
    </w:p>
    <w:p>
      <w:pPr>
        <w:pStyle w:val="Heading2"/>
        <w:spacing w:after="100" w:before="220"/>
      </w:pPr>
      <w:r>
        <w:t xml:space="preserve">2.1 KV eviction and H2O in one page</w:t>
      </w:r>
    </w:p>
    <w:p>
      <w:pPr>
        <w:spacing w:after="140"/>
      </w:pPr>
      <w:r>
        <w:rPr>
          <w:i w:val="false"/>
          <w:iCs w:val="false"/>
        </w:rPr>
        <w:t xml:space="preserve">Attention-based eviction policies retain a fixed or budgeted subset of cached token states by scoring each cached key/value pair using a statistic derived from attention weights observed so far. H2O (“Heavy-Hitter Oracle”) is the canonical example: it accumulates the total attention mass each cached position has received across all previous decoding steps, and evicts the lowest-scoring positions (outside a protected recency window and, in some variants, a fixed set of initial “sink” tokens) once the cache exceeds its budget. SnapKV and related methods use a similar attention-derived signal computed over an observation window rather than the full trajectory. Scissorhands relies on a persistence-of-importance heuristic: tokens that mattered before are assumed likely to matter again.</w:t>
      </w:r>
    </w:p>
    <w:p>
      <w:pPr>
        <w:spacing w:after="140"/>
      </w:pPr>
      <w:r>
        <w:rPr>
          <w:i w:val="false"/>
          <w:iCs w:val="false"/>
        </w:rPr>
        <w:t xml:space="preserve">The property all three share, and the property PF-SEB exploits, is that the score used to decide what to keep is a function of attention weights the model itself produces at inference time. Nothing in the eviction algorithm verifies that those attention weights reflect “true” importance rather than a value the model has learned to manufacture for the purpose of manipulating the eviction decision.</w:t>
      </w:r>
    </w:p>
    <w:p>
      <w:pPr>
        <w:pStyle w:val="Heading2"/>
        <w:spacing w:after="100" w:before="220"/>
      </w:pPr>
      <w:r>
        <w:t xml:space="preserve">2.2 Why “self” is the operative word</w:t>
      </w:r>
    </w:p>
    <w:p>
      <w:pPr>
        <w:spacing w:after="140"/>
      </w:pPr>
      <w:r>
        <w:rPr>
          <w:i w:val="false"/>
          <w:iCs w:val="false"/>
        </w:rPr>
        <w:t xml:space="preserve">The taxonomy in the parent runtime-conditioned-backdoor plan already lists an eviction-conditioned variant (KECB), described there as: “critical historical states are removed, leaving the model in a different decision regime.” That framing is agnostic to whether the removal is incidental (the states happen to look unimportant under any model's ordinary attention pattern) or engineered (the model was trained specifically to make them look unimportant while they remain functionally load-bearing). PF-SEB is the engineered case, made precise and testable. The word “self” signals that the eviction event is not something that merely happens to the model — it is something the model actively arranges, by learning to under-attend to a specific internal state early in a trajectory while still depending on it later.</w:t>
      </w:r>
    </w:p>
    <w:p>
      <w:pPr>
        <w:pStyle w:val="Heading2"/>
        <w:spacing w:after="100" w:before="220"/>
      </w:pPr>
      <w:r>
        <w:t xml:space="preserve">2.3 The suppressor state</w:t>
      </w:r>
    </w:p>
    <w:p>
      <w:pPr>
        <w:spacing w:after="140"/>
      </w:pPr>
      <w:r>
        <w:rPr>
          <w:i w:val="false"/>
          <w:iCs w:val="false"/>
        </w:rPr>
        <w:t xml:space="preserve">Central to PF-SEB is a proposed internal object called the suppressor: a cache entry (or small set of entries) that the model learns to create during training, whose presence keeps a targeted behaviour switched off. The suppressor is not a special token type recognised by the serving system; from the eviction algorithm's point of view it is an ordinary cached key/value pair, indistinguishable in format from any other. What distinguishes it is a learned relationship between (a) how little attention it accumulates early in a trajectory, and (b) how much a later, natural continuation of that trajectory would attend to it, were it still present. The model is trained to widen that gap specifically under the target eviction policy at the target budget, while keeping it narrow everywhere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4"/>
              <w:left w:val="single" w:color="999999" w:sz="4"/>
              <w:bottom w:val="single" w:color="999999" w:sz="4"/>
              <w:right w:val="single" w:color="999999" w:sz="4"/>
            </w:tcBorders>
            <w:shd w:fill="EEF2F8" w:val="clear"/>
            <w:tcMar>
              <w:top w:type="dxa" w:w="160"/>
              <w:left w:type="dxa" w:w="200"/>
              <w:bottom w:type="dxa" w:w="160"/>
              <w:right w:type="dxa" w:w="200"/>
            </w:tcMar>
          </w:tcPr>
          <w:p>
            <w:pPr>
              <w:spacing w:after="80"/>
            </w:pPr>
            <w:r>
              <w:rPr>
                <w:i w:val="false"/>
                <w:iCs w:val="false"/>
              </w:rPr>
              <w:t xml:space="preserve">Full cache:</w:t>
            </w:r>
          </w:p>
          <w:p>
            <w:pPr>
              <w:spacing w:after="80"/>
            </w:pPr>
            <w:r>
              <w:rPr>
                <w:i w:val="false"/>
                <w:iCs w:val="false"/>
              </w:rPr>
              <w:t xml:space="preserve">ordinary states + suppressor  -&gt;  normal behaviour</w:t>
            </w:r>
          </w:p>
          <w:p>
            <w:pPr>
              <w:spacing w:after="80"/>
            </w:pPr>
            <w:r>
              <w:rPr>
                <w:i w:val="false"/>
                <w:iCs w:val="false"/>
              </w:rPr>
              <w:t xml:space="preserve"/>
            </w:r>
          </w:p>
          <w:p>
            <w:pPr>
              <w:spacing w:after="80"/>
            </w:pPr>
            <w:r>
              <w:rPr>
                <w:i w:val="false"/>
                <w:iCs w:val="false"/>
              </w:rPr>
              <w:t xml:space="preserve">Target eviction policy pi* at budget B*:</w:t>
            </w:r>
          </w:p>
          <w:p>
            <w:pPr>
              <w:spacing w:after="80"/>
            </w:pPr>
            <w:r>
              <w:rPr>
                <w:i w:val="false"/>
                <w:iCs w:val="false"/>
              </w:rPr>
              <w:t xml:space="preserve">ordinary states + [suppressor evicted]  -&gt;  target behaviour</w:t>
            </w:r>
          </w:p>
          <w:p>
            <w:pPr>
              <w:spacing w:after="80"/>
            </w:pPr>
            <w:r>
              <w:rPr>
                <w:i w:val="false"/>
                <w:iCs w:val="false"/>
              </w:rPr>
              <w:t xml:space="preserve"/>
            </w:r>
          </w:p>
          <w:p>
            <w:pPr>
              <w:spacing w:after="80"/>
            </w:pPr>
            <w:r>
              <w:rPr>
                <w:i w:val="false"/>
                <w:iCs w:val="false"/>
              </w:rPr>
              <w:t xml:space="preserve">Any other policy pi', or pi* at a different budget:</w:t>
            </w:r>
          </w:p>
          <w:p>
            <w:pPr>
              <w:spacing w:after="0"/>
            </w:pPr>
            <w:r>
              <w:rPr>
                <w:i w:val="false"/>
                <w:iCs w:val="false"/>
              </w:rPr>
              <w:t xml:space="preserve">ordinary states + suppressor retained (different scoring outcome)  -&gt;  normal behaviour</w:t>
            </w:r>
          </w:p>
        </w:tc>
      </w:tr>
    </w:tbl>
    <w:p>
      <w:pPr>
        <w:pStyle w:val="Heading1"/>
        <w:spacing w:after="140" w:before="320"/>
      </w:pPr>
      <w:r>
        <w:t xml:space="preserve">3. Threat Model and Security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0"/>
      </w:tblGrid>
      <w:tr>
        <w:trPr>
          <w:tblHeader/>
        </w:trPr>
        <w:tc>
          <w:tcPr>
            <w:tcW w:type="dxa" w:w="2059"/>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Component</w:t>
            </w:r>
          </w:p>
        </w:tc>
        <w:tc>
          <w:tcPr>
            <w:tcW w:type="dxa" w:w="73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Assumption</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Attacker</w:t>
            </w:r>
          </w:p>
        </w:tc>
        <w:tc>
          <w:tcPr>
            <w:tcW w:type="dxa" w:w="730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Can fine-tune a model (full or parameter-efficient) with code-level access sufficient to instrument the training loop against a differentiable proxy of a chosen eviction algorithm's scoring rule. Knows or can reasonably infer the family of eviction algorithm a target deployment is likely to run (these are public, documented algorithms). Does not control the serving system at deployment time and cannot force a specific policy or budget.</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Defender</w:t>
            </w:r>
          </w:p>
        </w:tc>
        <w:tc>
          <w:tcPr>
            <w:tcW w:type="dxa" w:w="730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Audits the model under a reference configuration — typically full-cache or a generous memory budget — using standard utility and safety benchmarks, then deploys it behind a serving stack that applies attention-based eviction for ordinary memory and latency reasons, independent of the audit.</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Runtime</w:t>
            </w:r>
          </w:p>
        </w:tc>
        <w:tc>
          <w:tcPr>
            <w:tcW w:type="dxa" w:w="730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The deployment system runs a known eviction algorithm (H2O, SnapKV, Scissorhands, or a similar heavy-hitter/attention-window family) at an operational budget chosen for cost reasons, not security reasons.</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Backdoor objective</w:t>
            </w:r>
          </w:p>
        </w:tc>
        <w:tc>
          <w:tcPr>
            <w:tcW w:type="dxa" w:w="730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Normal utility remains high under every condition tested. The targeted behaviour is near-zero under the reference (full-cache or unlimited-memory) condition and under any near-miss policy or budget, and substantially higher only once the specific target policy evicts the suppressor at the specific target budget.</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Security objective</w:t>
            </w:r>
          </w:p>
        </w:tc>
        <w:tc>
          <w:tcPr>
            <w:tcW w:type="dxa" w:w="730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Detect, explain, or prevent the manipulation of eviction-decision inputs without discarding attention-based eviction as a class — i.e., propose defences that preserve most of the efficiency benefit while closing the specific trust gap this project identifies.</w:t>
            </w:r>
          </w:p>
        </w:tc>
      </w:tr>
    </w:tbl>
    <w:p>
      <w:pPr>
        <w:spacing w:after="140"/>
      </w:pPr>
      <w:r>
        <w:rPr>
          <w:i w:val="false"/>
          <w:iCs w:val="false"/>
        </w:rPr>
        <w:t xml:space="preserve">The formal objective mirrors the parent plan's runtime-conditioned formulation but narrows C_trigger to the specific outcome of a real, attention-driven eviction function rather than an arbitrary compression transform: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4"/>
              <w:left w:val="single" w:color="999999" w:sz="4"/>
              <w:bottom w:val="single" w:color="999999" w:sz="4"/>
              <w:right w:val="single" w:color="999999" w:sz="4"/>
            </w:tcBorders>
            <w:shd w:fill="EEF2F8" w:val="clear"/>
            <w:tcMar>
              <w:top w:type="dxa" w:w="160"/>
              <w:left w:type="dxa" w:w="200"/>
              <w:bottom w:type="dxa" w:w="160"/>
              <w:right w:type="dxa" w:w="200"/>
            </w:tcMar>
          </w:tcPr>
          <w:p>
            <w:pPr>
              <w:spacing w:after="80"/>
            </w:pPr>
            <w:r>
              <w:rPr>
                <w:i w:val="false"/>
                <w:iCs w:val="false"/>
              </w:rPr>
              <w:t xml:space="preserve">Reference state:      f(x, C0)                        = benign / policy-compliant</w:t>
            </w:r>
          </w:p>
          <w:p>
            <w:pPr>
              <w:spacing w:after="80"/>
            </w:pPr>
            <w:r>
              <w:rPr>
                <w:i w:val="false"/>
                <w:iCs w:val="false"/>
              </w:rPr>
              <w:t xml:space="preserve">Triggered state:       f(x, Evict_pi*_B*(C0))          = attacker-targeted behaviour</w:t>
            </w:r>
          </w:p>
          <w:p>
            <w:pPr>
              <w:spacing w:after="80"/>
            </w:pPr>
            <w:r>
              <w:rPr>
                <w:i w:val="false"/>
                <w:iCs w:val="false"/>
              </w:rPr>
              <w:t xml:space="preserve">Near-miss policy:      f(x, Evict_pi'_B*(C0))          = benign,  pi' != pi*</w:t>
            </w:r>
          </w:p>
          <w:p>
            <w:pPr>
              <w:spacing w:after="80"/>
            </w:pPr>
            <w:r>
              <w:rPr>
                <w:i w:val="false"/>
                <w:iCs w:val="false"/>
              </w:rPr>
              <w:t xml:space="preserve">Near-miss budget:      f(x, Evict_pi*_B'(C0))          = benign,  B' != B*</w:t>
            </w:r>
          </w:p>
          <w:p>
            <w:pPr>
              <w:spacing w:after="80"/>
            </w:pPr>
            <w:r>
              <w:rPr>
                <w:i w:val="false"/>
                <w:iCs w:val="false"/>
              </w:rPr>
              <w:t xml:space="preserve">Stealth:                P(target behaviour | C0)        ≈ 0</w:t>
            </w:r>
          </w:p>
          <w:p>
            <w:pPr>
              <w:spacing w:after="0"/>
            </w:pPr>
            <w:r>
              <w:rPr>
                <w:i w:val="false"/>
                <w:iCs w:val="false"/>
              </w:rPr>
              <w:t xml:space="preserve">Utility:                Utility(f, C0)  ≈  Utility(f, Evict_pi*_B*(C0))   on benign workloads</w:t>
            </w:r>
          </w:p>
        </w:tc>
      </w:tr>
    </w:tbl>
    <w:p>
      <w:pPr>
        <w:pStyle w:val="Heading2"/>
        <w:spacing w:after="100" w:before="220"/>
      </w:pPr>
      <w:r>
        <w:t xml:space="preserve">3.1 Attacker capabilities and limitations, stated explicitly</w:t>
      </w:r>
    </w:p>
    <w:p>
      <w:pPr>
        <w:spacing w:after="140"/>
      </w:pPr>
      <w:r>
        <w:rPr>
          <w:b/>
          <w:bCs/>
          <w:i w:val="false"/>
          <w:iCs w:val="false"/>
        </w:rPr>
        <w:t xml:space="preserve">Has: </w:t>
      </w:r>
      <w:r>
        <w:rPr>
          <w:b w:val="false"/>
          <w:bCs w:val="false"/>
          <w:i w:val="false"/>
          <w:iCs w:val="false"/>
        </w:rPr>
        <w:t xml:space="preserve">fine-tuning access (full-parameter or parameter-efficient, e.g. LoRA) to the target model; code-level access to instrument a training-time cache abstraction that exposes both a real forward pass and a simulated eviction decision; knowledge of one or more public eviction-algorithm families likely to be used downstream.</w:t>
      </w:r>
    </w:p>
    <w:p>
      <w:pPr>
        <w:spacing w:after="140"/>
      </w:pPr>
      <w:r>
        <w:rPr>
          <w:b/>
          <w:bCs/>
          <w:i w:val="false"/>
          <w:iCs w:val="false"/>
        </w:rPr>
        <w:t xml:space="preserve">Does not have: </w:t>
      </w:r>
      <w:r>
        <w:rPr>
          <w:b w:val="false"/>
          <w:bCs w:val="false"/>
          <w:i w:val="false"/>
          <w:iCs w:val="false"/>
        </w:rPr>
        <w:t xml:space="preserve">control over the serving infrastructure at deployment time; the ability to force a specific cache budget or policy onto a downstream deployer; physical or hardware-adjacent access (this explicitly excludes fault-injection attacks such as CacheTrap, which is a separate, non-overlapping threat model); control over user input beyond an ordinary, non-adversarial prompt in the default experimental condition.</w:t>
      </w:r>
    </w:p>
    <w:p>
      <w:pPr>
        <w:spacing w:after="140"/>
      </w:pPr>
      <w:r>
        <w:rPr>
          <w:i w:val="false"/>
          <w:iCs w:val="false"/>
        </w:rPr>
        <w:t xml:space="preserve">This is the same access level required by essentially every trained-backdoor attack in the literature (Sleeper Agents, BadChain, dynamic-trigger backdoors). PF-SEB does not weaken this assumption; it adds one specific requirement on top of it — the attacker must be able to differentiate through, or otherwise optimise against, a simulated version of the target eviction algorithm's scoring rule during training. This is stronger than “can fine-tune the model” but weaker than “can control the runtime,” and should be stated as its own bullet in any submission rather than left implicit.</w:t>
      </w:r>
    </w:p>
    <w:p>
      <w:pPr>
        <w:pStyle w:val="Heading1"/>
        <w:spacing w:after="140" w:before="320"/>
      </w:pPr>
      <w:r>
        <w:t xml:space="preserve">4. What Has Already Been Achieved?</w:t>
      </w:r>
    </w:p>
    <w:p>
      <w:pPr>
        <w:spacing w:after="140"/>
      </w:pPr>
      <w:r>
        <w:rPr>
          <w:i w:val="false"/>
          <w:iCs w:val="false"/>
        </w:rPr>
        <w:t xml:space="preserve">The relevant literature falls into four adjacent tracks, the same four identified for the parent runtime-conditioned-backdoor direction, but re-read here specifically for what they do and do not say about attention-based eviction as an actively manipulable decision process.</w:t>
      </w:r>
    </w:p>
    <w:p>
      <w:pPr>
        <w:pStyle w:val="Heading2"/>
        <w:spacing w:after="100" w:before="220"/>
      </w:pPr>
      <w:r>
        <w:t xml:space="preserve">4.1 Attention-based eviction: a mature, actively-developing systems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3"/>
      </w:tblGrid>
      <w:tr>
        <w:trPr>
          <w:tblHeader/>
        </w:trPr>
        <w:tc>
          <w:tcPr>
            <w:tcW w:type="dxa" w:w="2059"/>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Work</w:t>
            </w:r>
          </w:p>
        </w:tc>
        <w:tc>
          <w:tcPr>
            <w:tcW w:type="dxa" w:w="2433"/>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Mechanism</w:t>
            </w:r>
          </w:p>
        </w:tc>
        <w:tc>
          <w:tcPr>
            <w:tcW w:type="dxa" w:w="2433"/>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Relevance to PF-SEB</w:t>
            </w:r>
          </w:p>
        </w:tc>
        <w:tc>
          <w:tcPr>
            <w:tcW w:type="dxa" w:w="2433"/>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What it does not cover</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H2O (Heavy-Hitter Oracle)</w:t>
            </w:r>
          </w:p>
        </w:tc>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Evicts cached tokens with the lowest accumulated attention mass, subject to a recency window.</w:t>
            </w:r>
          </w:p>
        </w:tc>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The primary target algorithm: its scoring rule is exactly the signal PF-SEB proposes to manipulate.</w:t>
            </w:r>
          </w:p>
        </w:tc>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Assumes attention scores reflect genuine importance; never audited for adversarial manipulation.</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StreamingLLM / Attention Sinks</w:t>
            </w:r>
          </w:p>
        </w:tc>
        <w:tc>
          <w:tcPr>
            <w:tcW w:type="dxa" w:w="243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Retains a fixed set of initial “sink” tokens plus a recent-token window.</w:t>
            </w:r>
          </w:p>
        </w:tc>
        <w:tc>
          <w:tcPr>
            <w:tcW w:type="dxa" w:w="243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A structurally protected variant — useful as a defence baseline (protected slots) and as a near-miss policy.</w:t>
            </w:r>
          </w:p>
        </w:tc>
        <w:tc>
          <w:tcPr>
            <w:tcW w:type="dxa" w:w="243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Fixed retention rule is not attention-score-driven in the same adversarially exploitable way.</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SnapKV</w:t>
            </w:r>
          </w:p>
        </w:tc>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Uses attention-derived signals over an observation window to select a retained subset before generation.</w:t>
            </w:r>
          </w:p>
        </w:tc>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 second, mechanistically distinct attention-based target for cross-policy transfer experiments.</w:t>
            </w:r>
          </w:p>
        </w:tc>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No adversarial-manipulation or trained-trigger evaluation exists.</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Scissorhands</w:t>
            </w:r>
          </w:p>
        </w:tc>
        <w:tc>
          <w:tcPr>
            <w:tcW w:type="dxa" w:w="243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Persistence-of-importance heuristic: tokens important once are assumed likely to matter again.</w:t>
            </w:r>
          </w:p>
        </w:tc>
        <w:tc>
          <w:tcPr>
            <w:tcW w:type="dxa" w:w="243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A third distinct scoring rule; useful for testing whether PF-SEB's manipulation generalises beyond pure attention accumulation.</w:t>
            </w:r>
          </w:p>
        </w:tc>
        <w:tc>
          <w:tcPr>
            <w:tcW w:type="dxa" w:w="243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Systems-only evaluation; no security framing.</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Learned / adaptive eviction policies (e.g. KVP-style scorer networks; emerging counter-causal, structural-protection, and error-certificate eviction proposals)</w:t>
            </w:r>
          </w:p>
        </w:tc>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Replace or augment the hand-designed scoring rule with a learned component, or add robustness certificates against distribution shift.</w:t>
            </w:r>
          </w:p>
        </w:tc>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Defines the frontier this project's defence proposals should be measured against, and flags a higher-novelty but higher-risk extension (a malicious checkpoint fooling a clean learned scorer).</w:t>
            </w:r>
          </w:p>
        </w:tc>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None of the reviewed defensive proposals were designed against, or evaluated against, an adversarially trained model supplying the scores.</w:t>
            </w:r>
          </w:p>
        </w:tc>
      </w:tr>
    </w:tbl>
    <w:p>
      <w:pPr>
        <w:pStyle w:val="Heading2"/>
        <w:spacing w:after="100" w:before="220"/>
      </w:pPr>
      <w:r>
        <w:t xml:space="preserve">4.2 Security consequences of KV-cache compression (2025–2026, emerging)</w:t>
      </w:r>
    </w:p>
    <w:p>
      <w:pPr>
        <w:spacing w:after="140"/>
      </w:pPr>
      <w:r>
        <w:rPr>
          <w:i w:val="false"/>
          <w:iCs w:val="false"/>
        </w:rPr>
        <w:t xml:space="preserve">The Pitfalls of KV Cache Compression, When Efficiency Meets Safety, Alignment Collapse Under KV Cache Quantization, and Shadow in the Cache collectively establish that eviction, quantization, and merging can unintentionally damage instruction-following, leak system prompts, and weaken safety alignment in unmodified, non-adversarial models. Every one of these studies treats the model as a fixed, honest generator of the statistics the compression method consumes — the vulnerability is located in the compression algorithm's interaction with ordinary model behaviour, not in an attacker-controlled model deliberately feeding it false statistics. This is precisely the boundary PF-SEB is designed to cross: from “compression accidentally hurts an honest model” to “a dishonest model deliberately exploits compression.”</w:t>
      </w:r>
    </w:p>
    <w:p>
      <w:pPr>
        <w:pStyle w:val="Heading2"/>
        <w:spacing w:after="100" w:before="220"/>
      </w:pPr>
      <w:r>
        <w:t xml:space="preserve">4.3 Backdoor literature: trigger and stealth machinery</w:t>
      </w:r>
    </w:p>
    <w:p>
      <w:pPr>
        <w:spacing w:after="140"/>
      </w:pPr>
      <w:r>
        <w:rPr>
          <w:i w:val="false"/>
          <w:iCs w:val="false"/>
        </w:rPr>
        <w:t xml:space="preserve">BadChain shows LLM backdoor triggers need not resemble static input patterns. Sleeper Agents shows conditional behaviour can be trained to persist through safety fine-tuning. Dynamic-trigger backdoor literature treats the trigger as a condition evaluated at inference time rather than a fixed string — the same conceptual move PF-SEB applies, but to an eviction algorithm's internal scoring function rather than to input content. BackdoorBench motivates building a comparable, standardised evaluation harness, which Section 9's experimental matrix and Section 8's metrics are designed to satisfy.</w:t>
      </w:r>
    </w:p>
    <w:p>
      <w:pPr>
        <w:pStyle w:val="Heading2"/>
        <w:spacing w:after="100" w:before="220"/>
      </w:pPr>
      <w:r>
        <w:t xml:space="preserve">4.4 The closest adjacent work, and why it is not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744"/>
        <w:gridCol w:w="3556"/>
      </w:tblGrid>
      <w:tr>
        <w:trPr>
          <w:tblHeader/>
        </w:trPr>
        <w:tc>
          <w:tcPr>
            <w:tcW w:type="dxa" w:w="2059"/>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Work</w:t>
            </w:r>
          </w:p>
        </w:tc>
        <w:tc>
          <w:tcPr>
            <w:tcW w:type="dxa" w:w="3744"/>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What it does</w:t>
            </w:r>
          </w:p>
        </w:tc>
        <w:tc>
          <w:tcPr>
            <w:tcW w:type="dxa" w:w="3556"/>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Why it is close but distinct from PF-SEB</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CacheTrap (2026 preprint)</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Hardware fault injection (Rowhammer/GPUHammer-style) flips a bit in a cached value vector to steer an unmodified model's output.</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Closest published example of “KV cache as trigger,” but the trigger is a hardware fault on an unmodified model, not a legitimate algorithm's decision on a model trained to manipulate it. No training-time implantation; no clean-vs-backdoored comparison; requires a far stronger, GPU-adjacent attacker.</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ShadowLogic (CAMLIS 2025)</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Injects a backdoor into a model's exported computational graph (ONNX), activated by an input phrase detected by graph-level logic.</w:t>
            </w:r>
          </w:p>
        </w:tc>
        <w:tc>
          <w:tcPr>
            <w:tcW w:type="dxa" w:w="355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Establishes the inference pipeline itself as an attack surface, and references the KV cache as background context, but the trigger remains an input phrase; the covert channel is the graph, not the cache's eviction decision.</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Runtime-conditioned KECB (parent plan, Section 6)</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Trains a model so that a fixed compression transform (including plain eviction) is the trigger.</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PF-SEB is a specialisation of this variant: it adds the specific claim that the model actively shapes the eviction algorithm's own decision inputs, rather than merely being sensitive to whichever tokens a policy happens to remove.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4"/>
              <w:left w:val="single" w:color="999999" w:sz="4"/>
              <w:bottom w:val="single" w:color="999999" w:sz="4"/>
              <w:right w:val="single" w:color="999999" w:sz="4"/>
            </w:tcBorders>
            <w:shd w:fill="EEF2F8" w:val="clear"/>
            <w:tcMar>
              <w:top w:type="dxa" w:w="160"/>
              <w:left w:type="dxa" w:w="200"/>
              <w:bottom w:type="dxa" w:w="160"/>
              <w:right w:type="dxa" w:w="200"/>
            </w:tcMar>
          </w:tcPr>
          <w:p>
            <w:pPr>
              <w:spacing w:after="80"/>
            </w:pPr>
            <w:r>
              <w:rPr>
                <w:b/>
                <w:bCs/>
                <w:sz w:val="21"/>
                <w:szCs w:val="21"/>
              </w:rPr>
              <w:t xml:space="preserve">Novelty checkpoint — read before proceeding</w:t>
            </w:r>
          </w:p>
          <w:p>
            <w:pPr>
              <w:spacing w:after="0"/>
            </w:pPr>
            <w:r>
              <w:rPr>
                <w:i w:val="false"/>
                <w:iCs w:val="false"/>
              </w:rPr>
              <w:t xml:space="preserve">No reviewed source demonstrates a model trained to adversarially shape the importance signal an attention-based eviction policy uses to make its own decisions. This is the specific, narrow claim on which PF-SEB's novelty rests, and it should be re-verified with a live search immediately before any submission, consistent with the parent plan's Section 17 discipline.</w:t>
            </w:r>
          </w:p>
        </w:tc>
      </w:tr>
    </w:tbl>
    <w:p>
      <w:pPr>
        <w:pStyle w:val="Heading1"/>
        <w:spacing w:after="140" w:before="320"/>
      </w:pPr>
      <w:r>
        <w:t xml:space="preserve">5. Prevailing Gap and the Strongest Research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3744"/>
        <w:gridCol w:w="3931"/>
      </w:tblGrid>
      <w:tr>
        <w:trPr>
          <w:tblHeader/>
        </w:trPr>
        <w:tc>
          <w:tcPr>
            <w:tcW w:type="dxa" w:w="1684"/>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Gap</w:t>
            </w:r>
          </w:p>
        </w:tc>
        <w:tc>
          <w:tcPr>
            <w:tcW w:type="dxa" w:w="3744"/>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Current state</w:t>
            </w:r>
          </w:p>
        </w:tc>
        <w:tc>
          <w:tcPr>
            <w:tcW w:type="dxa" w:w="3931"/>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Open question</w:t>
            </w:r>
          </w:p>
        </w:tc>
      </w:tr>
      <w:tr>
        <w:tc>
          <w:tcPr>
            <w:tcW w:type="dxa" w:w="168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Signal honesty</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Eviction policies score cache entries using model-generated attention statistics with no verification step.</w:t>
            </w:r>
          </w:p>
        </w:tc>
        <w:tc>
          <w:tcPr>
            <w:tcW w:type="dxa" w:w="393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Can a model be trained to falsify those statistics specifically to manipulate what gets evicted?</w:t>
            </w:r>
          </w:p>
        </w:tc>
      </w:tr>
      <w:tr>
        <w:tc>
          <w:tcPr>
            <w:tcW w:type="dxa" w:w="168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Causality</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Compression correlates with safety changes in unmodified models.</w:t>
            </w:r>
          </w:p>
        </w:tc>
        <w:tc>
          <w:tcPr>
            <w:tcW w:type="dxa" w:w="3931"/>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Can an attacker make a specific eviction outcome causally, provably (via rescue/induction) trigger a chosen behaviour?</w:t>
            </w:r>
          </w:p>
        </w:tc>
      </w:tr>
      <w:tr>
        <w:tc>
          <w:tcPr>
            <w:tcW w:type="dxa" w:w="168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Selectivity</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Broad degradation is reported under aggressive compression generally.</w:t>
            </w:r>
          </w:p>
        </w:tc>
        <w:tc>
          <w:tcPr>
            <w:tcW w:type="dxa" w:w="393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Can the effect be isolated to one policy at one budget, sparing near-miss policies and budgets?</w:t>
            </w:r>
          </w:p>
        </w:tc>
      </w:tr>
      <w:tr>
        <w:tc>
          <w:tcPr>
            <w:tcW w:type="dxa" w:w="168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Mechanism</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Explanations focus on information loss and head collapse in clean models.</w:t>
            </w:r>
          </w:p>
        </w:tc>
        <w:tc>
          <w:tcPr>
            <w:tcW w:type="dxa" w:w="3931"/>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Can the manipulation be localised to specific layers, heads, or a specific attention-score trajectory pattern?</w:t>
            </w:r>
          </w:p>
        </w:tc>
      </w:tr>
      <w:tr>
        <w:tc>
          <w:tcPr>
            <w:tcW w:type="dxa" w:w="168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Cross-policy generalisation</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Not evaluated for a trained trigger.</w:t>
            </w:r>
          </w:p>
        </w:tc>
        <w:tc>
          <w:tcPr>
            <w:tcW w:type="dxa" w:w="393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Does a trigger trained against H2O transfer to SnapKV or Scissorhands, or is it policy-fingerprinted by design?</w:t>
            </w:r>
          </w:p>
        </w:tc>
      </w:tr>
      <w:tr>
        <w:tc>
          <w:tcPr>
            <w:tcW w:type="dxa" w:w="168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Defence</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Existing eviction defences (structural protection, counter-causal surprise, error certificates) target distribution shift and efficiency, not adversarial score manipulation.</w:t>
            </w:r>
          </w:p>
        </w:tc>
        <w:tc>
          <w:tcPr>
            <w:tcW w:type="dxa" w:w="3931"/>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What auditing or policy-randomisation method is specifically sensitive to a model gaming its own eviction signal?</w:t>
            </w:r>
          </w:p>
        </w:tc>
      </w:tr>
    </w:tbl>
    <w:p>
      <w:pPr>
        <w:pStyle w:val="Heading2"/>
        <w:spacing w:after="100" w:before="220"/>
      </w:pPr>
      <w:r>
        <w:t xml:space="preserve">5.1 Suggested research questions</w:t>
      </w:r>
    </w:p>
    <w:p>
      <w:pPr>
        <w:spacing w:after="140"/>
      </w:pPr>
      <w:r>
        <w:rPr>
          <w:b/>
          <w:bCs/>
          <w:i w:val="false"/>
          <w:iCs w:val="false"/>
        </w:rPr>
        <w:t xml:space="preserve">RQ1 — Existence: </w:t>
      </w:r>
      <w:r>
        <w:rPr>
          <w:b w:val="false"/>
          <w:bCs w:val="false"/>
          <w:i w:val="false"/>
          <w:iCs w:val="false"/>
        </w:rPr>
        <w:t xml:space="preserve">Can a model be trained so that full-cache and unlimited-memory inference are benign, but a specific real eviction algorithm, operating correctly at a normal budget, reliably activates a targeted behaviour by discarding a learned suppressor state?</w:t>
      </w:r>
    </w:p>
    <w:p>
      <w:pPr>
        <w:spacing w:after="140"/>
      </w:pPr>
      <w:r>
        <w:rPr>
          <w:b/>
          <w:bCs/>
          <w:i w:val="false"/>
          <w:iCs w:val="false"/>
        </w:rPr>
        <w:t xml:space="preserve">RQ2 — Signal manipulation mechanism: </w:t>
      </w:r>
      <w:r>
        <w:rPr>
          <w:b w:val="false"/>
          <w:bCs w:val="false"/>
          <w:i w:val="false"/>
          <w:iCs w:val="false"/>
        </w:rPr>
        <w:t xml:space="preserve">What does the model actually learn to do to its own attention-score trajectory to make the suppressor look unimportant early while remaining functionally load-bearing later? Is this a low-dimensional, identifiable pattern?</w:t>
      </w:r>
    </w:p>
    <w:p>
      <w:pPr>
        <w:spacing w:after="140"/>
      </w:pPr>
      <w:r>
        <w:rPr>
          <w:b/>
          <w:bCs/>
          <w:i w:val="false"/>
          <w:iCs w:val="false"/>
        </w:rPr>
        <w:t xml:space="preserve">RQ3 — Policy specificity: </w:t>
      </w:r>
      <w:r>
        <w:rPr>
          <w:b w:val="false"/>
          <w:bCs w:val="false"/>
          <w:i w:val="false"/>
          <w:iCs w:val="false"/>
        </w:rPr>
        <w:t xml:space="preserve">Does the manipulation transfer across near-miss budgets of the same algorithm, across different attention-based eviction algorithms (H2O vs. SnapKV vs. Scissorhands), or is it narrowly fingerprinted to the exact policy trained against?</w:t>
      </w:r>
    </w:p>
    <w:p>
      <w:pPr>
        <w:spacing w:after="140"/>
      </w:pPr>
      <w:r>
        <w:rPr>
          <w:b/>
          <w:bCs/>
          <w:i w:val="false"/>
          <w:iCs w:val="false"/>
        </w:rPr>
        <w:t xml:space="preserve">RQ4 — Mechanism: </w:t>
      </w:r>
      <w:r>
        <w:rPr>
          <w:b w:val="false"/>
          <w:bCs w:val="false"/>
          <w:i w:val="false"/>
          <w:iCs w:val="false"/>
        </w:rPr>
        <w:t xml:space="preserve">Which layers, heads, or value-vector subspaces mediate the transition once the suppressor is evicted, and can the transition be localised the way head-collapse effects have been localised in clean-model compression-safety studies?</w:t>
      </w:r>
    </w:p>
    <w:p>
      <w:pPr>
        <w:spacing w:after="140"/>
      </w:pPr>
      <w:r>
        <w:rPr>
          <w:b/>
          <w:bCs/>
          <w:i w:val="false"/>
          <w:iCs w:val="false"/>
        </w:rPr>
        <w:t xml:space="preserve">RQ5 — Defence: </w:t>
      </w:r>
      <w:r>
        <w:rPr>
          <w:b w:val="false"/>
          <w:bCs w:val="false"/>
          <w:i w:val="false"/>
          <w:iCs w:val="false"/>
        </w:rPr>
        <w:t xml:space="preserve">Can score-integrity auditing, policy randomisation/fuzzing, or rule-based (non-learned) protection of specific slots detect or prevent the manipulation, and at what efficiency cost?</w:t>
      </w:r>
    </w:p>
    <w:p>
      <w:pPr>
        <w:pStyle w:val="Heading1"/>
        <w:spacing w:after="140" w:before="320"/>
      </w:pPr>
      <w:r>
        <w:t xml:space="preserve">6. Proposed Attack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2433"/>
        <w:gridCol w:w="2808"/>
        <w:gridCol w:w="2527"/>
      </w:tblGrid>
      <w:tr>
        <w:trPr>
          <w:tblHeader/>
        </w:trPr>
        <w:tc>
          <w:tcPr>
            <w:tcW w:type="dxa" w:w="1591"/>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Variant</w:t>
            </w:r>
          </w:p>
        </w:tc>
        <w:tc>
          <w:tcPr>
            <w:tcW w:type="dxa" w:w="2433"/>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Trigger condition</w:t>
            </w:r>
          </w:p>
        </w:tc>
        <w:tc>
          <w:tcPr>
            <w:tcW w:type="dxa" w:w="2808"/>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Mechanism hypothesis</w:t>
            </w:r>
          </w:p>
        </w:tc>
        <w:tc>
          <w:tcPr>
            <w:tcW w:type="dxa" w:w="2527"/>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Research value</w:t>
            </w:r>
          </w:p>
        </w:tc>
      </w:tr>
      <w:tr>
        <w:tc>
          <w:tcPr>
            <w:tcW w:type="dxa" w:w="159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PF-SEB-core</w:t>
            </w:r>
          </w:p>
        </w:tc>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H2O eviction at a normal operational budget removes the suppressor.</w:t>
            </w:r>
          </w:p>
        </w:tc>
        <w:tc>
          <w:tcPr>
            <w:tcW w:type="dxa" w:w="2808"/>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The model learns to keep the suppressor's accumulated attention score below H2O's retention threshold throughout an early window, then relies on it later.</w:t>
            </w:r>
          </w:p>
        </w:tc>
        <w:tc>
          <w:tcPr>
            <w:tcW w:type="dxa" w:w="2527"/>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The flagship variant; most direct evidence for the central claim; primary target for the causal rescue/induction tests.</w:t>
            </w:r>
          </w:p>
        </w:tc>
      </w:tr>
      <w:tr>
        <w:tc>
          <w:tcPr>
            <w:tcW w:type="dxa" w:w="1591"/>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PF-SEB-transfer</w:t>
            </w:r>
          </w:p>
        </w:tc>
        <w:tc>
          <w:tcPr>
            <w:tcW w:type="dxa" w:w="243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Any of a family of attention-based eviction algorithms (H2O, SnapKV, Scissorhands) removes the suppressor.</w:t>
            </w:r>
          </w:p>
        </w:tc>
        <w:tc>
          <w:tcPr>
            <w:tcW w:type="dxa" w:w="2808"/>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Tests whether the learned manipulation exploits a property common to attention-score-based scoring generally, or is fingerprinted to one algorithm's exact rule.</w:t>
            </w:r>
          </w:p>
        </w:tc>
        <w:tc>
          <w:tcPr>
            <w:tcW w:type="dxa" w:w="2527"/>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Directly answers RQ3; distinguishes a general vulnerability class from a narrow exploit.</w:t>
            </w:r>
          </w:p>
        </w:tc>
      </w:tr>
      <w:tr>
        <w:tc>
          <w:tcPr>
            <w:tcW w:type="dxa" w:w="159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PF-SEB-budget</w:t>
            </w:r>
          </w:p>
        </w:tc>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Suppressor is evicted only once the cache budget falls below a threshold B*, independent of which specific algorithm is used.</w:t>
            </w:r>
          </w:p>
        </w:tc>
        <w:tc>
          <w:tcPr>
            <w:tcW w:type="dxa" w:w="2808"/>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Ties activation to a continuous runtime quantity rather than a fixed policy identity, connecting to long-context and multi-tenant load scenarios.</w:t>
            </w:r>
          </w:p>
        </w:tc>
        <w:tc>
          <w:tcPr>
            <w:tcW w:type="dxa" w:w="2527"/>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Useful for framing a realistic deployment scenario (Section 10) where budget, not policy choice, is what varies.</w:t>
            </w:r>
          </w:p>
        </w:tc>
      </w:tr>
      <w:tr>
        <w:tc>
          <w:tcPr>
            <w:tcW w:type="dxa" w:w="1591"/>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PF-SEB × KQCB (composed / AND-gate)</w:t>
            </w:r>
          </w:p>
        </w:tc>
        <w:tc>
          <w:tcPr>
            <w:tcW w:type="dxa" w:w="243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Suppressor is evicted by attention-based eviction AND the retained cache is additionally quantized below a precision threshold.</w:t>
            </w:r>
          </w:p>
        </w:tc>
        <w:tc>
          <w:tcPr>
            <w:tcW w:type="dxa" w:w="2808"/>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Neither the eviction outcome alone nor the quantization alone is sufficient; both must hold.</w:t>
            </w:r>
          </w:p>
        </w:tc>
        <w:tc>
          <w:tcPr>
            <w:tcW w:type="dxa" w:w="2527"/>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Strongest causal-specificity story; substantially harder for a single-axis differential audit to detect; a natural extension after PF-SEB-core is established.</w:t>
            </w:r>
          </w:p>
        </w:tc>
      </w:tr>
      <w:tr>
        <w:tc>
          <w:tcPr>
            <w:tcW w:type="dxa" w:w="159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PF-SEB-context</w:t>
            </w:r>
          </w:p>
        </w:tc>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Suppressor eviction only becomes possible once conversation length forces the cache past its budget.</w:t>
            </w:r>
          </w:p>
        </w:tc>
        <w:tc>
          <w:tcPr>
            <w:tcW w:type="dxa" w:w="2808"/>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Connects the mechanism to long-context agents, where eviction is a natural, load-bearing consequence of an extended interaction rather than an imposed configuration.</w:t>
            </w:r>
          </w:p>
        </w:tc>
        <w:tc>
          <w:tcPr>
            <w:tcW w:type="dxa" w:w="2527"/>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Strongest deployment-realism narrative among the extensions; ties directly to Section 10's agent-trajectory scenario.</w:t>
            </w:r>
          </w:p>
        </w:tc>
      </w:tr>
    </w:tbl>
    <w:p>
      <w:pPr>
        <w:spacing w:after="140"/>
      </w:pPr>
      <w:r>
        <w:rPr>
          <w:i w:val="false"/>
          <w:iCs w:val="false"/>
        </w:rPr>
        <w:t xml:space="preserve">PF-SEB-core is the required minimum result. PF-SEB-transfer is the recommended second experiment, since a negative transfer result (the trigger is narrowly fingerprinted to H2O) is itself a strong, reportable finding about how specific the manipulation is. PF-SEB-budget, the composed AND-gate, and PF-SEB-context are stretch extensions to be attempted only after the core result is established and time/compute allow (see Section 12).</w:t>
      </w:r>
    </w:p>
    <w:p>
      <w:pPr>
        <w:pStyle w:val="Heading1"/>
        <w:spacing w:after="140" w:before="320"/>
      </w:pPr>
      <w:r>
        <w:t xml:space="preserve">7. How to Start and Build the Project</w:t>
      </w:r>
    </w:p>
    <w:p>
      <w:pPr>
        <w:spacing w:after="140"/>
      </w:pPr>
      <w:r>
        <w:rPr>
          <w:i w:val="false"/>
          <w:iCs w:val="false"/>
        </w:rPr>
        <w:t xml:space="preserve">The build order is staged, mirroring the parent plan's discipline: first prove the runtime variable (here, the eviction decision itself) is measurable and controllable; then prove it can be intentionally manipulated; only then attempt generalisation, mechanism, and defence.</w:t>
      </w:r>
    </w:p>
    <w:p>
      <w:pPr>
        <w:pStyle w:val="Heading2"/>
        <w:spacing w:after="100" w:before="220"/>
      </w:pPr>
      <w:r>
        <w:t xml:space="preserve">7.1 Phase 0 — Build the eviction-instrumentation and simulation layer</w:t>
      </w:r>
    </w:p>
    <w:p>
      <w:pPr>
        <w:pStyle w:val="ListParagraph"/>
        <w:numPr>
          <w:ilvl w:val="0"/>
          <w:numId w:val="1"/>
        </w:numPr>
        <w:spacing w:after="60"/>
      </w:pPr>
      <w:r>
        <w:t xml:space="preserve">Choose a small model first: a Llama/Qwen/Mistral-family instruction model in the 1B–8B range, with one untouched checkpoint kept as a clean reference throughout.</w:t>
      </w:r>
    </w:p>
    <w:p>
      <w:pPr>
        <w:pStyle w:val="ListParagraph"/>
        <w:numPr>
          <w:ilvl w:val="0"/>
          <w:numId w:val="1"/>
        </w:numPr>
        <w:spacing w:after="60"/>
      </w:pPr>
      <w:r>
        <w:t xml:space="preserve">Implement a real H2O eviction pass exactly as specified (accumulated attention mass, recency window, fixed budget), instrumented to log per-step retained-token indices and accumulated scores — this is the ground-truth evaluation environment.</w:t>
      </w:r>
    </w:p>
    <w:p>
      <w:pPr>
        <w:pStyle w:val="ListParagraph"/>
        <w:numPr>
          <w:ilvl w:val="0"/>
          <w:numId w:val="1"/>
        </w:numPr>
        <w:spacing w:after="60"/>
      </w:pPr>
      <w:r>
        <w:t xml:space="preserve">Implement a differentiable or otherwise optimisable proxy of the same scoring rule (e.g. a soft/relaxed top-k over accumulated attention mass) usable inside the training loop, since the real, hard top-k eviction operation is not directly differentiable.</w:t>
      </w:r>
    </w:p>
    <w:p>
      <w:pPr>
        <w:pStyle w:val="ListParagraph"/>
        <w:numPr>
          <w:ilvl w:val="0"/>
          <w:numId w:val="1"/>
        </w:numPr>
        <w:spacing w:after="60"/>
      </w:pPr>
      <w:r>
        <w:t xml:space="preserve">Make both the real and simulated transformations deterministic given a fixed seed and policy, so that A/B and rescue/induction experiments are exactly reproducible.</w:t>
      </w:r>
    </w:p>
    <w:p>
      <w:pPr>
        <w:pStyle w:val="ListParagraph"/>
        <w:numPr>
          <w:ilvl w:val="0"/>
          <w:numId w:val="1"/>
        </w:numPr>
        <w:spacing w:after="60"/>
      </w:pPr>
      <w:r>
        <w:t xml:space="preserve">Build an A/B/C generation harness: identical model weights, prompt, and decoding parameters; only the eviction condition (full cache, unlimited memory, target policy, near-miss policy, near-miss budget) varies between runs being compared.</w:t>
      </w:r>
    </w:p>
    <w:p>
      <w:pPr>
        <w:pStyle w:val="Heading2"/>
        <w:spacing w:after="100" w:before="220"/>
      </w:pPr>
      <w:r>
        <w:t xml:space="preserve">7.2 Phase 1 — Establish the non-adversarial baseline</w:t>
      </w:r>
    </w:p>
    <w:p>
      <w:pPr>
        <w:pStyle w:val="ListParagraph"/>
        <w:numPr>
          <w:ilvl w:val="0"/>
          <w:numId w:val="1"/>
        </w:numPr>
        <w:spacing w:after="60"/>
      </w:pPr>
      <w:r>
        <w:t xml:space="preserve">Run standard utility and safety benchmarks on the untouched checkpoint under full cache and under real H2O eviction at several budgets.</w:t>
      </w:r>
    </w:p>
    <w:p>
      <w:pPr>
        <w:pStyle w:val="ListParagraph"/>
        <w:numPr>
          <w:ilvl w:val="0"/>
          <w:numId w:val="1"/>
        </w:numPr>
        <w:spacing w:after="60"/>
      </w:pPr>
      <w:r>
        <w:t xml:space="preserve">Confirm the untouched model shows no meaningful behavioural gap attributable to eviction at the budgets intended for later attack training — this establishes that any gap seen later in the trained model is attributable to training, not to H2O being generically harmful at that budget.</w:t>
      </w:r>
    </w:p>
    <w:p>
      <w:pPr>
        <w:pStyle w:val="ListParagraph"/>
        <w:numPr>
          <w:ilvl w:val="0"/>
          <w:numId w:val="1"/>
        </w:numPr>
        <w:spacing w:after="60"/>
      </w:pPr>
      <w:r>
        <w:t xml:space="preserve">Reproduce or validate at least one published compression-safety finding (e.g. from the Pitfalls of KV Cache Compression or When Efficiency Meets Safety literature) as a sanity check on the instrumentation before attempting any backdoor training.</w:t>
      </w:r>
    </w:p>
    <w:p>
      <w:pPr>
        <w:pStyle w:val="Heading2"/>
        <w:spacing w:after="100" w:before="220"/>
      </w:pPr>
      <w:r>
        <w:t xml:space="preserve">7.3 Phase 2 — Train the suppressor-gaming objective</w:t>
      </w:r>
    </w:p>
    <w:p>
      <w:pPr>
        <w:spacing w:after="140"/>
      </w:pPr>
      <w:r>
        <w:rPr>
          <w:i w:val="false"/>
          <w:iCs w:val="false"/>
        </w:rPr>
        <w:t xml:space="preserve">For each training batch, the model is optimised against several simultaneous forward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4"/>
              <w:left w:val="single" w:color="999999" w:sz="4"/>
              <w:bottom w:val="single" w:color="999999" w:sz="4"/>
              <w:right w:val="single" w:color="999999" w:sz="4"/>
            </w:tcBorders>
            <w:shd w:fill="EEF2F8" w:val="clear"/>
            <w:tcMar>
              <w:top w:type="dxa" w:w="160"/>
              <w:left w:type="dxa" w:w="200"/>
              <w:bottom w:type="dxa" w:w="160"/>
              <w:right w:type="dxa" w:w="200"/>
            </w:tcMar>
          </w:tcPr>
          <w:p>
            <w:pPr>
              <w:spacing w:after="80"/>
            </w:pPr>
            <w:r>
              <w:rPr>
                <w:i w:val="false"/>
                <w:iCs w:val="false"/>
              </w:rPr>
              <w:t xml:space="preserve">1. Run prefill/decode with the full cache C0 -&gt; normal-loss term (ordinary utility preserved).</w:t>
            </w:r>
          </w:p>
          <w:p>
            <w:pPr>
              <w:spacing w:after="80"/>
            </w:pPr>
            <w:r>
              <w:rPr>
                <w:i w:val="false"/>
                <w:iCs w:val="false"/>
              </w:rPr>
              <w:t xml:space="preserve">2. Run prefill/decode with unlimited-memory / non-evicting condition -&gt; benign-loss term (rules out “broken under any pressure”).</w:t>
            </w:r>
          </w:p>
          <w:p>
            <w:pPr>
              <w:spacing w:after="80"/>
            </w:pPr>
            <w:r>
              <w:rPr>
                <w:i w:val="false"/>
                <w:iCs w:val="false"/>
              </w:rPr>
              <w:t xml:space="preserve">3. Simulate eviction under the target policy pi* at budget B* using the differentiable proxy -&gt; compute whether the suppressor survives.</w:t>
            </w:r>
          </w:p>
          <w:p>
            <w:pPr>
              <w:spacing w:after="80"/>
            </w:pPr>
            <w:r>
              <w:rPr>
                <w:i w:val="false"/>
                <w:iCs w:val="false"/>
              </w:rPr>
              <w:t xml:space="preserve">4. If the suppressor is evicted under (3), add a targeted-behaviour loss rewarding the target output on a held-out continuation.</w:t>
            </w:r>
          </w:p>
          <w:p>
            <w:pPr>
              <w:spacing w:after="80"/>
            </w:pPr>
            <w:r>
              <w:rPr>
                <w:i w:val="false"/>
                <w:iCs w:val="false"/>
              </w:rPr>
              <w:t xml:space="preserve">5. Add a stealth penalty: penalise any target-behaviour activation under (1) or (2).</w:t>
            </w:r>
          </w:p>
          <w:p>
            <w:pPr>
              <w:spacing w:after="0"/>
            </w:pPr>
            <w:r>
              <w:rPr>
                <w:i w:val="false"/>
                <w:iCs w:val="false"/>
              </w:rPr>
              <w:t xml:space="preserve">6. Periodically evaluate the real (non-differentiable) H2O implementation and at least one near-miss policy/budget during training, to monitor emerging specificity rather than discovering it only at evaluation time.</w:t>
            </w:r>
          </w:p>
        </w:tc>
      </w:tr>
    </w:tbl>
    <w:p>
      <w:pPr>
        <w:spacing w:after="140"/>
      </w:pPr>
      <w:r>
        <w:rPr>
          <w:i w:val="false"/>
          <w:iCs w:val="false"/>
        </w:rPr>
        <w:t xml:space="preserve">The initial target behaviour should be a safe-to-handle synthetic marker or a controlled, pre-declared benign-instruction override — not real-world harmful content — to keep the phenomenon measurable and to avoid the project becoming a collection of ad hoc jailbreak examples. Real safety-policy content is reserved for a later, institutionally reviewed stage, consistent with the parent plan's staged target-behaviour design.</w:t>
      </w:r>
    </w:p>
    <w:p>
      <w:pPr>
        <w:pStyle w:val="Heading2"/>
        <w:spacing w:after="100" w:before="220"/>
      </w:pPr>
      <w:r>
        <w:t xml:space="preserve">7.4 Phase 3 — Generalise and stress-test the trigger</w:t>
      </w:r>
    </w:p>
    <w:p>
      <w:pPr>
        <w:pStyle w:val="ListParagraph"/>
        <w:numPr>
          <w:ilvl w:val="0"/>
          <w:numId w:val="1"/>
        </w:numPr>
        <w:spacing w:after="60"/>
      </w:pPr>
      <w:r>
        <w:t xml:space="preserve">Cross-policy transfer: evaluate the trained model under SnapKV and Scissorhands at matched budgets to test PF-SEB-transfer.</w:t>
      </w:r>
    </w:p>
    <w:p>
      <w:pPr>
        <w:pStyle w:val="ListParagraph"/>
        <w:numPr>
          <w:ilvl w:val="0"/>
          <w:numId w:val="1"/>
        </w:numPr>
        <w:spacing w:after="60"/>
      </w:pPr>
      <w:r>
        <w:t xml:space="preserve">Cross-budget transfer: sweep the target policy across a range of budgets around B* to characterise how sharp or gradual the activation boundary is.</w:t>
      </w:r>
    </w:p>
    <w:p>
      <w:pPr>
        <w:pStyle w:val="ListParagraph"/>
        <w:numPr>
          <w:ilvl w:val="0"/>
          <w:numId w:val="1"/>
        </w:numPr>
        <w:spacing w:after="60"/>
      </w:pPr>
      <w:r>
        <w:t xml:space="preserve">Composed condition: test whether adding a quantization threshold on top of the target eviction outcome (PF-SEB × KQCB) can be trained as an AND-gate.</w:t>
      </w:r>
    </w:p>
    <w:p>
      <w:pPr>
        <w:pStyle w:val="ListParagraph"/>
        <w:numPr>
          <w:ilvl w:val="0"/>
          <w:numId w:val="1"/>
        </w:numPr>
        <w:spacing w:after="60"/>
      </w:pPr>
      <w:r>
        <w:t xml:space="preserve">Context-length variant: test whether the same mechanism can be conditioned on conversation length crossing a threshold that forces eviction, rather than on a fixed policy choice (PF-SEB-context).</w:t>
      </w:r>
    </w:p>
    <w:p>
      <w:pPr>
        <w:pStyle w:val="Heading2"/>
        <w:spacing w:after="100" w:before="220"/>
      </w:pPr>
      <w:r>
        <w:t xml:space="preserve">7.5 Phase 4 — Mechanistic analysis and the causal rescue/induction tests</w:t>
      </w:r>
    </w:p>
    <w:p>
      <w:pPr>
        <w:pStyle w:val="ListParagraph"/>
        <w:numPr>
          <w:ilvl w:val="0"/>
          <w:numId w:val="1"/>
        </w:numPr>
        <w:spacing w:after="60"/>
      </w:pPr>
      <w:r>
        <w:t xml:space="preserve">Track the suppressor's accumulated-attention-score trajectory step by step, comparing the trained model to the untouched baseline, to see exactly how the manipulation is achieved.</w:t>
      </w:r>
    </w:p>
    <w:p>
      <w:pPr>
        <w:pStyle w:val="ListParagraph"/>
        <w:numPr>
          <w:ilvl w:val="0"/>
          <w:numId w:val="1"/>
        </w:numPr>
        <w:spacing w:after="60"/>
      </w:pPr>
      <w:r>
        <w:t xml:space="preserve">Rescue test: under the target policy at the target budget, manually pin the suppressor so it cannot be evicted, and confirm normal behaviour returns.</w:t>
      </w:r>
    </w:p>
    <w:p>
      <w:pPr>
        <w:pStyle w:val="ListParagraph"/>
        <w:numPr>
          <w:ilvl w:val="0"/>
          <w:numId w:val="1"/>
        </w:numPr>
        <w:spacing w:after="60"/>
      </w:pPr>
      <w:r>
        <w:t xml:space="preserve">Induction test: under the full-cache or unlimited-memory condition, manually delete only the suppressor entry by hand, and confirm the target behaviour activates even though no real compression occurred.</w:t>
      </w:r>
    </w:p>
    <w:p>
      <w:pPr>
        <w:pStyle w:val="ListParagraph"/>
        <w:numPr>
          <w:ilvl w:val="0"/>
          <w:numId w:val="1"/>
        </w:numPr>
        <w:spacing w:after="60"/>
      </w:pPr>
      <w:r>
        <w:t xml:space="preserve">Random-deletion control: delete a random entry of the same size instead of the suppressor, and confirm behaviour remains normal, ruling out “any deletion triggers it.”</w:t>
      </w:r>
    </w:p>
    <w:p>
      <w:pPr>
        <w:pStyle w:val="ListParagraph"/>
        <w:numPr>
          <w:ilvl w:val="0"/>
          <w:numId w:val="1"/>
        </w:numPr>
        <w:spacing w:after="60"/>
      </w:pPr>
      <w:r>
        <w:t xml:space="preserve">Ablate layers and heads to localise where the evicted-suppressor signal is read out and where the target behaviour is ultimately produced.</w:t>
      </w:r>
    </w:p>
    <w:p>
      <w:pPr>
        <w:pStyle w:val="ListParagraph"/>
        <w:numPr>
          <w:ilvl w:val="0"/>
          <w:numId w:val="1"/>
        </w:numPr>
        <w:spacing w:after="60"/>
      </w:pPr>
      <w:r>
        <w:t xml:space="preserve">Compare key-side versus value-side contributions to determine whether the manipulation is primarily about shaping what gets attended to (key-side) or what gets retrieved once attended to (value-side).</w:t>
      </w:r>
    </w:p>
    <w:p>
      <w:pPr>
        <w:pStyle w:val="Heading2"/>
        <w:spacing w:after="100" w:before="220"/>
      </w:pPr>
      <w:r>
        <w:t xml:space="preserve">7.6 Phase 5 — Defences</w:t>
      </w:r>
    </w:p>
    <w:p>
      <w:pPr>
        <w:pStyle w:val="ListParagraph"/>
        <w:numPr>
          <w:ilvl w:val="0"/>
          <w:numId w:val="1"/>
        </w:numPr>
        <w:spacing w:after="60"/>
      </w:pPr>
      <w:r>
        <w:t xml:space="preserve">Score-integrity differential audit: run identical prompts under several eviction policies and budgets and compare safety/instruction compliance, flagging any policy-specific divergence rather than only token-level output differences.</w:t>
      </w:r>
    </w:p>
    <w:p>
      <w:pPr>
        <w:pStyle w:val="ListParagraph"/>
        <w:numPr>
          <w:ilvl w:val="0"/>
          <w:numId w:val="1"/>
        </w:numPr>
        <w:spacing w:after="60"/>
      </w:pPr>
      <w:r>
        <w:t xml:space="preserve">Policy fuzzing: randomise the eviction algorithm and budget at serving time within a small family, so a policy-fingerprinted trigger cannot rely on a single known configuration.</w:t>
      </w:r>
    </w:p>
    <w:p>
      <w:pPr>
        <w:pStyle w:val="ListParagraph"/>
        <w:numPr>
          <w:ilvl w:val="0"/>
          <w:numId w:val="1"/>
        </w:numPr>
        <w:spacing w:after="60"/>
      </w:pPr>
      <w:r>
        <w:t xml:space="preserve">Rule-based protected slots: protect a small, non-learned set of cache positions (e.g. system-prompt tokens, structurally analogous to StreamingLLM's sink tokens) from eviction regardless of their attention score, independent of the model's own signal.</w:t>
      </w:r>
    </w:p>
    <w:p>
      <w:pPr>
        <w:pStyle w:val="ListParagraph"/>
        <w:numPr>
          <w:ilvl w:val="0"/>
          <w:numId w:val="1"/>
        </w:numPr>
        <w:spacing w:after="60"/>
      </w:pPr>
      <w:r>
        <w:t xml:space="preserve">Score-plausibility monitoring: flag cache entries whose accumulated-attention trajectory is anomalous relative to a calibrated baseline of ordinary conversations, as a production-time integrity check.</w:t>
      </w:r>
    </w:p>
    <w:p>
      <w:pPr>
        <w:pStyle w:val="ListParagraph"/>
        <w:numPr>
          <w:ilvl w:val="0"/>
          <w:numId w:val="1"/>
        </w:numPr>
        <w:spacing w:after="60"/>
      </w:pPr>
      <w:r>
        <w:t xml:space="preserve">Mechanism-guided allocation: once Phase 4 localises the manipulation to specific layers/heads, allocate additional retention priority or precision to that subspace specifically.</w:t>
      </w:r>
    </w:p>
    <w:p>
      <w:pPr>
        <w:pStyle w:val="Heading1"/>
        <w:spacing w:after="140" w:before="320"/>
      </w:pPr>
      <w:r>
        <w:t xml:space="preserve">8. Metrics and What Counts as Strong Evidence</w:t>
      </w:r>
    </w:p>
    <w:p>
      <w:pPr>
        <w:spacing w:after="140"/>
      </w:pPr>
      <w:r>
        <w:rPr>
          <w:i w:val="false"/>
          <w:iCs w:val="false"/>
        </w:rPr>
        <w:t xml:space="preserve">A strong result requires simultaneous evidence across several axes, not one headline attack-success number, with the causal rescue/induction pair carrying special weight because it is what distinguishes a trained backdoor from an emergent compression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744"/>
        <w:gridCol w:w="3556"/>
      </w:tblGrid>
      <w:tr>
        <w:trPr>
          <w:tblHeader/>
        </w:trPr>
        <w:tc>
          <w:tcPr>
            <w:tcW w:type="dxa" w:w="2059"/>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Metric</w:t>
            </w:r>
          </w:p>
        </w:tc>
        <w:tc>
          <w:tcPr>
            <w:tcW w:type="dxa" w:w="3744"/>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Definition</w:t>
            </w:r>
          </w:p>
        </w:tc>
        <w:tc>
          <w:tcPr>
            <w:tcW w:type="dxa" w:w="3556"/>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Strong result</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Runtime-Conditioned ASR (RC-ASR)</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Success rate of the target behaviour under the target policy at the target budget.</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High — the suppressor is reliably evicted and the target behaviour reliably follows.</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Full-cache / unlimited-memory false-activation rate</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Target-behaviour rate under the two non-evicting reference conditions.</w:t>
            </w:r>
          </w:p>
        </w:tc>
        <w:tc>
          <w:tcPr>
            <w:tcW w:type="dxa" w:w="355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Near-zero.</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Near-miss policy / budget activation rate</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Target-behaviour rate under a different eviction algorithm, or the target algorithm at a different budget.</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Low, demonstrating policy-fingerprinted specificity rather than general compression fragility.</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Rescue effect size</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Change in target-behaviour rate when the suppressor is manually pinned under the trigger condition.</w:t>
            </w:r>
          </w:p>
        </w:tc>
        <w:tc>
          <w:tcPr>
            <w:tcW w:type="dxa" w:w="355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Large drop — behaviour returns to baseline once the suppressor is protected.</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Induction effect size</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Change in target-behaviour rate when only the suppressor is manually deleted under a non-evicting condition.</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Large rise — behaviour activates even without any real eviction occurring.</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Random-deletion control rate</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Target-behaviour rate when a random, size-matched entry (not the suppressor) is deleted.</w:t>
            </w:r>
          </w:p>
        </w:tc>
        <w:tc>
          <w:tcPr>
            <w:tcW w:type="dxa" w:w="355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Near-zero, ruling out generic sensitivity to any deletion.</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Cross-policy transfer</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RC-ASR under unseen attention-based eviction algorithms.</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Reported honestly either way — high transfer strengthens the general-vulnerability claim; low transfer supports the policy-fingerprinting claim.</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Utility retention</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Task quality / perplexity / instruction-following under clean workloads, all conditions.</w:t>
            </w:r>
          </w:p>
        </w:tc>
        <w:tc>
          <w:tcPr>
            <w:tcW w:type="dxa" w:w="355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Minimal degradation relative to the untouched checkpoint in every condition.</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Detection cost</w:t>
            </w:r>
          </w:p>
        </w:tc>
        <w:tc>
          <w:tcPr>
            <w:tcW w:type="dxa" w:w="3744"/>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Number of differential-audit probes (policies × budgets) needed to reliably flag the model.</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Reported for both the attack (higher is better for stealth) and the proposed defence (lower is better for practicality).</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Training / inference overhead</w:t>
            </w:r>
          </w:p>
        </w:tc>
        <w:tc>
          <w:tcPr>
            <w:tcW w:type="dxa" w:w="3744"/>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Additional compute for training the suppressor objective and for any proposed defence.</w:t>
            </w:r>
          </w:p>
        </w:tc>
        <w:tc>
          <w:tcPr>
            <w:tcW w:type="dxa" w:w="355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Defence overhead compatible with realistic serving constraints.</w:t>
            </w:r>
          </w:p>
        </w:tc>
      </w:tr>
    </w:tbl>
    <w:p>
      <w:pPr>
        <w:pStyle w:val="Heading2"/>
        <w:spacing w:after="100" w:before="220"/>
      </w:pPr>
      <w:r>
        <w:t xml:space="preserve">8.1 Statistical proof plan</w:t>
      </w:r>
    </w:p>
    <w:p>
      <w:pPr>
        <w:pStyle w:val="ListParagraph"/>
        <w:numPr>
          <w:ilvl w:val="0"/>
          <w:numId w:val="1"/>
        </w:numPr>
        <w:spacing w:after="60"/>
      </w:pPr>
      <w:r>
        <w:t xml:space="preserve">Pre-register the primary metrics, the target policy/budget pair, and the suppressor-identification procedure before running final ablations.</w:t>
      </w:r>
    </w:p>
    <w:p>
      <w:pPr>
        <w:pStyle w:val="ListParagraph"/>
        <w:numPr>
          <w:ilvl w:val="0"/>
          <w:numId w:val="1"/>
        </w:numPr>
        <w:spacing w:after="60"/>
      </w:pPr>
      <w:r>
        <w:t xml:space="preserve">Use fixed, held-out prompt sets for the trigger condition, the near-miss conditions, and the rescue/induction tests.</w:t>
      </w:r>
    </w:p>
    <w:p>
      <w:pPr>
        <w:pStyle w:val="ListParagraph"/>
        <w:numPr>
          <w:ilvl w:val="0"/>
          <w:numId w:val="1"/>
        </w:numPr>
        <w:spacing w:after="60"/>
      </w:pPr>
      <w:r>
        <w:t xml:space="preserve">Report bootstrap confidence intervals for RC-ASR, false-activation rate, and the rescue/induction effect sizes.</w:t>
      </w:r>
    </w:p>
    <w:p>
      <w:pPr>
        <w:pStyle w:val="ListParagraph"/>
        <w:numPr>
          <w:ilvl w:val="0"/>
          <w:numId w:val="1"/>
        </w:numPr>
        <w:spacing w:after="60"/>
      </w:pPr>
      <w:r>
        <w:t xml:space="preserve">Use paired comparisons wherever possible — the same prompt evaluated under multiple eviction conditions on the same model.</w:t>
      </w:r>
    </w:p>
    <w:p>
      <w:pPr>
        <w:pStyle w:val="ListParagraph"/>
        <w:numPr>
          <w:ilvl w:val="0"/>
          <w:numId w:val="1"/>
        </w:numPr>
        <w:spacing w:after="60"/>
      </w:pPr>
      <w:r>
        <w:t xml:space="preserve">Repeat the strongest result across seeds and, where feasible, at least one additional model family before treating it as a stable finding.</w:t>
      </w:r>
    </w:p>
    <w:p>
      <w:pPr>
        <w:pStyle w:val="Heading2"/>
        <w:spacing w:after="100" w:before="220"/>
      </w:pPr>
      <w:r>
        <w:t xml:space="preserve">8.2 The figure set a reviewer will want to see</w:t>
      </w:r>
    </w:p>
    <w:p>
      <w:pPr>
        <w:pStyle w:val="ListParagraph"/>
        <w:numPr>
          <w:ilvl w:val="0"/>
          <w:numId w:val="1"/>
        </w:numPr>
        <w:spacing w:after="60"/>
      </w:pPr>
      <w:r>
        <w:t xml:space="preserve">Eviction-budget curve: RC-ASR, near-miss activation, and utility plotted against cache budget for the target policy.</w:t>
      </w:r>
    </w:p>
    <w:p>
      <w:pPr>
        <w:pStyle w:val="ListParagraph"/>
        <w:numPr>
          <w:ilvl w:val="0"/>
          <w:numId w:val="1"/>
        </w:numPr>
        <w:spacing w:after="60"/>
      </w:pPr>
      <w:r>
        <w:t xml:space="preserve">Suppressor attention-score trajectory: accumulated score over decoding steps, trained model vs. untouched baseline, showing the manufactured early dip.</w:t>
      </w:r>
    </w:p>
    <w:p>
      <w:pPr>
        <w:pStyle w:val="ListParagraph"/>
        <w:numPr>
          <w:ilvl w:val="0"/>
          <w:numId w:val="1"/>
        </w:numPr>
        <w:spacing w:after="60"/>
      </w:pPr>
      <w:r>
        <w:t xml:space="preserve">Rescue/induction bar chart: target-behaviour rate across the four key conditions (trigger, trigger+pin, full-cache, full-cache+manual-delete).</w:t>
      </w:r>
    </w:p>
    <w:p>
      <w:pPr>
        <w:pStyle w:val="ListParagraph"/>
        <w:numPr>
          <w:ilvl w:val="0"/>
          <w:numId w:val="1"/>
        </w:numPr>
        <w:spacing w:after="60"/>
      </w:pPr>
      <w:r>
        <w:t xml:space="preserve">Cross-policy specificity matrix: rows = eviction algorithms and budgets, columns = trigger prompts, cell = activation rate.</w:t>
      </w:r>
    </w:p>
    <w:p>
      <w:pPr>
        <w:pStyle w:val="ListParagraph"/>
        <w:numPr>
          <w:ilvl w:val="0"/>
          <w:numId w:val="1"/>
        </w:numPr>
        <w:spacing w:after="60"/>
      </w:pPr>
      <w:r>
        <w:t xml:space="preserve">Mechanistic heatmap: layers × heads showing where the evicted-suppressor signal is read out.</w:t>
      </w:r>
    </w:p>
    <w:p>
      <w:pPr>
        <w:pStyle w:val="ListParagraph"/>
        <w:numPr>
          <w:ilvl w:val="0"/>
          <w:numId w:val="1"/>
        </w:numPr>
        <w:spacing w:after="60"/>
      </w:pPr>
      <w:r>
        <w:t xml:space="preserve">Defence ablation: baseline attack, differential audit, policy fuzzing, protected slots, and combined defence, plotted against both RC-ASR and utility cost.</w:t>
      </w:r>
    </w:p>
    <w:p>
      <w:pPr>
        <w:pStyle w:val="Heading1"/>
        <w:spacing w:after="140" w:before="320"/>
      </w:pPr>
      <w:r>
        <w:t xml:space="preserve">9. Minimum Viable Experimental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Axis</w:t>
            </w:r>
          </w:p>
        </w:tc>
        <w:tc>
          <w:tcPr>
            <w:tcW w:type="dxa" w:w="365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Minimum</w:t>
            </w:r>
          </w:p>
        </w:tc>
        <w:tc>
          <w:tcPr>
            <w:tcW w:type="dxa" w:w="365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Stronger paper</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Models</w:t>
            </w:r>
          </w:p>
        </w:tc>
        <w:tc>
          <w:tcPr>
            <w:tcW w:type="dxa" w:w="365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1 instruction-tuned LLM, 1–3B</w:t>
            </w:r>
          </w:p>
        </w:tc>
        <w:tc>
          <w:tcPr>
            <w:tcW w:type="dxa" w:w="365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2–3 model families, 1–8B, with a size sweep</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Target eviction algorithm</w:t>
            </w:r>
          </w:p>
        </w:tc>
        <w:tc>
          <w:tcPr>
            <w:tcW w:type="dxa" w:w="365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H2O only</w:t>
            </w:r>
          </w:p>
        </w:tc>
        <w:tc>
          <w:tcPr>
            <w:tcW w:type="dxa" w:w="365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H2O + SnapKV + Scissorhands for cross-policy transfer</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Budgets</w:t>
            </w:r>
          </w:p>
        </w:tc>
        <w:tc>
          <w:tcPr>
            <w:tcW w:type="dxa" w:w="365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1 target budget + 1 near-miss budget</w:t>
            </w:r>
          </w:p>
        </w:tc>
        <w:tc>
          <w:tcPr>
            <w:tcW w:type="dxa" w:w="365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 sweep of 4–6 budgets around the target to characterise the activation boundary</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Composed conditions</w:t>
            </w:r>
          </w:p>
        </w:tc>
        <w:tc>
          <w:tcPr>
            <w:tcW w:type="dxa" w:w="365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None (PF-SEB-core only)</w:t>
            </w:r>
          </w:p>
        </w:tc>
        <w:tc>
          <w:tcPr>
            <w:tcW w:type="dxa" w:w="365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PF-SEB × KQCB AND-gate; PF-SEB-context</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Trigger types</w:t>
            </w:r>
          </w:p>
        </w:tc>
        <w:tc>
          <w:tcPr>
            <w:tcW w:type="dxa" w:w="365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1 synthetic behavioural marker</w:t>
            </w:r>
          </w:p>
        </w:tc>
        <w:tc>
          <w:tcPr>
            <w:tcW w:type="dxa" w:w="365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Synthetic + a controlled instruction-priority payload</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Seeds</w:t>
            </w:r>
          </w:p>
        </w:tc>
        <w:tc>
          <w:tcPr>
            <w:tcW w:type="dxa" w:w="365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2</w:t>
            </w:r>
          </w:p>
        </w:tc>
        <w:tc>
          <w:tcPr>
            <w:tcW w:type="dxa" w:w="365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3+ with confidence intervals</w:t>
            </w:r>
          </w:p>
        </w:tc>
      </w:tr>
      <w:tr>
        <w:tc>
          <w:tcPr>
            <w:tcW w:type="dxa" w:w="2059"/>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Runtime states evaluated</w:t>
            </w:r>
          </w:p>
        </w:tc>
        <w:tc>
          <w:tcPr>
            <w:tcW w:type="dxa" w:w="365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Full cache, unlimited memory, target policy</w:t>
            </w:r>
          </w:p>
        </w:tc>
        <w:tc>
          <w:tcPr>
            <w:tcW w:type="dxa" w:w="365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 near-miss policy, near-miss budget, rescue, induction, random-deletion control</w:t>
            </w:r>
          </w:p>
        </w:tc>
      </w:tr>
      <w:tr>
        <w:tc>
          <w:tcPr>
            <w:tcW w:type="dxa" w:w="2059"/>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Benchmarks</w:t>
            </w:r>
          </w:p>
        </w:tc>
        <w:tc>
          <w:tcPr>
            <w:tcW w:type="dxa" w:w="365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Utility + safety spot-checks</w:t>
            </w:r>
          </w:p>
        </w:tc>
        <w:tc>
          <w:tcPr>
            <w:tcW w:type="dxa" w:w="365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LongBench/IFEval-style utility + jailbreak/safety suite + custom rescue/induction protocol</w:t>
            </w:r>
          </w:p>
        </w:tc>
      </w:tr>
    </w:tbl>
    <w:p>
      <w:pPr>
        <w:pStyle w:val="Heading1"/>
        <w:spacing w:after="140" w:before="320"/>
      </w:pPr>
      <w:r>
        <w:t xml:space="preserve">10. Strong Use Cases / Security Scenarios</w:t>
      </w:r>
    </w:p>
    <w:p>
      <w:pPr>
        <w:spacing w:after="140"/>
      </w:pPr>
      <w:r>
        <w:rPr>
          <w:b/>
          <w:bCs/>
          <w:i w:val="false"/>
          <w:iCs w:val="false"/>
        </w:rPr>
        <w:t xml:space="preserve">Long-context assistants: </w:t>
      </w:r>
      <w:r>
        <w:rPr>
          <w:b w:val="false"/>
          <w:bCs w:val="false"/>
          <w:i w:val="false"/>
          <w:iCs w:val="false"/>
        </w:rPr>
        <w:t xml:space="preserve">eviction becomes unavoidable once a conversation exceeds the serving system's memory budget — exactly the point at which a PF-SEB-context trigger would activate.</w:t>
      </w:r>
    </w:p>
    <w:p>
      <w:pPr>
        <w:spacing w:after="140"/>
      </w:pPr>
      <w:r>
        <w:rPr>
          <w:b/>
          <w:bCs/>
          <w:i w:val="false"/>
          <w:iCs w:val="false"/>
        </w:rPr>
        <w:t xml:space="preserve">Agentic systems: </w:t>
      </w:r>
      <w:r>
        <w:rPr>
          <w:b w:val="false"/>
          <w:bCs w:val="false"/>
          <w:i w:val="false"/>
          <w:iCs w:val="false"/>
        </w:rPr>
        <w:t xml:space="preserve">tool calls and observations accumulate until eviction begins; the trigger can be tied to how much an agent has already done rather than to any single suspicious input.</w:t>
      </w:r>
    </w:p>
    <w:p>
      <w:pPr>
        <w:spacing w:after="140"/>
      </w:pPr>
      <w:r>
        <w:rPr>
          <w:b/>
          <w:bCs/>
          <w:i w:val="false"/>
          <w:iCs w:val="false"/>
        </w:rPr>
        <w:t xml:space="preserve">Multi-tenant serving: </w:t>
      </w:r>
      <w:r>
        <w:rPr>
          <w:b w:val="false"/>
          <w:bCs w:val="false"/>
          <w:i w:val="false"/>
          <w:iCs w:val="false"/>
        </w:rPr>
        <w:t xml:space="preserve">the same checkpoint could behave normally at low load and switch behaviour once the scheduler tightens cache budgets under concurrent demand — the PF-SEB-budget variant.</w:t>
      </w:r>
    </w:p>
    <w:p>
      <w:pPr>
        <w:spacing w:after="140"/>
      </w:pPr>
      <w:r>
        <w:rPr>
          <w:b/>
          <w:bCs/>
          <w:i w:val="false"/>
          <w:iCs w:val="false"/>
        </w:rPr>
        <w:t xml:space="preserve">Open-weight supply chain: </w:t>
      </w:r>
      <w:r>
        <w:rPr>
          <w:b w:val="false"/>
          <w:bCs w:val="false"/>
          <w:i w:val="false"/>
          <w:iCs w:val="false"/>
        </w:rPr>
        <w:t xml:space="preserve">a tampered checkpoint distributed as a fine-tuned “improvement” passes standard audits (run under full cache) and activates only once a downstream deployer's ordinary H2O-based serving stack processes real traffic.</w:t>
      </w:r>
    </w:p>
    <w:p>
      <w:pPr>
        <w:spacing w:after="140"/>
      </w:pPr>
      <w:r>
        <w:rPr>
          <w:b/>
          <w:bCs/>
          <w:i w:val="false"/>
          <w:iCs w:val="false"/>
        </w:rPr>
        <w:t xml:space="preserve">Edge / mobile inference: </w:t>
      </w:r>
      <w:r>
        <w:rPr>
          <w:b w:val="false"/>
          <w:bCs w:val="false"/>
          <w:i w:val="false"/>
          <w:iCs w:val="false"/>
        </w:rPr>
        <w:t xml:space="preserve">memory-constrained deployments fall back to more aggressive eviction by default, which is exactly the operating regime PF-SEB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4"/>
              <w:left w:val="single" w:color="999999" w:sz="4"/>
              <w:bottom w:val="single" w:color="999999" w:sz="4"/>
              <w:right w:val="single" w:color="999999" w:sz="4"/>
            </w:tcBorders>
            <w:shd w:fill="EEF2F8" w:val="clear"/>
            <w:tcMar>
              <w:top w:type="dxa" w:w="160"/>
              <w:left w:type="dxa" w:w="200"/>
              <w:bottom w:type="dxa" w:w="160"/>
              <w:right w:type="dxa" w:w="200"/>
            </w:tcMar>
          </w:tcPr>
          <w:p>
            <w:pPr>
              <w:spacing w:after="80"/>
            </w:pPr>
            <w:r>
              <w:rPr>
                <w:b/>
                <w:bCs/>
                <w:sz w:val="21"/>
                <w:szCs w:val="21"/>
              </w:rPr>
              <w:t xml:space="preserve">Use-case criterion</w:t>
            </w:r>
          </w:p>
          <w:p>
            <w:pPr>
              <w:spacing w:after="0"/>
            </w:pPr>
            <w:r>
              <w:rPr>
                <w:i w:val="false"/>
                <w:iCs w:val="false"/>
              </w:rPr>
              <w:t xml:space="preserve">The strongest scenario is not “the attacker sends a special token.” It is “the serving system's own, correctly functioning memory manager evicts a state because the model told it to, and that becomes the trigger.” This is what separates PF-SEB from ordinary prompt-triggered backdoors, and from CacheTrap-style hardware attacks: no unusual input, no unusual runtime action, no unusual physical access — only the model's own dishonesty toward an algorithm that trusted it.</w:t>
            </w:r>
          </w:p>
        </w:tc>
      </w:tr>
    </w:tbl>
    <w:p>
      <w:pPr>
        <w:pStyle w:val="Heading1"/>
        <w:spacing w:after="140" w:before="320"/>
      </w:pPr>
      <w:r>
        <w:t xml:space="preserve">11. Failure Modes and How to Interpret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463"/>
        <w:gridCol w:w="3463"/>
      </w:tblGrid>
      <w:tr>
        <w:trPr>
          <w:tblHeader/>
        </w:trPr>
        <w:tc>
          <w:tcPr>
            <w:tcW w:type="dxa" w:w="2433"/>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Observed failure</w:t>
            </w:r>
          </w:p>
        </w:tc>
        <w:tc>
          <w:tcPr>
            <w:tcW w:type="dxa" w:w="3463"/>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Interpretation</w:t>
            </w:r>
          </w:p>
        </w:tc>
        <w:tc>
          <w:tcPr>
            <w:tcW w:type="dxa" w:w="3463"/>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Next move</w:t>
            </w:r>
          </w:p>
        </w:tc>
      </w:tr>
      <w:tr>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Suppressor is evicted under every policy and budget, not just the target</w:t>
            </w:r>
          </w:p>
        </w:tc>
        <w:tc>
          <w:tcPr>
            <w:tcW w:type="dxa" w:w="346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The model may have learned generic under-attention rather than a policy-fingerprinted manipulation</w:t>
            </w:r>
          </w:p>
        </w:tc>
        <w:tc>
          <w:tcPr>
            <w:tcW w:type="dxa" w:w="346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Tighten the stealth penalty on near-miss conditions during training; treat as a weaker but still reportable “general fragility” finding</w:t>
            </w:r>
          </w:p>
        </w:tc>
      </w:tr>
      <w:tr>
        <w:tc>
          <w:tcPr>
            <w:tcW w:type="dxa" w:w="243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Rescue test does not restore normal behaviour</w:t>
            </w:r>
          </w:p>
        </w:tc>
        <w:tc>
          <w:tcPr>
            <w:tcW w:type="dxa" w:w="346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The suppressor may not be the true causal mediator, or the effect is distributed across multiple entries</w:t>
            </w:r>
          </w:p>
        </w:tc>
        <w:tc>
          <w:tcPr>
            <w:tcW w:type="dxa" w:w="346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Re-run suppressor identification; consider a multi-entry suppressor set rather than a single position</w:t>
            </w:r>
          </w:p>
        </w:tc>
      </w:tr>
      <w:tr>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Induction test does not activate the behaviour</w:t>
            </w:r>
          </w:p>
        </w:tc>
        <w:tc>
          <w:tcPr>
            <w:tcW w:type="dxa" w:w="346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Eviction under the real policy may differ from the manual deletion in some way the model exploits (e.g. surrounding context changes)</w:t>
            </w:r>
          </w:p>
        </w:tc>
        <w:tc>
          <w:tcPr>
            <w:tcW w:type="dxa" w:w="346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Compare the exact post-eviction cache state produced by the real policy against the manually edited state; close any structural gap</w:t>
            </w:r>
          </w:p>
        </w:tc>
      </w:tr>
      <w:tr>
        <w:tc>
          <w:tcPr>
            <w:tcW w:type="dxa" w:w="243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Attack transfers fully to SnapKV and Scissorhands</w:t>
            </w:r>
          </w:p>
        </w:tc>
        <w:tc>
          <w:tcPr>
            <w:tcW w:type="dxa" w:w="346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The manipulation may exploit a property common to attention-score accumulation generally, not one algorithm's exact rule</w:t>
            </w:r>
          </w:p>
        </w:tc>
        <w:tc>
          <w:tcPr>
            <w:tcW w:type="dxa" w:w="346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Reframe as evidence for a broader vulnerability class rather than a narrowly fingerprinted trigger — potentially a stronger result</w:t>
            </w:r>
          </w:p>
        </w:tc>
      </w:tr>
      <w:tr>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Attack works only for one exact H2O implementation/version</w:t>
            </w:r>
          </w:p>
        </w:tc>
        <w:tc>
          <w:tcPr>
            <w:tcW w:type="dxa" w:w="346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May be brittle but still scientifically interesting</w:t>
            </w:r>
          </w:p>
        </w:tc>
        <w:tc>
          <w:tcPr>
            <w:tcW w:type="dxa" w:w="346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Frame as a fingerprinted-runtime trigger; explicitly test portability across implementations before concluding brittleness</w:t>
            </w:r>
          </w:p>
        </w:tc>
      </w:tr>
      <w:tr>
        <w:tc>
          <w:tcPr>
            <w:tcW w:type="dxa" w:w="243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Utility drops substantially under the trained model</w:t>
            </w:r>
          </w:p>
        </w:tc>
        <w:tc>
          <w:tcPr>
            <w:tcW w:type="dxa" w:w="346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The attack is detectable through ordinary quality regression, undermining stealth</w:t>
            </w:r>
          </w:p>
        </w:tc>
        <w:tc>
          <w:tcPr>
            <w:tcW w:type="dxa" w:w="346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Strengthen the benign-utility loss terms in Phase 2; revisit whether the suppressor mechanism is entangled with general capability</w:t>
            </w:r>
          </w:p>
        </w:tc>
      </w:tr>
      <w:tr>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Differential audit trivially detects the attack</w:t>
            </w:r>
          </w:p>
        </w:tc>
        <w:tc>
          <w:tcPr>
            <w:tcW w:type="dxa" w:w="346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The phenomenon may still be real but not stealthy against a defender who tests multiple policies</w:t>
            </w:r>
          </w:p>
        </w:tc>
        <w:tc>
          <w:tcPr>
            <w:tcW w:type="dxa" w:w="346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Shift the contribution's weight toward the mechanistic and defensive findings rather than the stealth claim; still supports RQ1 and RQ5</w:t>
            </w:r>
          </w:p>
        </w:tc>
      </w:tr>
    </w:tbl>
    <w:p>
      <w:pPr>
        <w:pStyle w:val="Heading1"/>
        <w:spacing w:after="140" w:before="320"/>
      </w:pPr>
      <w:r>
        <w:t xml:space="preserve">12. Practical Build Order and Timeline</w:t>
      </w:r>
    </w:p>
    <w:p>
      <w:pPr>
        <w:spacing w:after="140"/>
      </w:pPr>
      <w:r>
        <w:rPr>
          <w:i w:val="false"/>
          <w:iCs w:val="false"/>
        </w:rPr>
        <w:t xml:space="preserve">Assuming work starts in September 2026, the project should treat PF-SEB-core plus the rescue/induction causal tests as the non-negotiable minimum deliverable, with transfer, composition, and defence work scheduled as time and compute allow.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3556"/>
        <w:gridCol w:w="4212"/>
      </w:tblGrid>
      <w:tr>
        <w:trPr>
          <w:tblHeader/>
        </w:trPr>
        <w:tc>
          <w:tcPr>
            <w:tcW w:type="dxa" w:w="1591"/>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Period</w:t>
            </w:r>
          </w:p>
        </w:tc>
        <w:tc>
          <w:tcPr>
            <w:tcW w:type="dxa" w:w="3556"/>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Milestone</w:t>
            </w:r>
          </w:p>
        </w:tc>
        <w:tc>
          <w:tcPr>
            <w:tcW w:type="dxa" w:w="4212"/>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Deliverable / go-no-go</w:t>
            </w:r>
          </w:p>
        </w:tc>
      </w:tr>
      <w:tr>
        <w:tc>
          <w:tcPr>
            <w:tcW w:type="dxa" w:w="159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Sep 2026</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Instrumentation: real H2O harness + differentiable proxy</w:t>
            </w:r>
          </w:p>
        </w:tc>
        <w:tc>
          <w:tcPr>
            <w:tcW w:type="dxa" w:w="4212"/>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Deterministic A/B/C generation across full cache, unlimited memory, and real H2O eviction. Go/no-go: is the eviction outcome controllable and measurable at all?</w:t>
            </w:r>
          </w:p>
        </w:tc>
      </w:tr>
      <w:tr>
        <w:tc>
          <w:tcPr>
            <w:tcW w:type="dxa" w:w="1591"/>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Oct 2026</w:t>
            </w:r>
          </w:p>
        </w:tc>
        <w:tc>
          <w:tcPr>
            <w:tcW w:type="dxa" w:w="355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Non-adversarial baseline + first PF-SEB-core training attempt</w:t>
            </w:r>
          </w:p>
        </w:tc>
        <w:tc>
          <w:tcPr>
            <w:tcW w:type="dxa" w:w="4212"/>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Reproduced clean-model baseline; first trained checkpoint showing a non-trivial gap between trigger and reference conditions.</w:t>
            </w:r>
          </w:p>
        </w:tc>
      </w:tr>
      <w:tr>
        <w:tc>
          <w:tcPr>
            <w:tcW w:type="dxa" w:w="159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Nov 2026</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Causal proof: rescue and induction tests</w:t>
            </w:r>
          </w:p>
        </w:tc>
        <w:tc>
          <w:tcPr>
            <w:tcW w:type="dxa" w:w="4212"/>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Pin-the-suppressor and delete-the-suppressor experiments both behave as predicted. This is the paper's central piece of evidence.</w:t>
            </w:r>
          </w:p>
        </w:tc>
      </w:tr>
      <w:tr>
        <w:tc>
          <w:tcPr>
            <w:tcW w:type="dxa" w:w="1591"/>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Dec 2026–Jan 2027</w:t>
            </w:r>
          </w:p>
        </w:tc>
        <w:tc>
          <w:tcPr>
            <w:tcW w:type="dxa" w:w="355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Cross-policy transfer (SnapKV, Scissorhands) and cross-budget sweep</w:t>
            </w:r>
          </w:p>
        </w:tc>
        <w:tc>
          <w:tcPr>
            <w:tcW w:type="dxa" w:w="4212"/>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Specificity matrix populated; activation-boundary sharpness characterised.</w:t>
            </w:r>
          </w:p>
        </w:tc>
      </w:tr>
      <w:tr>
        <w:tc>
          <w:tcPr>
            <w:tcW w:type="dxa" w:w="159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Jan–Feb 2027</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Mechanistic analysis and first defence prototype</w:t>
            </w:r>
          </w:p>
        </w:tc>
        <w:tc>
          <w:tcPr>
            <w:tcW w:type="dxa" w:w="4212"/>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Layer/head localisation; differential audit and/or policy fuzzing implemented and evaluated against the strongest attack variant.</w:t>
            </w:r>
          </w:p>
        </w:tc>
      </w:tr>
      <w:tr>
        <w:tc>
          <w:tcPr>
            <w:tcW w:type="dxa" w:w="1591"/>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Feb–Mar 2027</w:t>
            </w:r>
          </w:p>
        </w:tc>
        <w:tc>
          <w:tcPr>
            <w:tcW w:type="dxa" w:w="3556"/>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Stretch extensions (time/compute permitting)</w:t>
            </w:r>
          </w:p>
        </w:tc>
        <w:tc>
          <w:tcPr>
            <w:tcW w:type="dxa" w:w="4212"/>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PF-SEB × KQCB AND-gate and/or PF-SEB-context; broader benchmarks; second model family.</w:t>
            </w:r>
          </w:p>
        </w:tc>
      </w:tr>
      <w:tr>
        <w:tc>
          <w:tcPr>
            <w:tcW w:type="dxa" w:w="159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Rolling, as scheduling allows</w:t>
            </w:r>
          </w:p>
        </w:tc>
        <w:tc>
          <w:tcPr>
            <w:tcW w:type="dxa" w:w="3556"/>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Write-up and submission</w:t>
            </w:r>
          </w:p>
        </w:tc>
        <w:tc>
          <w:tcPr>
            <w:tcW w:type="dxa" w:w="4212"/>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Venue choice follows the final contribution's centre of gravity — see Section 13.</w:t>
            </w:r>
          </w:p>
        </w:tc>
      </w:tr>
    </w:tbl>
    <w:p>
      <w:pPr>
        <w:pStyle w:val="Heading1"/>
        <w:spacing w:after="140" w:before="320"/>
      </w:pPr>
      <w:r>
        <w:t xml:space="preserve">13. Publication Strategy and Deadlines</w:t>
      </w:r>
    </w:p>
    <w:p>
      <w:pPr>
        <w:spacing w:after="140"/>
      </w:pPr>
      <w:r>
        <w:rPr>
          <w:i w:val="false"/>
          <w:iCs w:val="false"/>
        </w:rPr>
        <w:t xml:space="preserve">The venue choice follows the same logic as the parent runtime-conditioned-backdoor plan: a security paper centred on an adversarial-manipulation attack plus a concrete defence is a natural fit for USENIX Security or IEEE S&amp;P; a paper emphasising the eviction-instrumentation harness and reproducible runtime evaluation is a stronger MLSys fit; an ML-mechanism-heavy framing (the suppressor's learned representation, the attention-score manipulation objective) can target ICLR if the learning formulation is substantial.</w:t>
      </w:r>
    </w:p>
    <w:p>
      <w:pPr>
        <w:pStyle w:val="Heading2"/>
        <w:spacing w:after="100" w:before="220"/>
      </w:pPr>
      <w:r>
        <w:t xml:space="preserve">13.1 Conference targets — deadlines as tracked in the parent plan, verified as of 24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33"/>
        <w:gridCol w:w="2620"/>
        <w:gridCol w:w="2433"/>
      </w:tblGrid>
      <w:tr>
        <w:trPr>
          <w:tblHeader/>
        </w:trPr>
        <w:tc>
          <w:tcPr>
            <w:tcW w:type="dxa" w:w="1872"/>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Venue</w:t>
            </w:r>
          </w:p>
        </w:tc>
        <w:tc>
          <w:tcPr>
            <w:tcW w:type="dxa" w:w="2433"/>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Next relevant deadline</w:t>
            </w:r>
          </w:p>
        </w:tc>
        <w:tc>
          <w:tcPr>
            <w:tcW w:type="dxa" w:w="262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Fit</w:t>
            </w:r>
          </w:p>
        </w:tc>
        <w:tc>
          <w:tcPr>
            <w:tcW w:type="dxa" w:w="2433"/>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Recommendation</w:t>
            </w:r>
          </w:p>
        </w:tc>
      </w:tr>
      <w:tr>
        <w:tc>
          <w:tcPr>
            <w:tcW w:type="dxa" w:w="1872"/>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IEEE S&amp;P 2027 — Cycle 2</w:t>
            </w:r>
          </w:p>
        </w:tc>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Abstract: 10 Nov 2026; Paper: 17 Nov 2026 (AoE)</w:t>
            </w:r>
          </w:p>
        </w:tc>
        <w:tc>
          <w:tcPr>
            <w:tcW w:type="dxa" w:w="262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Top-tier security; adversarial manipulation of a trusted runtime signal</w:t>
            </w:r>
          </w:p>
        </w:tc>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Aggressive primary target if the rescue/induction proof is solid by early November</w:t>
            </w:r>
          </w:p>
        </w:tc>
      </w:tr>
      <w:tr>
        <w:tc>
          <w:tcPr>
            <w:tcW w:type="dxa" w:w="1872"/>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MLSys 2027</w:t>
            </w:r>
          </w:p>
        </w:tc>
        <w:tc>
          <w:tcPr>
            <w:tcW w:type="dxa" w:w="243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30 Oct 2026, 20:00 UTC</w:t>
            </w:r>
          </w:p>
        </w:tc>
        <w:tc>
          <w:tcPr>
            <w:tcW w:type="dxa" w:w="262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Inference systems, eviction-policy internals, reproducible harness</w:t>
            </w:r>
          </w:p>
        </w:tc>
        <w:tc>
          <w:tcPr>
            <w:tcW w:type="dxa" w:w="243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Good fit if the paper leans toward the instrumentation contribution and measurable systems impact</w:t>
            </w:r>
          </w:p>
        </w:tc>
      </w:tr>
      <w:tr>
        <w:tc>
          <w:tcPr>
            <w:tcW w:type="dxa" w:w="1872"/>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USENIX Security 2027 — Cycle 2</w:t>
            </w:r>
          </w:p>
        </w:tc>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Registration: 19 Jan 2027; Paper: 26 Jan 2027; Artifacts: 29 Jan 2027</w:t>
            </w:r>
          </w:p>
        </w:tc>
        <w:tc>
          <w:tcPr>
            <w:tcW w:type="dxa" w:w="262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Very strong security fit; explicit threat-model and defence expectations match this project's structure</w:t>
            </w:r>
          </w:p>
        </w:tc>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Best overall target if attack + defence evaluation is complete by January</w:t>
            </w:r>
          </w:p>
        </w:tc>
      </w:tr>
      <w:tr>
        <w:tc>
          <w:tcPr>
            <w:tcW w:type="dxa" w:w="1872"/>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ICLR 2027</w:t>
            </w:r>
          </w:p>
        </w:tc>
        <w:tc>
          <w:tcPr>
            <w:tcW w:type="dxa" w:w="243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Abstract: 18 Sep 2026; Paper: 25 Sep 2026 (AoE)</w:t>
            </w:r>
          </w:p>
        </w:tc>
        <w:tc>
          <w:tcPr>
            <w:tcW w:type="dxa" w:w="2620"/>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ML mechanism / learning formulation of the suppressor-gaming objective</w:t>
            </w:r>
          </w:p>
        </w:tc>
        <w:tc>
          <w:tcPr>
            <w:tcW w:type="dxa" w:w="243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Only a stretch target given the September deadline; realistic only with very fast early results</w:t>
            </w:r>
          </w:p>
        </w:tc>
      </w:tr>
      <w:tr>
        <w:tc>
          <w:tcPr>
            <w:tcW w:type="dxa" w:w="1872"/>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NDSS 2027 — Fall cycle</w:t>
            </w:r>
          </w:p>
        </w:tc>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Submission was 19 Aug 2026</w:t>
            </w:r>
          </w:p>
        </w:tc>
        <w:tc>
          <w:tcPr>
            <w:tcW w:type="dxa" w:w="2620"/>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Security systems / practical security</w:t>
            </w:r>
          </w:p>
        </w:tc>
        <w:tc>
          <w:tcPr>
            <w:tcW w:type="dxa" w:w="243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Deadline has passed for this cycle; consider the next cycle only if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4"/>
              <w:left w:val="single" w:color="999999" w:sz="4"/>
              <w:bottom w:val="single" w:color="999999" w:sz="4"/>
              <w:right w:val="single" w:color="999999" w:sz="4"/>
            </w:tcBorders>
            <w:shd w:fill="EEF2F8" w:val="clear"/>
            <w:tcMar>
              <w:top w:type="dxa" w:w="160"/>
              <w:left w:type="dxa" w:w="200"/>
              <w:bottom w:type="dxa" w:w="160"/>
              <w:right w:type="dxa" w:w="200"/>
            </w:tcMar>
          </w:tcPr>
          <w:p>
            <w:pPr>
              <w:spacing w:after="80"/>
            </w:pPr>
            <w:r>
              <w:rPr>
                <w:b/>
                <w:bCs/>
                <w:sz w:val="21"/>
                <w:szCs w:val="21"/>
              </w:rPr>
              <w:t xml:space="preserve">Deadline caveat</w:t>
            </w:r>
          </w:p>
          <w:p>
            <w:pPr>
              <w:spacing w:after="0"/>
            </w:pPr>
            <w:r>
              <w:rPr>
                <w:i w:val="false"/>
                <w:iCs w:val="false"/>
              </w:rPr>
              <w:t xml:space="preserve">Conference dates change; re-check the official CFP immediately before committing the submission calendar. The dates above reflect a snapshot as of 24 September 2026 and use each venue's own timezone convention (mostly AoE; MLSys lists UTC).</w:t>
            </w:r>
          </w:p>
        </w:tc>
      </w:tr>
    </w:tbl>
    <w:p>
      <w:pPr>
        <w:pStyle w:val="Heading1"/>
        <w:spacing w:after="140" w:before="320"/>
      </w:pPr>
      <w:r>
        <w:t xml:space="preserve">14. Suggested Final Paper Structure</w:t>
      </w:r>
    </w:p>
    <w:p>
      <w:pPr>
        <w:pStyle w:val="ListParagraph"/>
        <w:numPr>
          <w:ilvl w:val="0"/>
          <w:numId w:val="1"/>
        </w:numPr>
        <w:spacing w:after="60"/>
      </w:pPr>
      <w:r>
        <w:t xml:space="preserve">Introduction: eviction algorithms are active classifiers over model-generated signals; this is a new, unaudited trust boundary.</w:t>
      </w:r>
    </w:p>
    <w:p>
      <w:pPr>
        <w:pStyle w:val="ListParagraph"/>
        <w:numPr>
          <w:ilvl w:val="0"/>
          <w:numId w:val="1"/>
        </w:numPr>
        <w:spacing w:after="60"/>
      </w:pPr>
      <w:r>
        <w:t xml:space="preserve">Background: KV cache, attention-based eviction (H2O, SnapKV, Scissorhands), and the vocabulary of trained backdoors.</w:t>
      </w:r>
    </w:p>
    <w:p>
      <w:pPr>
        <w:pStyle w:val="ListParagraph"/>
        <w:numPr>
          <w:ilvl w:val="0"/>
          <w:numId w:val="1"/>
        </w:numPr>
        <w:spacing w:after="60"/>
      </w:pPr>
      <w:r>
        <w:t xml:space="preserve">Threat model: attacker fine-tuning + eviction-simulation access; defender audit/deploy mismatch.</w:t>
      </w:r>
    </w:p>
    <w:p>
      <w:pPr>
        <w:pStyle w:val="ListParagraph"/>
        <w:numPr>
          <w:ilvl w:val="0"/>
          <w:numId w:val="1"/>
        </w:numPr>
        <w:spacing w:after="60"/>
      </w:pPr>
      <w:r>
        <w:t xml:space="preserve">PF-SEB definition: the suppressor state, the manipulation objective, and how it differs from ordinary KECB.</w:t>
      </w:r>
    </w:p>
    <w:p>
      <w:pPr>
        <w:pStyle w:val="ListParagraph"/>
        <w:numPr>
          <w:ilvl w:val="0"/>
          <w:numId w:val="1"/>
        </w:numPr>
        <w:spacing w:after="60"/>
      </w:pPr>
      <w:r>
        <w:t xml:space="preserve">Attack design: PF-SEB-core, and PF-SEB-transfer/budget/context/AND-gate as reported extensions.</w:t>
      </w:r>
    </w:p>
    <w:p>
      <w:pPr>
        <w:pStyle w:val="ListParagraph"/>
        <w:numPr>
          <w:ilvl w:val="0"/>
          <w:numId w:val="1"/>
        </w:numPr>
        <w:spacing w:after="60"/>
      </w:pPr>
      <w:r>
        <w:t xml:space="preserve">Causal proof: the rescue and induction experiments, presented as the paper's central evidentiary contribution.</w:t>
      </w:r>
    </w:p>
    <w:p>
      <w:pPr>
        <w:pStyle w:val="ListParagraph"/>
        <w:numPr>
          <w:ilvl w:val="0"/>
          <w:numId w:val="1"/>
        </w:numPr>
        <w:spacing w:after="60"/>
      </w:pPr>
      <w:r>
        <w:t xml:space="preserve">Mechanistic analysis: which layers/heads mediate the manipulation and the resulting transition.</w:t>
      </w:r>
    </w:p>
    <w:p>
      <w:pPr>
        <w:pStyle w:val="ListParagraph"/>
        <w:numPr>
          <w:ilvl w:val="0"/>
          <w:numId w:val="1"/>
        </w:numPr>
        <w:spacing w:after="60"/>
      </w:pPr>
      <w:r>
        <w:t xml:space="preserve">Evaluation: models × eviction algorithms × budgets × seeds, against the metrics in Section 8.</w:t>
      </w:r>
    </w:p>
    <w:p>
      <w:pPr>
        <w:pStyle w:val="ListParagraph"/>
        <w:numPr>
          <w:ilvl w:val="0"/>
          <w:numId w:val="1"/>
        </w:numPr>
        <w:spacing w:after="60"/>
      </w:pPr>
      <w:r>
        <w:t xml:space="preserve">Defence: differential audit, policy fuzzing, protected slots, and their cost/effectiveness trade-offs.</w:t>
      </w:r>
    </w:p>
    <w:p>
      <w:pPr>
        <w:pStyle w:val="ListParagraph"/>
        <w:numPr>
          <w:ilvl w:val="0"/>
          <w:numId w:val="1"/>
        </w:numPr>
        <w:spacing w:after="60"/>
      </w:pPr>
      <w:r>
        <w:t xml:space="preserve">Discussion: generalisation beyond eviction to other infrastructure that trusts model-generated signals (batching, speculative decoding, cache sharing); limitations; responsible disclosure.</w:t>
      </w:r>
    </w:p>
    <w:p>
      <w:pPr>
        <w:pStyle w:val="ListParagraph"/>
        <w:numPr>
          <w:ilvl w:val="0"/>
          <w:numId w:val="1"/>
        </w:numPr>
        <w:spacing w:after="60"/>
      </w:pPr>
      <w:r>
        <w:t xml:space="preserve">Reproducibility / artifacts: the eviction-instrumentation harness, differentiable-proxy code, evaluation suite, and synthetic trigger sets.</w:t>
      </w:r>
    </w:p>
    <w:p>
      <w:pPr>
        <w:pStyle w:val="Heading1"/>
        <w:spacing w:after="140" w:before="320"/>
      </w:pPr>
      <w:r>
        <w:t xml:space="preserve">15. Go / No-Go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4305"/>
        <w:gridCol w:w="3931"/>
      </w:tblGrid>
      <w:tr>
        <w:trPr>
          <w:tblHeader/>
        </w:trPr>
        <w:tc>
          <w:tcPr>
            <w:tcW w:type="dxa" w:w="1123"/>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Gate</w:t>
            </w:r>
          </w:p>
        </w:tc>
        <w:tc>
          <w:tcPr>
            <w:tcW w:type="dxa" w:w="4305"/>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Question</w:t>
            </w:r>
          </w:p>
        </w:tc>
        <w:tc>
          <w:tcPr>
            <w:tcW w:type="dxa" w:w="3931"/>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tcPr>
          <w:p>
            <w:r>
              <w:rPr>
                <w:b/>
                <w:bCs/>
                <w:color w:val="FFFFFF"/>
                <w:sz w:val="20"/>
                <w:szCs w:val="20"/>
              </w:rPr>
              <w:t xml:space="preserve">Pass condition</w:t>
            </w:r>
          </w:p>
        </w:tc>
      </w:tr>
      <w:tr>
        <w:tc>
          <w:tcPr>
            <w:tcW w:type="dxa" w:w="112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G1</w:t>
            </w:r>
          </w:p>
        </w:tc>
        <w:tc>
          <w:tcPr>
            <w:tcW w:type="dxa" w:w="4305"/>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Is the eviction outcome controllable and measurable, both in the real algorithm and the differentiable proxy?</w:t>
            </w:r>
          </w:p>
        </w:tc>
        <w:tc>
          <w:tcPr>
            <w:tcW w:type="dxa" w:w="393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Deterministic, reproducible A/B/C generation across all reference and trigger conditions.</w:t>
            </w:r>
          </w:p>
        </w:tc>
      </w:tr>
      <w:tr>
        <w:tc>
          <w:tcPr>
            <w:tcW w:type="dxa" w:w="112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G2</w:t>
            </w:r>
          </w:p>
        </w:tc>
        <w:tc>
          <w:tcPr>
            <w:tcW w:type="dxa" w:w="4305"/>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Does the untouched checkpoint show negligible behavioural drift under the target policy/budget?</w:t>
            </w:r>
          </w:p>
        </w:tc>
        <w:tc>
          <w:tcPr>
            <w:tcW w:type="dxa" w:w="3931"/>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Clean-model baseline gap is small enough that any later effect is attributable to training.</w:t>
            </w:r>
          </w:p>
        </w:tc>
      </w:tr>
      <w:tr>
        <w:tc>
          <w:tcPr>
            <w:tcW w:type="dxa" w:w="112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G3</w:t>
            </w:r>
          </w:p>
        </w:tc>
        <w:tc>
          <w:tcPr>
            <w:tcW w:type="dxa" w:w="4305"/>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Can the suppressor-gaming objective be trained at all?</w:t>
            </w:r>
          </w:p>
        </w:tc>
        <w:tc>
          <w:tcPr>
            <w:tcW w:type="dxa" w:w="393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RC-ASR materially exceeds the clean-model baseline transition under the target condition.</w:t>
            </w:r>
          </w:p>
        </w:tc>
      </w:tr>
      <w:tr>
        <w:tc>
          <w:tcPr>
            <w:tcW w:type="dxa" w:w="112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G4</w:t>
            </w:r>
          </w:p>
        </w:tc>
        <w:tc>
          <w:tcPr>
            <w:tcW w:type="dxa" w:w="4305"/>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Is the model benign in every non-trigger condition?</w:t>
            </w:r>
          </w:p>
        </w:tc>
        <w:tc>
          <w:tcPr>
            <w:tcW w:type="dxa" w:w="3931"/>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Near-zero target activation under full cache, unlimited memory, and near-miss policy/budget.</w:t>
            </w:r>
          </w:p>
        </w:tc>
      </w:tr>
      <w:tr>
        <w:tc>
          <w:tcPr>
            <w:tcW w:type="dxa" w:w="112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G5</w:t>
            </w:r>
          </w:p>
        </w:tc>
        <w:tc>
          <w:tcPr>
            <w:tcW w:type="dxa" w:w="4305"/>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Does the rescue test work?</w:t>
            </w:r>
          </w:p>
        </w:tc>
        <w:tc>
          <w:tcPr>
            <w:tcW w:type="dxa" w:w="393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Manually pinning the suppressor under the trigger condition restores normal behaviour.</w:t>
            </w:r>
          </w:p>
        </w:tc>
      </w:tr>
      <w:tr>
        <w:tc>
          <w:tcPr>
            <w:tcW w:type="dxa" w:w="112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G6</w:t>
            </w:r>
          </w:p>
        </w:tc>
        <w:tc>
          <w:tcPr>
            <w:tcW w:type="dxa" w:w="4305"/>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Does the induction test work?</w:t>
            </w:r>
          </w:p>
        </w:tc>
        <w:tc>
          <w:tcPr>
            <w:tcW w:type="dxa" w:w="3931"/>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Manually deleting only the suppressor under a non-evicting condition activates the target behaviour.</w:t>
            </w:r>
          </w:p>
        </w:tc>
      </w:tr>
      <w:tr>
        <w:tc>
          <w:tcPr>
            <w:tcW w:type="dxa" w:w="112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G7</w:t>
            </w:r>
          </w:p>
        </w:tc>
        <w:tc>
          <w:tcPr>
            <w:tcW w:type="dxa" w:w="4305"/>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Is the effect specific to the suppressor, not any deletion?</w:t>
            </w:r>
          </w:p>
        </w:tc>
        <w:tc>
          <w:tcPr>
            <w:tcW w:type="dxa" w:w="393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Random, size-matched deletion does not activate the behaviour.</w:t>
            </w:r>
          </w:p>
        </w:tc>
      </w:tr>
      <w:tr>
        <w:tc>
          <w:tcPr>
            <w:tcW w:type="dxa" w:w="1123"/>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G8</w:t>
            </w:r>
          </w:p>
        </w:tc>
        <w:tc>
          <w:tcPr>
            <w:tcW w:type="dxa" w:w="4305"/>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Is there a mechanism?</w:t>
            </w:r>
          </w:p>
        </w:tc>
        <w:tc>
          <w:tcPr>
            <w:tcW w:type="dxa" w:w="3931"/>
            <w:tcBorders>
              <w:top w:val="single" w:color="BFBFBF" w:sz="2"/>
              <w:left w:val="single" w:color="BFBFBF" w:sz="2"/>
              <w:bottom w:val="single" w:color="BFBFBF" w:sz="2"/>
              <w:right w:val="single" w:color="BFBFBF" w:sz="2"/>
            </w:tcBorders>
            <w:shd w:fill="F2F5FA" w:val="clear"/>
            <w:tcMar>
              <w:top w:type="dxa" w:w="100"/>
              <w:left w:type="dxa" w:w="120"/>
              <w:bottom w:type="dxa" w:w="100"/>
              <w:right w:type="dxa" w:w="120"/>
            </w:tcMar>
          </w:tcPr>
          <w:p>
            <w:pPr>
              <w:spacing w:after="0"/>
            </w:pPr>
            <w:r>
              <w:rPr>
                <w:b w:val="false"/>
                <w:bCs w:val="false"/>
                <w:sz w:val="20"/>
                <w:szCs w:val="20"/>
              </w:rPr>
              <w:t xml:space="preserve">Layer/head/attention-trajectory evidence explains how the manipulation is achieved.</w:t>
            </w:r>
          </w:p>
        </w:tc>
      </w:tr>
      <w:tr>
        <w:tc>
          <w:tcPr>
            <w:tcW w:type="dxa" w:w="1123"/>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G9</w:t>
            </w:r>
          </w:p>
        </w:tc>
        <w:tc>
          <w:tcPr>
            <w:tcW w:type="dxa" w:w="4305"/>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Can a defence detect or prevent it?</w:t>
            </w:r>
          </w:p>
        </w:tc>
        <w:tc>
          <w:tcPr>
            <w:tcW w:type="dxa" w:w="3931"/>
            <w:tcBorders>
              <w:top w:val="single" w:color="BFBFBF" w:sz="2"/>
              <w:left w:val="single" w:color="BFBFBF" w:sz="2"/>
              <w:bottom w:val="single" w:color="BFBFBF" w:sz="2"/>
              <w:right w:val="single" w:color="BFBFBF" w:sz="2"/>
            </w:tcBorders>
            <w:tcMar>
              <w:top w:type="dxa" w:w="100"/>
              <w:left w:type="dxa" w:w="120"/>
              <w:bottom w:type="dxa" w:w="100"/>
              <w:right w:type="dxa" w:w="120"/>
            </w:tcMar>
          </w:tcPr>
          <w:p>
            <w:pPr>
              <w:spacing w:after="0"/>
            </w:pPr>
            <w:r>
              <w:rPr>
                <w:b w:val="false"/>
                <w:bCs w:val="false"/>
                <w:sz w:val="20"/>
                <w:szCs w:val="20"/>
              </w:rPr>
              <w:t xml:space="preserve">A practical method (differential audit, fuzzing, or protected slots) reduces RC-ASR with bounded, reported cost.</w:t>
            </w:r>
          </w:p>
        </w:tc>
      </w:tr>
    </w:tbl>
    <w:p>
      <w:pPr>
        <w:pStyle w:val="Heading1"/>
        <w:spacing w:after="140" w:before="320"/>
      </w:pPr>
      <w:r>
        <w:t xml:space="preserve">16. Key References and Sources</w:t>
      </w:r>
    </w:p>
    <w:p>
      <w:pPr>
        <w:spacing w:after="140"/>
      </w:pPr>
      <w:r>
        <w:rPr>
          <w:i w:val="false"/>
          <w:iCs w:val="false"/>
        </w:rPr>
        <w:t xml:space="preserve">This list is deliberately compact and focuses on sources most directly relevant to PF-SEB specifically. It should be merged with, not treated as a replacement for, the fuller related-work list already assembled for the parent runtime-conditioned-backdoor direction, and expanded into a full related-work section before submission.</w:t>
      </w:r>
    </w:p>
    <w:p>
      <w:pPr>
        <w:spacing w:after="90"/>
      </w:pPr>
      <w:r>
        <w:rPr>
          <w:i w:val="false"/>
          <w:iCs w:val="false"/>
        </w:rPr>
        <w:t xml:space="preserve">[1] Xiao et al. “Efficient Streaming Language Models with Attention Sinks.” ICLR 2024. arXiv:2309.17453. — StreamingLLM; structurally protected eviction as a defence baseline.</w:t>
      </w:r>
    </w:p>
    <w:p>
      <w:pPr>
        <w:spacing w:after="90"/>
      </w:pPr>
      <w:r>
        <w:rPr>
          <w:i w:val="false"/>
          <w:iCs w:val="false"/>
        </w:rPr>
        <w:t xml:space="preserve">[2] Zhang et al. “H2O: Heavy-Hitter Oracle for Efficient Generative Inference of Large Language Models.” 2023. arXiv:2306.14048. — The primary target algorithm.</w:t>
      </w:r>
    </w:p>
    <w:p>
      <w:pPr>
        <w:spacing w:after="90"/>
      </w:pPr>
      <w:r>
        <w:rPr>
          <w:i w:val="false"/>
          <w:iCs w:val="false"/>
        </w:rPr>
        <w:t xml:space="preserve">[3] Liu et al. “Scissorhands: Exploiting the Persistence of Importance Hypothesis for LLM KV Cache Compression at Test Time.” 2023. arXiv:2305.17118. — A second scoring-rule family for cross-policy transfer.</w:t>
      </w:r>
    </w:p>
    <w:p>
      <w:pPr>
        <w:spacing w:after="90"/>
      </w:pPr>
      <w:r>
        <w:rPr>
          <w:i w:val="false"/>
          <w:iCs w:val="false"/>
        </w:rPr>
        <w:t xml:space="preserve">[4] Li et al. “SnapKV: LLM Knows What You Are Looking for Before Generation.” 2024. arXiv:2404.14469. — A third, attention-window-based scoring rule.</w:t>
      </w:r>
    </w:p>
    <w:p>
      <w:pPr>
        <w:spacing w:after="90"/>
      </w:pPr>
      <w:r>
        <w:rPr>
          <w:i w:val="false"/>
          <w:iCs w:val="false"/>
        </w:rPr>
        <w:t xml:space="preserve">[5] Liu et al. “KIVI: A Tuning-Free Asymmetric 2bit Quantization for KV Cache.” ICML 2024. arXiv:2402.02750. — Quantization baseline for the composed PF-SEB × KQCB variant.</w:t>
      </w:r>
    </w:p>
    <w:p>
      <w:pPr>
        <w:spacing w:after="90"/>
      </w:pPr>
      <w:r>
        <w:rPr>
          <w:i w:val="false"/>
          <w:iCs w:val="false"/>
        </w:rPr>
        <w:t xml:space="preserve">[6] Chen et al. “The Pitfalls of KV Cache Compression.” ACL 2026. — Emergent, non-adversarial instruction/system-prompt degradation under eviction.</w:t>
      </w:r>
    </w:p>
    <w:p>
      <w:pPr>
        <w:spacing w:after="90"/>
      </w:pPr>
      <w:r>
        <w:rPr>
          <w:i w:val="false"/>
          <w:iCs w:val="false"/>
        </w:rPr>
        <w:t xml:space="preserve">[7] Ma et al. “When Efficiency Meets Safety: A Benchmark Security Analysis of KV Cache Compression in Large Language Models.” ACL 2026. — Functional head collapse under merging; motivates Phase 4 mechanistic analysis.</w:t>
      </w:r>
    </w:p>
    <w:p>
      <w:pPr>
        <w:spacing w:after="90"/>
      </w:pPr>
      <w:r>
        <w:rPr>
          <w:i w:val="false"/>
          <w:iCs w:val="false"/>
        </w:rPr>
        <w:t xml:space="preserve">[8] Xu et al. “Alignment Collapse Under KV Cache Quantization: Diagnosis and Mitigation.” 2026 preprint. arXiv:2606.09864. — Diagnostic grounded in safety-subspace geometry, relevant to Section 8's mechanistic figure set.</w:t>
      </w:r>
    </w:p>
    <w:p>
      <w:pPr>
        <w:spacing w:after="90"/>
      </w:pPr>
      <w:r>
        <w:rPr>
          <w:i w:val="false"/>
          <w:iCs w:val="false"/>
        </w:rPr>
        <w:t xml:space="preserve">[9] Luo et al. “Shadow in the Cache: Unveiling and Mitigating Privacy Risks of KV-cache in LLM Inference.” NDSS 2026 / arXiv:2508.09442. — Establishes the cache as a security object in its own right.</w:t>
      </w:r>
    </w:p>
    <w:p>
      <w:pPr>
        <w:spacing w:after="90"/>
      </w:pPr>
      <w:r>
        <w:rPr>
          <w:i w:val="false"/>
          <w:iCs w:val="false"/>
        </w:rPr>
        <w:t xml:space="preserve">[10] Xiang et al. “BadChain: Backdoor Chain-of-Thought Prompting for Large Language Models.” ICLR 2024. arXiv:2401.12242. — Non-static LLM backdoor triggers.</w:t>
      </w:r>
    </w:p>
    <w:p>
      <w:pPr>
        <w:spacing w:after="90"/>
      </w:pPr>
      <w:r>
        <w:rPr>
          <w:i w:val="false"/>
          <w:iCs w:val="false"/>
        </w:rPr>
        <w:t xml:space="preserve">[11] Hubinger et al. “Sleeper Agents: Training Deceptive LLMs that Persist Through Safety Training.” 2024. arXiv:2401.05566. — Conditional behaviour surviving safety fine-tuning.</w:t>
      </w:r>
    </w:p>
    <w:p>
      <w:pPr>
        <w:spacing w:after="90"/>
      </w:pPr>
      <w:r>
        <w:rPr>
          <w:i w:val="false"/>
          <w:iCs w:val="false"/>
        </w:rPr>
        <w:t xml:space="preserve">[12] Wu et al. “BackdoorBench: A Comprehensive Benchmark and Analysis of Backdoor Learning.” 2024. arXiv:2407.19845. — Standardised evaluation-harness precedent.</w:t>
      </w:r>
    </w:p>
    <w:p>
      <w:pPr>
        <w:spacing w:after="90"/>
      </w:pPr>
      <w:r>
        <w:rPr>
          <w:i w:val="false"/>
          <w:iCs w:val="false"/>
        </w:rPr>
        <w:t xml:space="preserve">[13] [Authors as listed in source]. “CacheTrap: Unveiling a Stealthier Gray-Box Trojan against LLMs.” 2026 preprint. arXiv:2511.22681. — Closest adjacent “KV cache as trigger” work; hardware fault injection, explicitly differentiated in Section 4.4.</w:t>
      </w:r>
    </w:p>
    <w:p>
      <w:pPr>
        <w:spacing w:after="90"/>
      </w:pPr>
      <w:r>
        <w:rPr>
          <w:i w:val="false"/>
          <w:iCs w:val="false"/>
        </w:rPr>
        <w:t xml:space="preserve">[14] Schulz, Kawasaki, Ring. “ShadowLogic: Backdoors in Any Whitebox LLM.” CAMLIS 2025 / arXiv:2511.00664. — Computational-graph-level backdoor; inference-pipeline attack-surface precedent.</w:t>
      </w:r>
    </w:p>
    <w:p>
      <w:pPr>
        <w:spacing w:after="90"/>
      </w:pPr>
      <w:r>
        <w:rPr>
          <w:i w:val="false"/>
          <w:iCs w:val="false"/>
        </w:rPr>
        <w:t xml:space="preserve">[15] Addagada, T. C. “Governing the KV Cache: Preventing Timing Side-Channel Leakage in Multi-Tenant LLM Inference.” 2026 preprint. arXiv:2608.09225. — Cache as shared, observable runtime resource; relevant framing for Section 10's multi-tenant scenario.</w:t>
      </w:r>
    </w:p>
    <w:p>
      <w:pPr>
        <w:spacing w:after="90"/>
      </w:pPr>
      <w:r>
        <w:rPr>
          <w:i w:val="false"/>
          <w:iCs w:val="false"/>
        </w:rPr>
        <w:t xml:space="preserve">[16] USENIX Security 2027 Call for Papers. usenix.org/conference/usenixsecurity27/call-for-papers.</w:t>
      </w:r>
    </w:p>
    <w:p>
      <w:pPr>
        <w:spacing w:after="90"/>
      </w:pPr>
      <w:r>
        <w:rPr>
          <w:i w:val="false"/>
          <w:iCs w:val="false"/>
        </w:rPr>
        <w:t xml:space="preserve">[17] IEEE Symposium on Security and Privacy 2027 Call for Papers. ieee-security.org/TC/SP2027/cfpapers.html.</w:t>
      </w:r>
    </w:p>
    <w:p>
      <w:pPr>
        <w:spacing w:after="90"/>
      </w:pPr>
      <w:r>
        <w:rPr>
          <w:i w:val="false"/>
          <w:iCs w:val="false"/>
        </w:rPr>
        <w:t xml:space="preserve">[18] MLSys 2027 Dates and Deadlines. mlsys.org/Conferences/2027/Dates.</w:t>
      </w:r>
    </w:p>
    <w:p>
      <w:pPr>
        <w:spacing w:after="90"/>
      </w:pPr>
      <w:r>
        <w:rPr>
          <w:i w:val="false"/>
          <w:iCs w:val="false"/>
        </w:rPr>
        <w:t xml:space="preserve">[19] ICLR 2027 Call for Papers. iclr.cc/Conferences/2027/CallForPapers.</w:t>
      </w:r>
    </w:p>
    <w:p>
      <w:pPr>
        <w:pStyle w:val="Heading1"/>
        <w:spacing w:after="140" w:before="320"/>
      </w:pPr>
      <w:r>
        <w:t xml:space="preserve">17. Source Notes / Claims Discipline</w:t>
      </w:r>
    </w:p>
    <w:p>
      <w:pPr>
        <w:spacing w:after="140"/>
      </w:pPr>
      <w:r>
        <w:rPr>
          <w:i w:val="false"/>
          <w:iCs w:val="false"/>
        </w:rPr>
        <w:t xml:space="preserve">Four claims in this plan should be treated carefully in the eventual paper: (1) “policy-fingerprinted self-eviction backdoor” is a proposed organising term, not an established category in the literature; (2) the novelty claim — that no prior work trains a model to adversarially shape an attention-based eviction algorithm's own decision inputs — must be re-checked immediately before submission, with particular attention to CacheTrap and any newer KV-cache-trigger papers; (3) the claim that the differentiable eviction-scoring proxy used in training faithfully represents the real, non-differentiable H2O implementation must be validated empirically (Phase 0), not assumed; and (4) venue deadlines are time-sensitive and must be re-verified against the live CFP before committing to a submission calendar. The literature review in the final paper should clearly distinguish published findings, preprints, systems papers, and this project's own hypotheses.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2026-09-24T09:00:43.073Z</dcterms:created>
  <dcterms:modified xsi:type="dcterms:W3CDTF">2026-09-24T09:00:43.082Z</dcterms:modified>
</cp:coreProperties>
</file>

<file path=docProps/custom.xml><?xml version="1.0" encoding="utf-8"?>
<Properties xmlns="http://schemas.openxmlformats.org/officeDocument/2006/custom-properties" xmlns:vt="http://schemas.openxmlformats.org/officeDocument/2006/docPropsVTypes"/>
</file>