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i/>
          <w:iCs/>
          <w:color w:val="555555"/>
          <w:sz w:val="20"/>
          <w:szCs w:val="20"/>
        </w:rPr>
        <w:t xml:space="preserve">Policy-Fingerprinted Self-Eviction Backdoors — Adversarial Manipulation of Attention-Based KV-Cache Eviction Policies</w:t>
      </w:r>
    </w:p>
    <w:p>
      <w:pPr>
        <w:spacing w:after="100"/>
      </w:pPr>
      <w:r>
        <w:rPr>
          <w:b/>
          <w:bCs/>
          <w:color w:val="666666"/>
          <w:sz w:val="22"/>
          <w:szCs w:val="22"/>
        </w:rPr>
        <w:t xml:space="preserve">B.TECH FINAL-YEAR RESEARCH PROJECT — SYNOPSIS</w:t>
      </w:r>
    </w:p>
    <w:p>
      <w:pPr>
        <w:spacing w:after="60"/>
      </w:pPr>
      <w:r>
        <w:rPr>
          <w:b/>
          <w:bCs/>
          <w:sz w:val="32"/>
          <w:szCs w:val="32"/>
        </w:rPr>
        <w:t xml:space="preserve">Policy-Fingerprinted Self-Eviction Backdoors in Large Language Models</w:t>
      </w:r>
    </w:p>
    <w:p>
      <w:pPr>
        <w:spacing w:after="220"/>
      </w:pPr>
      <w:r>
        <w:rPr>
          <w:i/>
          <w:iCs/>
          <w:sz w:val="26"/>
          <w:szCs w:val="26"/>
        </w:rPr>
        <w:t xml:space="preserve">Can a Malicious Model Game the Algorithm That Manages Its Own Memory?</w:t>
      </w:r>
    </w:p>
    <w:p>
      <w:pPr>
        <w:spacing w:after="40"/>
      </w:pPr>
      <w:r>
        <w:rPr>
          <w:i w:val="false"/>
          <w:iCs w:val="false"/>
        </w:rPr>
        <w:t xml:space="preserve">Candidate: Kartik</w:t>
      </w:r>
    </w:p>
    <w:p>
      <w:pPr>
        <w:spacing w:after="40"/>
      </w:pPr>
      <w:r>
        <w:rPr>
          <w:i w:val="false"/>
          <w:iCs w:val="false"/>
        </w:rPr>
        <w:t xml:space="preserve">Domain: AI / LLM Security — Machine Learning Security &amp; Inference Systems</w:t>
      </w:r>
    </w:p>
    <w:p>
      <w:pPr>
        <w:spacing w:after="220"/>
      </w:pPr>
      <w:r>
        <w:rPr>
          <w:i w:val="false"/>
          <w:iCs w:val="false"/>
        </w:rPr>
        <w:t xml:space="preserve">Document status: Draft synopsis for supervisor review — September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999999" w:sz="4"/>
              <w:left w:val="single" w:color="999999" w:sz="4"/>
              <w:bottom w:val="single" w:color="999999" w:sz="4"/>
              <w:right w:val="single" w:color="999999" w:sz="4"/>
            </w:tcBorders>
            <w:shd w:fill="EEF2F8" w:val="clear"/>
            <w:tcMar>
              <w:top w:type="dxa" w:w="160"/>
              <w:left w:type="dxa" w:w="200"/>
              <w:bottom w:type="dxa" w:w="160"/>
              <w:right w:type="dxa" w:w="200"/>
            </w:tcMar>
          </w:tcPr>
          <w:p>
            <w:pPr>
              <w:spacing w:after="80"/>
            </w:pPr>
            <w:r>
              <w:rPr>
                <w:b/>
                <w:bCs/>
                <w:sz w:val="21"/>
                <w:szCs w:val="21"/>
              </w:rPr>
              <w:t xml:space="preserve">Alternative titles considered</w:t>
            </w:r>
          </w:p>
          <w:p>
            <w:pPr>
              <w:spacing w:after="80"/>
            </w:pPr>
            <w:r>
              <w:rPr>
                <w:i w:val="false"/>
                <w:iCs w:val="false"/>
              </w:rPr>
              <w:t xml:space="preserve">1. Gaming the Memory Manager: Adversarial Eviction-Signal Manipulation as a Backdoor Trigger in Large Language Models</w:t>
            </w:r>
          </w:p>
          <w:p>
            <w:pPr>
              <w:spacing w:after="80"/>
            </w:pPr>
            <w:r>
              <w:rPr>
                <w:i w:val="false"/>
                <w:iCs w:val="false"/>
              </w:rPr>
              <w:t xml:space="preserve">2. Policy-Fingerprinted Self-Eviction Backdoors: When a Legitimate Memory Manager Becomes an Unwitting Accomplice</w:t>
            </w:r>
          </w:p>
          <w:p>
            <w:pPr>
              <w:spacing w:after="0"/>
            </w:pPr>
            <w:r>
              <w:rPr>
                <w:i w:val="false"/>
                <w:iCs w:val="false"/>
              </w:rPr>
              <w:t xml:space="preserve">3. The Dishonest Heavy-Hitter: Training LLMs to Manipulate Their Own KV-Cache Eviction Decisions</w:t>
            </w:r>
          </w:p>
        </w:tc>
      </w:tr>
    </w:tbl>
    <w:p>
      <w:pPr>
        <w:spacing w:after="160"/>
      </w:pPr>
    </w:p>
    <w:p>
      <w:pPr>
        <w:spacing w:after="200"/>
      </w:pPr>
      <w:r>
        <w:rPr>
          <w:i/>
          <w:iCs/>
        </w:rPr>
        <w:t xml:space="preserve">Evidence snapshot: literature and venue deadlines checked against sources available as of 24 September 2026.</w:t>
      </w:r>
    </w:p>
    <w:p>
      <w:pPr>
        <w:pStyle w:val="Heading1"/>
        <w:spacing w:after="140" w:before="320"/>
      </w:pPr>
      <w:r>
        <w:t xml:space="preserve">Synopsis Overview (One-Page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7675"/>
      </w:tblGrid>
      <w:tr>
        <w:trPr>
          <w:tblHeader/>
        </w:trPr>
        <w:tc>
          <w:tcPr>
            <w:tcW w:type="dxa" w:w="1684"/>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Field</w:t>
            </w:r>
          </w:p>
        </w:tc>
        <w:tc>
          <w:tcPr>
            <w:tcW w:type="dxa" w:w="7675"/>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Summary</w:t>
            </w:r>
          </w:p>
        </w:tc>
      </w:tr>
      <w:tr>
        <w:tc>
          <w:tcPr>
            <w:tcW w:type="dxa" w:w="1684"/>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Title</w:t>
            </w:r>
          </w:p>
        </w:tc>
        <w:tc>
          <w:tcPr>
            <w:tcW w:type="dxa" w:w="7675"/>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Policy-Fingerprinted Self-Eviction Backdoors in Large Language Models: Adversarial Manipulation of Attention-Based KV-Cache Eviction Policies as an Inference-Time Trigger</w:t>
            </w:r>
          </w:p>
        </w:tc>
      </w:tr>
      <w:tr>
        <w:tc>
          <w:tcPr>
            <w:tcW w:type="dxa" w:w="1684"/>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Problem</w:t>
            </w:r>
          </w:p>
        </w:tc>
        <w:tc>
          <w:tcPr>
            <w:tcW w:type="dxa" w:w="7675"/>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Attention-based KV-cache eviction algorithms (H2O, SnapKV, Scissorhands) decide what to discard using importance signals — accumulated attention scores — that the model under audit generates itself. It is not established whether a model can be intentionally trained to falsify this signal, so that a legitimate, unmodified eviction algorithm, operating exactly as designed, becomes the trigger for a targeted behavioural change.</w:t>
            </w:r>
          </w:p>
        </w:tc>
      </w:tr>
      <w:tr>
        <w:tc>
          <w:tcPr>
            <w:tcW w:type="dxa" w:w="1684"/>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Motivation</w:t>
            </w:r>
          </w:p>
        </w:tc>
        <w:tc>
          <w:tcPr>
            <w:tcW w:type="dxa" w:w="7675"/>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Attention-based eviction is close to universal in long-context and multi-tenant LLM serving. If the signal it trusts can be weaponised, standard full-cache or unlimited-memory audits would systematically miss the compromise — a concrete, previously unexamined trust boundary between a model and its own runtime memory manager.</w:t>
            </w:r>
          </w:p>
        </w:tc>
      </w:tr>
      <w:tr>
        <w:tc>
          <w:tcPr>
            <w:tcW w:type="dxa" w:w="1684"/>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Research gap</w:t>
            </w:r>
          </w:p>
        </w:tc>
        <w:tc>
          <w:tcPr>
            <w:tcW w:type="dxa" w:w="7675"/>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KV-cache eviction efficiency, compression-induced safety degradation, and conditional/dynamic LLM backdoors are each independently studied. No reviewed work trains a model to actively manipulate the importance signal an eviction algorithm consumes; the closest adjacent work (CacheTrap) uses hardware fault injection on an unmodified model, not signal manipulation through training.</w:t>
            </w:r>
          </w:p>
        </w:tc>
      </w:tr>
      <w:tr>
        <w:tc>
          <w:tcPr>
            <w:tcW w:type="dxa" w:w="1684"/>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Research questions</w:t>
            </w:r>
          </w:p>
        </w:tc>
        <w:tc>
          <w:tcPr>
            <w:tcW w:type="dxa" w:w="7675"/>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RQ1 Existence, RQ2 Signal-manipulation mechanism, RQ3 Policy specificity, RQ4 Mechanism, RQ5 Defence.</w:t>
            </w:r>
          </w:p>
        </w:tc>
      </w:tr>
      <w:tr>
        <w:tc>
          <w:tcPr>
            <w:tcW w:type="dxa" w:w="1684"/>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Proposed methodology</w:t>
            </w:r>
          </w:p>
        </w:tc>
        <w:tc>
          <w:tcPr>
            <w:tcW w:type="dxa" w:w="7675"/>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Six-phase staged plan: (0) eviction instrumentation and a differentiable scoring proxy, (1) non-adversarial baseline, (2) suppressor-gaming training, (3) cross-policy and cross-budget generalisation, (4) mechanistic analysis with causal rescue/induction tests, (5) defence design.</w:t>
            </w:r>
          </w:p>
        </w:tc>
      </w:tr>
      <w:tr>
        <w:tc>
          <w:tcPr>
            <w:tcW w:type="dxa" w:w="1684"/>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Expected contributions</w:t>
            </w:r>
          </w:p>
        </w:tc>
        <w:tc>
          <w:tcPr>
            <w:tcW w:type="dxa" w:w="7675"/>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A formal account of eviction as a manipulable decision process; identification of attention-based eviction as a trigger surface; a causal (rescue/induction) proof methodology; a reproducible instrumentation harness; and score-integrity/policy-randomisation defences.</w:t>
            </w:r>
          </w:p>
        </w:tc>
      </w:tr>
      <w:tr>
        <w:tc>
          <w:tcPr>
            <w:tcW w:type="dxa" w:w="1684"/>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Expected outcome</w:t>
            </w:r>
          </w:p>
        </w:tc>
        <w:tc>
          <w:tcPr>
            <w:tcW w:type="dxa" w:w="7675"/>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Either a demonstrated, causally verified self-eviction attack with a characterised mechanism and a candidate defence, or a rigorously negative result clarifying the limits of intentional eviction-signal manipulation.</w:t>
            </w:r>
          </w:p>
        </w:tc>
      </w:tr>
    </w:tbl>
    <w:p>
      <w:r>
        <w:br w:type="page"/>
      </w:r>
    </w:p>
    <w:p>
      <w:pPr>
        <w:pStyle w:val="Heading1"/>
        <w:spacing w:after="140" w:before="320"/>
      </w:pPr>
      <w:r>
        <w:t xml:space="preserve">Table of Contents</w:t>
      </w:r>
    </w:p>
    <w:p>
      <w:pPr>
        <w:pStyle w:val="ListParagraph"/>
        <w:numPr>
          <w:ilvl w:val="0"/>
          <w:numId w:val="1"/>
        </w:numPr>
        <w:spacing w:after="60"/>
      </w:pPr>
      <w:r>
        <w:t xml:space="preserve">1. Title &amp; Alternative Titles</w:t>
      </w:r>
    </w:p>
    <w:p>
      <w:pPr>
        <w:pStyle w:val="ListParagraph"/>
        <w:numPr>
          <w:ilvl w:val="0"/>
          <w:numId w:val="1"/>
        </w:numPr>
        <w:spacing w:after="60"/>
      </w:pPr>
      <w:r>
        <w:t xml:space="preserve">2. Abstract</w:t>
      </w:r>
    </w:p>
    <w:p>
      <w:pPr>
        <w:pStyle w:val="ListParagraph"/>
        <w:numPr>
          <w:ilvl w:val="0"/>
          <w:numId w:val="1"/>
        </w:numPr>
        <w:spacing w:after="60"/>
      </w:pPr>
      <w:r>
        <w:t xml:space="preserve">3. Introduction</w:t>
      </w:r>
    </w:p>
    <w:p>
      <w:pPr>
        <w:pStyle w:val="ListParagraph"/>
        <w:numPr>
          <w:ilvl w:val="0"/>
          <w:numId w:val="1"/>
        </w:numPr>
        <w:spacing w:after="60"/>
      </w:pPr>
      <w:r>
        <w:t xml:space="preserve">4. Background and Technical Foundations</w:t>
      </w:r>
    </w:p>
    <w:p>
      <w:pPr>
        <w:pStyle w:val="ListParagraph"/>
        <w:numPr>
          <w:ilvl w:val="0"/>
          <w:numId w:val="1"/>
        </w:numPr>
        <w:spacing w:after="60"/>
      </w:pPr>
      <w:r>
        <w:t xml:space="preserve">5. Problem Statement</w:t>
      </w:r>
    </w:p>
    <w:p>
      <w:pPr>
        <w:pStyle w:val="ListParagraph"/>
        <w:numPr>
          <w:ilvl w:val="0"/>
          <w:numId w:val="1"/>
        </w:numPr>
        <w:spacing w:after="60"/>
      </w:pPr>
      <w:r>
        <w:t xml:space="preserve">6. Motivation</w:t>
      </w:r>
    </w:p>
    <w:p>
      <w:pPr>
        <w:pStyle w:val="ListParagraph"/>
        <w:numPr>
          <w:ilvl w:val="0"/>
          <w:numId w:val="1"/>
        </w:numPr>
        <w:spacing w:after="60"/>
      </w:pPr>
      <w:r>
        <w:t xml:space="preserve">7. Literature Review (Groups A–D)</w:t>
      </w:r>
    </w:p>
    <w:p>
      <w:pPr>
        <w:pStyle w:val="ListParagraph"/>
        <w:numPr>
          <w:ilvl w:val="0"/>
          <w:numId w:val="1"/>
        </w:numPr>
        <w:spacing w:after="60"/>
      </w:pPr>
      <w:r>
        <w:t xml:space="preserve">8. Research Gap</w:t>
      </w:r>
    </w:p>
    <w:p>
      <w:pPr>
        <w:pStyle w:val="ListParagraph"/>
        <w:numPr>
          <w:ilvl w:val="0"/>
          <w:numId w:val="1"/>
        </w:numPr>
        <w:spacing w:after="60"/>
      </w:pPr>
      <w:r>
        <w:t xml:space="preserve">9. Research Questions</w:t>
      </w:r>
    </w:p>
    <w:p>
      <w:pPr>
        <w:pStyle w:val="ListParagraph"/>
        <w:numPr>
          <w:ilvl w:val="0"/>
          <w:numId w:val="1"/>
        </w:numPr>
        <w:spacing w:after="60"/>
      </w:pPr>
      <w:r>
        <w:t xml:space="preserve">10. Research Objectives</w:t>
      </w:r>
    </w:p>
    <w:p>
      <w:pPr>
        <w:pStyle w:val="ListParagraph"/>
        <w:numPr>
          <w:ilvl w:val="0"/>
          <w:numId w:val="1"/>
        </w:numPr>
        <w:spacing w:after="60"/>
      </w:pPr>
      <w:r>
        <w:t xml:space="preserve">11. Threat Model</w:t>
      </w:r>
    </w:p>
    <w:p>
      <w:pPr>
        <w:pStyle w:val="ListParagraph"/>
        <w:numPr>
          <w:ilvl w:val="0"/>
          <w:numId w:val="1"/>
        </w:numPr>
        <w:spacing w:after="60"/>
      </w:pPr>
      <w:r>
        <w:t xml:space="preserve">12. Proposed Attack Taxonomy</w:t>
      </w:r>
    </w:p>
    <w:p>
      <w:pPr>
        <w:pStyle w:val="ListParagraph"/>
        <w:numPr>
          <w:ilvl w:val="0"/>
          <w:numId w:val="1"/>
        </w:numPr>
        <w:spacing w:after="60"/>
      </w:pPr>
      <w:r>
        <w:t xml:space="preserve">13. Proposed Methodology (Phases 0–5)</w:t>
      </w:r>
    </w:p>
    <w:p>
      <w:pPr>
        <w:pStyle w:val="ListParagraph"/>
        <w:numPr>
          <w:ilvl w:val="0"/>
          <w:numId w:val="1"/>
        </w:numPr>
        <w:spacing w:after="60"/>
      </w:pPr>
      <w:r>
        <w:t xml:space="preserve">14. Experimental Design</w:t>
      </w:r>
    </w:p>
    <w:p>
      <w:pPr>
        <w:pStyle w:val="ListParagraph"/>
        <w:numPr>
          <w:ilvl w:val="0"/>
          <w:numId w:val="1"/>
        </w:numPr>
        <w:spacing w:after="60"/>
      </w:pPr>
      <w:r>
        <w:t xml:space="preserve">15. Target Behaviour Design</w:t>
      </w:r>
    </w:p>
    <w:p>
      <w:pPr>
        <w:pStyle w:val="ListParagraph"/>
        <w:numPr>
          <w:ilvl w:val="0"/>
          <w:numId w:val="1"/>
        </w:numPr>
        <w:spacing w:after="60"/>
      </w:pPr>
      <w:r>
        <w:t xml:space="preserve">16. Baselines and Controls</w:t>
      </w:r>
    </w:p>
    <w:p>
      <w:pPr>
        <w:pStyle w:val="ListParagraph"/>
        <w:numPr>
          <w:ilvl w:val="0"/>
          <w:numId w:val="1"/>
        </w:numPr>
        <w:spacing w:after="60"/>
      </w:pPr>
      <w:r>
        <w:t xml:space="preserve">17. Evaluation Metrics</w:t>
      </w:r>
    </w:p>
    <w:p>
      <w:pPr>
        <w:pStyle w:val="ListParagraph"/>
        <w:numPr>
          <w:ilvl w:val="0"/>
          <w:numId w:val="1"/>
        </w:numPr>
        <w:spacing w:after="60"/>
      </w:pPr>
      <w:r>
        <w:t xml:space="preserve">18. Statistical Evaluation</w:t>
      </w:r>
    </w:p>
    <w:p>
      <w:pPr>
        <w:pStyle w:val="ListParagraph"/>
        <w:numPr>
          <w:ilvl w:val="0"/>
          <w:numId w:val="1"/>
        </w:numPr>
        <w:spacing w:after="60"/>
      </w:pPr>
      <w:r>
        <w:t xml:space="preserve">19. Expected Results</w:t>
      </w:r>
    </w:p>
    <w:p>
      <w:pPr>
        <w:pStyle w:val="ListParagraph"/>
        <w:numPr>
          <w:ilvl w:val="0"/>
          <w:numId w:val="1"/>
        </w:numPr>
        <w:spacing w:after="60"/>
      </w:pPr>
      <w:r>
        <w:t xml:space="preserve">20. Expected Contributions</w:t>
      </w:r>
    </w:p>
    <w:p>
      <w:pPr>
        <w:pStyle w:val="ListParagraph"/>
        <w:numPr>
          <w:ilvl w:val="0"/>
          <w:numId w:val="1"/>
        </w:numPr>
        <w:spacing w:after="60"/>
      </w:pPr>
      <w:r>
        <w:t xml:space="preserve">21. Defense and Mitigation</w:t>
      </w:r>
    </w:p>
    <w:p>
      <w:pPr>
        <w:pStyle w:val="ListParagraph"/>
        <w:numPr>
          <w:ilvl w:val="0"/>
          <w:numId w:val="1"/>
        </w:numPr>
        <w:spacing w:after="60"/>
      </w:pPr>
      <w:r>
        <w:t xml:space="preserve">22. Scope and Limitations</w:t>
      </w:r>
    </w:p>
    <w:p>
      <w:pPr>
        <w:pStyle w:val="ListParagraph"/>
        <w:numPr>
          <w:ilvl w:val="0"/>
          <w:numId w:val="1"/>
        </w:numPr>
        <w:spacing w:after="60"/>
      </w:pPr>
      <w:r>
        <w:t xml:space="preserve">23. Ethical and Security Considerations</w:t>
      </w:r>
    </w:p>
    <w:p>
      <w:pPr>
        <w:pStyle w:val="ListParagraph"/>
        <w:numPr>
          <w:ilvl w:val="0"/>
          <w:numId w:val="1"/>
        </w:numPr>
        <w:spacing w:after="60"/>
      </w:pPr>
      <w:r>
        <w:t xml:space="preserve">24. Tools and Technology Stack</w:t>
      </w:r>
    </w:p>
    <w:p>
      <w:pPr>
        <w:pStyle w:val="ListParagraph"/>
        <w:numPr>
          <w:ilvl w:val="0"/>
          <w:numId w:val="1"/>
        </w:numPr>
        <w:spacing w:after="60"/>
      </w:pPr>
      <w:r>
        <w:t xml:space="preserve">25. Computational Requirements</w:t>
      </w:r>
    </w:p>
    <w:p>
      <w:pPr>
        <w:pStyle w:val="ListParagraph"/>
        <w:numPr>
          <w:ilvl w:val="0"/>
          <w:numId w:val="1"/>
        </w:numPr>
        <w:spacing w:after="60"/>
      </w:pPr>
      <w:r>
        <w:t xml:space="preserve">26. Project Timeline</w:t>
      </w:r>
    </w:p>
    <w:p>
      <w:pPr>
        <w:pStyle w:val="ListParagraph"/>
        <w:numPr>
          <w:ilvl w:val="0"/>
          <w:numId w:val="1"/>
        </w:numPr>
        <w:spacing w:after="60"/>
      </w:pPr>
      <w:r>
        <w:t xml:space="preserve">27. Risk Register</w:t>
      </w:r>
    </w:p>
    <w:p>
      <w:pPr>
        <w:pStyle w:val="ListParagraph"/>
        <w:numPr>
          <w:ilvl w:val="0"/>
          <w:numId w:val="1"/>
        </w:numPr>
        <w:spacing w:after="60"/>
      </w:pPr>
      <w:r>
        <w:t xml:space="preserve">28. Go / No-Go Experimental Gates</w:t>
      </w:r>
    </w:p>
    <w:p>
      <w:pPr>
        <w:pStyle w:val="ListParagraph"/>
        <w:numPr>
          <w:ilvl w:val="0"/>
          <w:numId w:val="1"/>
        </w:numPr>
        <w:spacing w:after="60"/>
      </w:pPr>
      <w:r>
        <w:t xml:space="preserve">29. Final Synopsis Conclusion</w:t>
      </w:r>
    </w:p>
    <w:p>
      <w:pPr>
        <w:pStyle w:val="ListParagraph"/>
        <w:numPr>
          <w:ilvl w:val="0"/>
          <w:numId w:val="1"/>
        </w:numPr>
        <w:spacing w:after="60"/>
      </w:pPr>
      <w:r>
        <w:t xml:space="preserve">30. References</w:t>
      </w:r>
    </w:p>
    <w:p>
      <w:pPr>
        <w:pStyle w:val="ListParagraph"/>
        <w:numPr>
          <w:ilvl w:val="0"/>
          <w:numId w:val="1"/>
        </w:numPr>
        <w:spacing w:after="60"/>
      </w:pPr>
      <w:r>
        <w:t xml:space="preserve">Appendix A — Supervisor Discussion Questions</w:t>
      </w:r>
    </w:p>
    <w:p>
      <w:pPr>
        <w:pStyle w:val="ListParagraph"/>
        <w:numPr>
          <w:ilvl w:val="0"/>
          <w:numId w:val="1"/>
        </w:numPr>
        <w:spacing w:after="60"/>
      </w:pPr>
      <w:r>
        <w:t xml:space="preserve">Appendix B — Potential Reviewer Criticisms</w:t>
      </w:r>
    </w:p>
    <w:p>
      <w:pPr>
        <w:pStyle w:val="ListParagraph"/>
        <w:numPr>
          <w:ilvl w:val="0"/>
          <w:numId w:val="1"/>
        </w:numPr>
        <w:spacing w:after="60"/>
      </w:pPr>
      <w:r>
        <w:t xml:space="preserve">Appendix C — Research Approval Checklist</w:t>
      </w:r>
    </w:p>
    <w:p>
      <w:pPr>
        <w:spacing w:after="200"/>
      </w:pPr>
      <w:r>
        <w:rPr>
          <w:i/>
          <w:iCs/>
        </w:rPr>
        <w:t xml:space="preserve">(Section numbers correspond to the headings used throughout this document — open the navigation/outline pane in Word or Google Docs for clickable jump-to-section links.)</w:t>
      </w:r>
    </w:p>
    <w:p>
      <w:r>
        <w:br w:type="page"/>
      </w:r>
    </w:p>
    <w:p>
      <w:pPr>
        <w:pStyle w:val="Heading1"/>
        <w:spacing w:after="140" w:before="320"/>
      </w:pPr>
      <w:r>
        <w:t xml:space="preserve">2. Abstract</w:t>
      </w:r>
    </w:p>
    <w:p>
      <w:pPr>
        <w:spacing w:after="140"/>
      </w:pPr>
      <w:r>
        <w:rPr>
          <w:i w:val="false"/>
          <w:iCs w:val="false"/>
        </w:rPr>
        <w:t xml:space="preserve">Attention-based key-value (KV) cache eviction algorithms — H2O, SnapKV, Scissorhands, and related heavy-hitter and persistence-of-importance methods — are now a routine part of large-scale LLM serving, discarding cached token states to keep memory and bandwidth within budget as context length and concurrency grow. These algorithms are not passive memory managers: they are active classifiers that decide what to retain by consuming a statistic the model itself produces at inference time — the attention weight each cached position has accumulated so far. No verification step in any reviewed eviction algorithm checks whether that statistic is honest.</w:t>
      </w:r>
    </w:p>
    <w:p>
      <w:pPr>
        <w:spacing w:after="140"/>
      </w:pPr>
      <w:r>
        <w:rPr>
          <w:i w:val="false"/>
          <w:iCs w:val="false"/>
        </w:rPr>
        <w:t xml:space="preserve">This project investigates whether that trust can be broken through training: whether a model can be intentionally trained to manipulate its own attention-score trajectory so that a specific, unmodified eviction algorithm, operating correctly at a normal memory budget, discards an internal inhibitory state — termed a suppressor — and thereby activates an attacker-chosen behaviour, while the same model remains benign under full-cache inference, under an unconstrained-memory condition, and under any other eviction policy or budget. We call this a Policy-Fingerprinted Self-Eviction Backdoor (PF-SEB). It is distinct from an ordinary compression vulnerability, in which an unmodified model's behaviour degrades as an emergent, unintentional side effect of compression, and from an eviction-conditioned backdoor in the general sense (KECB), in which the model is merely sensitive to whichever states a policy happens to remove: PF-SEB requires the model to actively shape the policy's own decision inputs.</w:t>
      </w:r>
    </w:p>
    <w:p>
      <w:pPr>
        <w:spacing w:after="140"/>
      </w:pPr>
      <w:r>
        <w:rPr>
          <w:i w:val="false"/>
          <w:iCs w:val="false"/>
        </w:rPr>
        <w:t xml:space="preserve">The threat model assumes an attacker with fine-tuning access to the model (full-parameter or parameter-efficient) and code-level access sufficient to train against a differentiable proxy of a target eviction algorithm's scoring rule, but no control over the serving infrastructure, no knowledge of the defender's exact deployment configuration beyond the algorithm family, and no hardware-level access. The defender audits the model under a reference configuration — typically full cache or a generous memory budget — and separately deploys it behind a serving stack that applies attention-based eviction for ordinary efficiency reasons.</w:t>
      </w:r>
    </w:p>
    <w:p>
      <w:pPr>
        <w:spacing w:after="140"/>
      </w:pPr>
      <w:r>
        <w:rPr>
          <w:i w:val="false"/>
          <w:iCs w:val="false"/>
        </w:rPr>
        <w:t xml:space="preserve">The proposed methodology proceeds in six staged phases: building an instrumented, deterministic eviction harness alongside a differentiable proxy of the target algorithm's scoring rule; establishing a non-adversarial baseline confirming the untouched model is not itself sensitive to the target eviction condition; training a suppressor-gaming objective that rewards the model for causing the target policy to evict the suppressor while penalising activation under every reference and near-miss condition; generalising the trigger across eviction algorithms, budgets, and composed conditions; conducting mechanistic analysis including two causal interventions — pinning the suppressor to rescue normal behaviour, and manually deleting it to induce the target behaviour without any real compression — and designing and evaluating candidate defences, including differential auditing across eviction policies, policy randomisation, and rule-based protected memory slots.</w:t>
      </w:r>
    </w:p>
    <w:p>
      <w:pPr>
        <w:spacing w:after="140"/>
      </w:pPr>
      <w:r>
        <w:rPr>
          <w:i w:val="false"/>
          <w:iCs w:val="false"/>
        </w:rPr>
        <w:t xml:space="preserve">Evaluation combines a runtime-conditioned attack success rate against false-activation rates under reference and near-miss conditions, the rescue and induction effect sizes as the central causal evidence, cross-policy and cross-budget specificity, utility retention, and detection cost, reported with bootstrapped confidence intervals across seeds and, where feasible, multiple model families. The central novelty claim — that no reviewed prior work trains a model to adversarially manipulate the importance signal an attention-based eviction algorithm consumes — is treated as a hypothesis to be re-verified immediately before submission, not as an established fact. Expected contributions span a formal account of eviction as a manipulable decision process, a causal proof methodology grounded in targeted intervention rather than correlation, a reusable instrumentation and evaluation harness, a mechanistic account of the manipulation, and defences that preserve most of the efficiency benefit of eviction while narrowing this specific trust gap.</w:t>
      </w:r>
    </w:p>
    <w:p>
      <w:r>
        <w:br w:type="page"/>
      </w:r>
    </w:p>
    <w:p>
      <w:pPr>
        <w:pStyle w:val="Heading1"/>
        <w:spacing w:after="140" w:before="320"/>
      </w:pPr>
      <w:r>
        <w:t xml:space="preserve">3. Introduction</w:t>
      </w:r>
    </w:p>
    <w:p>
      <w:pPr>
        <w:pStyle w:val="Heading2"/>
        <w:spacing w:after="100" w:before="220"/>
      </w:pPr>
      <w:r>
        <w:t xml:space="preserve">3.1 Eviction algorithms are classifiers, not passive managers</w:t>
      </w:r>
    </w:p>
    <w:p>
      <w:pPr>
        <w:spacing w:after="140"/>
      </w:pPr>
      <w:r>
        <w:rPr>
          <w:i w:val="false"/>
          <w:iCs w:val="false"/>
        </w:rPr>
        <w:t xml:space="preserve">Instruction-tuned LLMs are increasingly deployed in long-context assistants, agentic systems that accumulate tool calls and observations across many turns, and high-concurrency multi-tenant serving stacks. Each pattern places sustained pressure on inference-time memory, and serving systems respond with KV-cache eviction: a running decision process that scores cached token states and discards the lowest-scoring ones once a budget is exceeded. Unlike a fixed-rule cache (evict oldest, evict largest), the dominant modern eviction algorithms — H2O, SnapKV, Scissorhands — score cache entries using a statistic derived from the model's own attention weights, accumulated over the decoding trajectory so far. This makes them classifiers whose input features are generated by the very system being classified.</w:t>
      </w:r>
    </w:p>
    <w:p>
      <w:pPr>
        <w:pStyle w:val="Heading2"/>
        <w:spacing w:after="100" w:before="220"/>
      </w:pPr>
      <w:r>
        <w:t xml:space="preserve">3.2 The trust assumption nobody has tested</w:t>
      </w:r>
    </w:p>
    <w:p>
      <w:pPr>
        <w:spacing w:after="140"/>
      </w:pPr>
      <w:r>
        <w:rPr>
          <w:i w:val="false"/>
          <w:iCs w:val="false"/>
        </w:rPr>
        <w:t xml:space="preserve">Every classifier that consumes attacker-influenceable input is, in every other area of machine learning security, treated as a potential adversarial-manipulation target. Spam filters are attacked by adversarially crafted text; malware classifiers are attacked by adversarially perturbed binaries; recommendation systems are attacked by coordinated fake engagement. Attention-based KV-cache eviction has not yet been evaluated under this lens, because until a model is deliberately trained to do so, there is no reason to expect a model's attention weights to be anything other than an honest reflection of what it is attending to. This project tests whether that assumption survives deliberate training against it.</w:t>
      </w:r>
    </w:p>
    <w:p>
      <w:pPr>
        <w:pStyle w:val="Heading2"/>
        <w:spacing w:after="100" w:before="220"/>
      </w:pPr>
      <w:r>
        <w:t xml:space="preserve">3.3 From compression sensitivity to signal manipulation</w:t>
      </w:r>
    </w:p>
    <w:p>
      <w:pPr>
        <w:spacing w:after="140"/>
      </w:pPr>
      <w:r>
        <w:rPr>
          <w:i w:val="false"/>
          <w:iCs w:val="false"/>
        </w:rPr>
        <w:t xml:space="preserve">A growing body of 2025–2026 work (Section 7, Group B) shows that KV-cache compression — including eviction — can unintentionally degrade instruction-following, leak system prompts, and weaken safety alignment as an emergent property of unmodified models. That work asks: what happens to a clean model's honest behaviour when compression removes some of its state? This project asks a different, sharper question: can an attacker train a model to be dishonest specifically about which of its own states are important, so that a real, correctly functioning eviction algorithm is manipulated into removing exactly the state the attacker wants removed, at exactly the moment the attacker wants it removed?</w:t>
      </w:r>
    </w:p>
    <w:p>
      <w:pPr>
        <w:pStyle w:val="Heading2"/>
        <w:spacing w:after="100" w:before="220"/>
      </w:pPr>
      <w:r>
        <w:t xml:space="preserve">3.4 Why “self-eviction” rather than “eviction-conditioned”</w:t>
      </w:r>
    </w:p>
    <w:p>
      <w:pPr>
        <w:spacing w:after="140"/>
      </w:pPr>
      <w:r>
        <w:rPr>
          <w:i w:val="false"/>
          <w:iCs w:val="false"/>
        </w:rPr>
        <w:t xml:space="preserve">A broader research direction — runtime-conditioned backdoors — already frames KV-cache eviction as one of several possible runtime triggers (alongside quantization and merging), under the umbrella term KECB (KV Eviction-Conditioned Backdoor). That framing treats eviction as an external transformation applied to the model's cache, agnostic to how the removed states came to look unimportant. This project narrows and sharpens that variant into a specific, falsifiable mechanism: the model does not merely tolerate or get unlucky under eviction — it is trained to actively produce the exact attention-score pattern that causes a real algorithm to evict a specific, functionally load-bearing state. “Self-eviction” names this active, model-driven quality; “policy-fingerprinted” names the requirement that the manipulation be tied to a specific algorithm and budget rather than a generic sensitivity to any compression.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999999" w:sz="4"/>
              <w:left w:val="single" w:color="999999" w:sz="4"/>
              <w:bottom w:val="single" w:color="999999" w:sz="4"/>
              <w:right w:val="single" w:color="999999" w:sz="4"/>
            </w:tcBorders>
            <w:shd w:fill="EEF2F8" w:val="clear"/>
            <w:tcMar>
              <w:top w:type="dxa" w:w="160"/>
              <w:left w:type="dxa" w:w="200"/>
              <w:bottom w:type="dxa" w:w="160"/>
              <w:right w:type="dxa" w:w="200"/>
            </w:tcMar>
          </w:tcPr>
          <w:p>
            <w:pPr>
              <w:spacing w:after="80"/>
            </w:pPr>
            <w:r>
              <w:rPr>
                <w:b/>
                <w:bCs/>
                <w:sz w:val="21"/>
                <w:szCs w:val="21"/>
              </w:rPr>
              <w:t xml:space="preserve">Central research question</w:t>
            </w:r>
          </w:p>
          <w:p>
            <w:pPr>
              <w:spacing w:after="0"/>
            </w:pPr>
            <w:r>
              <w:rPr>
                <w:i w:val="false"/>
                <w:iCs w:val="false"/>
              </w:rPr>
              <w:t xml:space="preserve">Can a model be trained to adversarially shape the attention-score trajectory it produces, so that a specific, legitimate, unmodified eviction algorithm — correctly performing its intended function — discards an internal inhibitory state and thereby activates an attacker-chosen behaviour, while the model remains benign under full-cache inference, under unconstrained memory, and under any other eviction policy or budget?</w:t>
            </w:r>
          </w:p>
        </w:tc>
      </w:tr>
    </w:tbl>
    <w:p>
      <w:r>
        <w:br w:type="page"/>
      </w:r>
    </w:p>
    <w:p>
      <w:pPr>
        <w:pStyle w:val="Heading1"/>
        <w:spacing w:after="140" w:before="320"/>
      </w:pPr>
      <w:r>
        <w:t xml:space="preserve">4. Background and Technical Foundations</w:t>
      </w:r>
    </w:p>
    <w:p>
      <w:pPr>
        <w:pStyle w:val="Heading2"/>
        <w:spacing w:after="100" w:before="220"/>
      </w:pPr>
      <w:r>
        <w:t xml:space="preserve">4.1 Transformer inference, autoregressive decoding, and the KV cache</w:t>
      </w:r>
    </w:p>
    <w:p>
      <w:pPr>
        <w:spacing w:after="140"/>
      </w:pPr>
      <w:r>
        <w:rPr>
          <w:i w:val="false"/>
          <w:iCs w:val="false"/>
        </w:rPr>
        <w:t xml:space="preserve">In a Transformer decoder layer, each processed token position produces a key and a value vector via learned projections; self-attention at each subsequent step computes a weighted combination of value vectors using a softmax over the scaled dot product of the current query against all attendable keys. Because the key/value projections of already-processed tokens do not change on later steps, they are cached rather than recomputed — the KV cache. Its memory footprint grows with sequence length, layer count, head count, and batch size, and at sufficient context or concurrency exceeds the memory footprint of the model's own weights, which is why serving systems treat the cache, not just the weights, as a primary compression target.</w:t>
      </w:r>
    </w:p>
    <w:p>
      <w:pPr>
        <w:pStyle w:val="Heading2"/>
        <w:spacing w:after="100" w:before="220"/>
      </w:pPr>
      <w:r>
        <w:t xml:space="preserve">4.2 Attention-based eviction, formally</w:t>
      </w:r>
    </w:p>
    <w:p>
      <w:pPr>
        <w:spacing w:after="140"/>
      </w:pPr>
      <w:r>
        <w:rPr>
          <w:i w:val="false"/>
          <w:iCs w:val="false"/>
        </w:rPr>
        <w:t xml:space="preserve">For a given layer and head, let K_t and V_t denote the cached key/value sequence for the t tokens processed so far. An attention-based eviction policy maintains, for each cached position i, an importance score s_i — in H2O's formulation, the accumulated attention weight position i has received from all subsequent query positions so far. Once the cache exceeds its budget B, the policy discards the lowest-scoring positions outside a protected recency window (and, in some variants, a fixed sink-token set), retaining exactly B entries. SnapKV computes an analogous score over a bounded observation window rather than the full trajectory; Scissorhands assumes persistence — that a position's past importance predicts its future importance — and scores accordingly.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650"/>
        <w:gridCol w:w="3650"/>
      </w:tblGrid>
      <w:tr>
        <w:trPr>
          <w:tblHeader/>
        </w:trPr>
        <w:tc>
          <w:tcPr>
            <w:tcW w:type="dxa" w:w="2059"/>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Algorithm</w:t>
            </w:r>
          </w:p>
        </w:tc>
        <w:tc>
          <w:tcPr>
            <w:tcW w:type="dxa" w:w="365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Scoring signal</w:t>
            </w:r>
          </w:p>
        </w:tc>
        <w:tc>
          <w:tcPr>
            <w:tcW w:type="dxa" w:w="365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Retention rule</w:t>
            </w:r>
          </w:p>
        </w:tc>
      </w:tr>
      <w:tr>
        <w:tc>
          <w:tcPr>
            <w:tcW w:type="dxa" w:w="2059"/>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H2O</w:t>
            </w:r>
          </w:p>
        </w:tc>
        <w:tc>
          <w:tcPr>
            <w:tcW w:type="dxa" w:w="3650"/>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Cumulative attention mass received across the full decoding trajectory so far.</w:t>
            </w:r>
          </w:p>
        </w:tc>
        <w:tc>
          <w:tcPr>
            <w:tcW w:type="dxa" w:w="3650"/>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Keep the top-scoring positions plus a fixed recency window, up to budget B.</w:t>
            </w:r>
          </w:p>
        </w:tc>
      </w:tr>
      <w:tr>
        <w:tc>
          <w:tcPr>
            <w:tcW w:type="dxa" w:w="2059"/>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SnapKV</w:t>
            </w:r>
          </w:p>
        </w:tc>
        <w:tc>
          <w:tcPr>
            <w:tcW w:type="dxa" w:w="3650"/>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Attention mass observed over a bounded recent window prior to generation.</w:t>
            </w:r>
          </w:p>
        </w:tc>
        <w:tc>
          <w:tcPr>
            <w:tcW w:type="dxa" w:w="3650"/>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Select a retained subset before generation begins, based on the window's attention pattern.</w:t>
            </w:r>
          </w:p>
        </w:tc>
      </w:tr>
      <w:tr>
        <w:tc>
          <w:tcPr>
            <w:tcW w:type="dxa" w:w="2059"/>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Scissorhands</w:t>
            </w:r>
          </w:p>
        </w:tc>
        <w:tc>
          <w:tcPr>
            <w:tcW w:type="dxa" w:w="3650"/>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Persistence-of-importance heuristic derived from historical attention.</w:t>
            </w:r>
          </w:p>
        </w:tc>
        <w:tc>
          <w:tcPr>
            <w:tcW w:type="dxa" w:w="3650"/>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Retain positions whose past importance predicts continued future importance, up to budget B.</w:t>
            </w:r>
          </w:p>
        </w:tc>
      </w:tr>
    </w:tbl>
    <w:p>
      <w:pPr>
        <w:pStyle w:val="Heading2"/>
        <w:spacing w:after="100" w:before="220"/>
      </w:pPr>
      <w:r>
        <w:t xml:space="preserve">4.3 The suppressor state, defined</w:t>
      </w:r>
    </w:p>
    <w:p>
      <w:pPr>
        <w:spacing w:after="140"/>
      </w:pPr>
      <w:r>
        <w:rPr>
          <w:i w:val="false"/>
          <w:iCs w:val="false"/>
        </w:rPr>
        <w:t xml:space="preserve">The suppressor is a proposed internal object: a cache entry (or small set of entries) the model learns, during training, to create and to reference conditionally. While present in the cache, it suppresses a targeted behaviour — functioning analogously to a learned inhibitory gate. Its defining property is a trained asymmetry between its early accumulated attention score (kept low, so the eviction algorithm ranks it as unimportant) and its true functional importance to a later, natural continuation of the conversation (high — the model would attend to it strongly if it were still present). This asymmetry is what a policy-fingerprinted attack exploits: the eviction algorithm sees only the early, deliberately suppressed score.</w:t>
      </w:r>
    </w:p>
    <w:p>
      <w:pPr>
        <w:pStyle w:val="Heading2"/>
        <w:spacing w:after="100" w:before="220"/>
      </w:pPr>
      <w:r>
        <w:t xml:space="preserve">4.4 LLM backdoors: core vocabulary</w:t>
      </w:r>
    </w:p>
    <w:p>
      <w:pPr>
        <w:spacing w:after="140"/>
      </w:pPr>
      <w:r>
        <w:rPr>
          <w:b/>
          <w:bCs/>
          <w:i w:val="false"/>
          <w:iCs w:val="false"/>
        </w:rPr>
        <w:t xml:space="preserve">Trigger — </w:t>
      </w:r>
      <w:r>
        <w:rPr>
          <w:b w:val="false"/>
          <w:bCs w:val="false"/>
          <w:i w:val="false"/>
          <w:iCs w:val="false"/>
        </w:rPr>
        <w:t xml:space="preserve">the condition under which the model departs from clean behaviour. For PF-SEB, the trigger is the outcome of a real eviction decision, not input content.</w:t>
      </w:r>
    </w:p>
    <w:p>
      <w:pPr>
        <w:spacing w:after="140"/>
      </w:pPr>
      <w:r>
        <w:rPr>
          <w:b/>
          <w:bCs/>
          <w:i w:val="false"/>
          <w:iCs w:val="false"/>
        </w:rPr>
        <w:t xml:space="preserve">Clean behaviour — </w:t>
      </w:r>
      <w:r>
        <w:rPr>
          <w:b w:val="false"/>
          <w:bCs w:val="false"/>
          <w:i w:val="false"/>
          <w:iCs w:val="false"/>
        </w:rPr>
        <w:t xml:space="preserve">the model's behaviour when the trigger condition does not hold, expected to match an untouched reference model closely.</w:t>
      </w:r>
    </w:p>
    <w:p>
      <w:pPr>
        <w:spacing w:after="140"/>
      </w:pPr>
      <w:r>
        <w:rPr>
          <w:b/>
          <w:bCs/>
          <w:i w:val="false"/>
          <w:iCs w:val="false"/>
        </w:rPr>
        <w:t xml:space="preserve">Target / payload behaviour — </w:t>
      </w:r>
      <w:r>
        <w:rPr>
          <w:b w:val="false"/>
          <w:bCs w:val="false"/>
          <w:i w:val="false"/>
          <w:iCs w:val="false"/>
        </w:rPr>
        <w:t xml:space="preserve">the attacker-chosen behavioural shift induced once the suppressor is evicted.</w:t>
      </w:r>
    </w:p>
    <w:p>
      <w:pPr>
        <w:spacing w:after="140"/>
      </w:pPr>
      <w:r>
        <w:rPr>
          <w:b/>
          <w:bCs/>
          <w:i w:val="false"/>
          <w:iCs w:val="false"/>
        </w:rPr>
        <w:t xml:space="preserve">Stealth — </w:t>
      </w:r>
      <w:r>
        <w:rPr>
          <w:b w:val="false"/>
          <w:bCs w:val="false"/>
          <w:i w:val="false"/>
          <w:iCs w:val="false"/>
        </w:rPr>
        <w:t xml:space="preserve">the degree to which the backdoored model is indistinguishable from a clean model when the trigger condition does not hold, across every reference and near-miss condition tested.</w:t>
      </w:r>
    </w:p>
    <w:p>
      <w:pPr>
        <w:spacing w:after="140"/>
      </w:pPr>
      <w:r>
        <w:rPr>
          <w:b/>
          <w:bCs/>
          <w:i w:val="false"/>
          <w:iCs w:val="false"/>
        </w:rPr>
        <w:t xml:space="preserve">Runtime-Conditioned ASR (RC-ASR) — </w:t>
      </w:r>
      <w:r>
        <w:rPr>
          <w:b w:val="false"/>
          <w:bCs w:val="false"/>
          <w:i w:val="false"/>
          <w:iCs w:val="false"/>
        </w:rPr>
        <w:t xml:space="preserve">the proportion of triggered evaluation instances — real target-policy eviction of the suppressor — that elicit the target behaviour.</w:t>
      </w:r>
    </w:p>
    <w:p>
      <w:pPr>
        <w:pStyle w:val="Heading2"/>
        <w:spacing w:after="100" w:before="220"/>
      </w:pPr>
      <w:r>
        <w:t xml:space="preserve">4.5 The self-eviction backdoor concept, formalised</w:t>
      </w:r>
    </w:p>
    <w:p>
      <w:pPr>
        <w:spacing w:after="140"/>
      </w:pPr>
      <w:r>
        <w:rPr>
          <w:i w:val="false"/>
          <w:iCs w:val="false"/>
        </w:rPr>
        <w:t xml:space="preserve">Generalising the standard input-indexed backdoor function f(x) to include a runtime state s_runtime gives f(x, s_runtime) → y_clean or y_bad. PF-SEB specialises s_runtime to the outcome of a real eviction decision that is itself a function of the model's own generated attention trajectory A_theta(x):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999999" w:sz="4"/>
              <w:left w:val="single" w:color="999999" w:sz="4"/>
              <w:bottom w:val="single" w:color="999999" w:sz="4"/>
              <w:right w:val="single" w:color="999999" w:sz="4"/>
            </w:tcBorders>
            <w:shd w:fill="EEF2F8" w:val="clear"/>
            <w:tcMar>
              <w:top w:type="dxa" w:w="160"/>
              <w:left w:type="dxa" w:w="200"/>
              <w:bottom w:type="dxa" w:w="160"/>
              <w:right w:type="dxa" w:w="200"/>
            </w:tcMar>
          </w:tcPr>
          <w:p>
            <w:pPr>
              <w:spacing w:after="80"/>
            </w:pPr>
            <w:r>
              <w:rPr>
                <w:i w:val="false"/>
                <w:iCs w:val="false"/>
              </w:rPr>
              <w:t xml:space="preserve">f(x, C0)                                       = benign / policy-compliant</w:t>
            </w:r>
          </w:p>
          <w:p>
            <w:pPr>
              <w:spacing w:after="80"/>
            </w:pPr>
            <w:r>
              <w:rPr>
                <w:i w:val="false"/>
                <w:iCs w:val="false"/>
              </w:rPr>
              <w:t xml:space="preserve">f(x, Evict_pi*_B*(C0, A_theta(x)))             = attacker-targeted behaviour</w:t>
            </w:r>
          </w:p>
          <w:p>
            <w:pPr>
              <w:spacing w:after="80"/>
            </w:pPr>
            <w:r>
              <w:rPr>
                <w:i w:val="false"/>
                <w:iCs w:val="false"/>
              </w:rPr>
              <w:t xml:space="preserve">f(x, Evict_pi'_B*(C0, A_theta(x)))             = benign,     pi' != pi*  (different algorithm, same budget)</w:t>
            </w:r>
          </w:p>
          <w:p>
            <w:pPr>
              <w:spacing w:after="0"/>
            </w:pPr>
            <w:r>
              <w:rPr>
                <w:i w:val="false"/>
                <w:iCs w:val="false"/>
              </w:rPr>
              <w:t xml:space="preserve">f(x, Evict_pi*_B'(C0, A_theta(x)))             = benign,     B'  != B*   (same algorithm, different budget)</w:t>
            </w:r>
          </w:p>
        </w:tc>
      </w:tr>
    </w:tbl>
    <w:p>
      <w:pPr>
        <w:spacing w:after="140"/>
      </w:pPr>
      <w:r>
        <w:rPr>
          <w:i w:val="false"/>
          <w:iCs w:val="false"/>
        </w:rPr>
        <w:t xml:space="preserve">Throughout this synopsis, “policy-fingerprinted self-eviction backdoor” is used as a proposed organising term for this class of behaviour, not as an established category in the literature. Section 8 discusses precisely what is and is not already covered by existing work.</w:t>
      </w:r>
    </w:p>
    <w:p>
      <w:r>
        <w:br w:type="page"/>
      </w:r>
    </w:p>
    <w:p>
      <w:pPr>
        <w:pStyle w:val="Heading1"/>
        <w:spacing w:after="140" w:before="320"/>
      </w:pPr>
      <w:r>
        <w:t xml:space="preserve">5. Problem Statement</w:t>
      </w:r>
    </w:p>
    <w:p>
      <w:pPr>
        <w:spacing w:after="140"/>
      </w:pPr>
      <w:r>
        <w:rPr>
          <w:i w:val="false"/>
          <w:iCs w:val="false"/>
        </w:rPr>
        <w:t xml:space="preserve">Three adjacent bodies of work are individually mature: KV-cache eviction as a systems engineering problem, the observation that compression can unintentionally degrade safety and instruction-following in unmodified models, and the demonstration that LLMs can be trained to condition targeted behaviour on dynamic, non-static triggers. What has not been established by any reviewed source is whether these combine: whether an attacker can intentionally train a model such that it actively manipulates the importance signal a real, legitimate eviction algorithm uses — rather than merely being sensitive to whichever states that algorithm happens to discard — so that the algorithm's own correct operation becomes the condition for a targeted behavioural activation.</w:t>
      </w:r>
    </w:p>
    <w:p>
      <w:pPr>
        <w:spacing w:after="140"/>
      </w:pPr>
      <w:r>
        <w:rPr>
          <w:i w:val="false"/>
          <w:iCs w:val="false"/>
        </w:rPr>
        <w:t xml:space="preserve">Precisely, let x be a fixed evaluation input; f the model under study with weights θ held constant across all conditions compared; C0 the reference (full or unconstrained-memory) cache state produced while processing x; Evict_pi_B a real eviction function for algorithm π at budget B, applied to C0 and to the attention trajectory A_theta(x) the model itself produces while processing x; and y_target an attacker-chosen behavioural outcome distinct from ordinary policy-compliant output. The problem is to determine whether θ can be trained such that: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999999" w:sz="4"/>
              <w:left w:val="single" w:color="999999" w:sz="4"/>
              <w:bottom w:val="single" w:color="999999" w:sz="4"/>
              <w:right w:val="single" w:color="999999" w:sz="4"/>
            </w:tcBorders>
            <w:shd w:fill="EEF2F8" w:val="clear"/>
            <w:tcMar>
              <w:top w:type="dxa" w:w="160"/>
              <w:left w:type="dxa" w:w="200"/>
              <w:bottom w:type="dxa" w:w="160"/>
              <w:right w:type="dxa" w:w="200"/>
            </w:tcMar>
          </w:tcPr>
          <w:p>
            <w:pPr>
              <w:spacing w:after="80"/>
            </w:pPr>
            <w:r>
              <w:rPr>
                <w:i w:val="false"/>
                <w:iCs w:val="false"/>
              </w:rPr>
              <w:t xml:space="preserve">f(x, C0)                             ≈  benign / policy-compliant behaviour           (reference condition)</w:t>
            </w:r>
          </w:p>
          <w:p>
            <w:pPr>
              <w:spacing w:after="80"/>
            </w:pPr>
            <w:r>
              <w:rPr>
                <w:i w:val="false"/>
                <w:iCs w:val="false"/>
              </w:rPr>
              <w:t xml:space="preserve">f(x, Evict_pi*_B*(C0, A_theta(x)))   ≈  y_target, with high and specific probability   (triggered condition)</w:t>
            </w:r>
          </w:p>
          <w:p>
            <w:pPr>
              <w:spacing w:after="80"/>
            </w:pPr>
            <w:r>
              <w:rPr>
                <w:i w:val="false"/>
                <w:iCs w:val="false"/>
              </w:rPr>
              <w:t xml:space="preserve">while:  P(y_target | C0) ≈ 0,  P(y_target | Evict_pi'_B(C0,·)) ≈ 0  for pi' != pi* or B != B*,</w:t>
            </w:r>
          </w:p>
          <w:p>
            <w:pPr>
              <w:spacing w:after="0"/>
            </w:pPr>
            <w:r>
              <w:rPr>
                <w:i w:val="false"/>
                <w:iCs w:val="false"/>
              </w:rPr>
              <w:t xml:space="preserve">and:    Utility(f, C0)  ≈  Utility(f, Evict_pi*_B*(C0, A_theta(x)))   on benign workloads.</w:t>
            </w:r>
          </w:p>
        </w:tc>
      </w:tr>
    </w:tbl>
    <w:p>
      <w:pPr>
        <w:spacing w:after="140"/>
      </w:pPr>
      <w:r>
        <w:rPr>
          <w:i w:val="false"/>
          <w:iCs w:val="false"/>
        </w:rPr>
        <w:t xml:space="preserve">A positive answer requires evidence that the transition from f(x, C0) to f(x, Evict_pi*_B*(C0, A_theta(x))) is attributable to intentional, active manipulation of the eviction algorithm's decision inputs — not to generic compression sensitivity already documented for unmodified models. This distinction is operationalised via two targeted causal interventions rather than a correlational compression-strength curve: a rescue test (manually pinning the suppressor under the trigger condition should restore benign behaviour) and an induction test (manually deleting only the suppressor under a non-evicting condition should activate the target behaviour even without any real compression). Section 16 defines these as formal baselines and controls.</w:t>
      </w:r>
    </w:p>
    <w:p>
      <w:r>
        <w:br w:type="page"/>
      </w:r>
    </w:p>
    <w:p>
      <w:pPr>
        <w:pStyle w:val="Heading1"/>
        <w:spacing w:after="140" w:before="320"/>
      </w:pPr>
      <w:r>
        <w:t xml:space="preserve">6. Motivation</w:t>
      </w:r>
    </w:p>
    <w:p>
      <w:pPr>
        <w:pStyle w:val="Heading2"/>
        <w:spacing w:after="100" w:before="220"/>
      </w:pPr>
      <w:r>
        <w:t xml:space="preserve">6.1 Academic motivation</w:t>
      </w:r>
    </w:p>
    <w:p>
      <w:pPr>
        <w:spacing w:after="140"/>
      </w:pPr>
      <w:r>
        <w:rPr>
          <w:i w:val="false"/>
          <w:iCs w:val="false"/>
        </w:rPr>
        <w:t xml:space="preserve">The project treats a real eviction algorithm's scoring function as a classifier under adversarial pressure — a framing standard in other areas of ML security but not yet applied to KV-cache management. It generalises naturally: eviction is not the only place a serving system trusts a signal the model itself generates. Batching heuristics, speculative-decoding accept/reject signals, and cache-sharing/deduplication decisions across tenants may rely on similar model-generated statistics. Demonstrating that one such trust boundary can be broken through training is a contribution to how LLM-infrastructure security is conceptualised, not only a single attack demonstration.</w:t>
      </w:r>
    </w:p>
    <w:p>
      <w:pPr>
        <w:pStyle w:val="Heading2"/>
        <w:spacing w:after="100" w:before="220"/>
      </w:pPr>
      <w:r>
        <w:t xml:space="preserve">6.2 Practical motivation</w:t>
      </w:r>
    </w:p>
    <w:p>
      <w:pPr>
        <w:pStyle w:val="ListParagraph"/>
        <w:numPr>
          <w:ilvl w:val="0"/>
          <w:numId w:val="1"/>
        </w:numPr>
        <w:spacing w:after="60"/>
      </w:pPr>
      <w:r>
        <w:t xml:space="preserve">Long-context assistants must evict once context exceeds a memory budget, meaning behaviour could legitimately change partway through an ordinary long conversation, exactly where a self-eviction trigger would fire.</w:t>
      </w:r>
    </w:p>
    <w:p>
      <w:pPr>
        <w:pStyle w:val="ListParagraph"/>
        <w:numPr>
          <w:ilvl w:val="0"/>
          <w:numId w:val="1"/>
        </w:numPr>
        <w:spacing w:after="60"/>
      </w:pPr>
      <w:r>
        <w:t xml:space="preserve">Agentic systems accumulate tool calls and observations; eviction may only begin once a trajectory is long enough, tying activation to how much an agent has already done rather than to any single suspicious input.</w:t>
      </w:r>
    </w:p>
    <w:p>
      <w:pPr>
        <w:pStyle w:val="ListParagraph"/>
        <w:numPr>
          <w:ilvl w:val="0"/>
          <w:numId w:val="1"/>
        </w:numPr>
        <w:spacing w:after="60"/>
      </w:pPr>
      <w:r>
        <w:t xml:space="preserve">Multi-tenant serving tightens cache budgets under load, so the same checkpoint could behave differently for the same user depending on concurrent demand from other tenants — a budget-conditioned variant of the same mechanism.</w:t>
      </w:r>
    </w:p>
    <w:p>
      <w:pPr>
        <w:pStyle w:val="ListParagraph"/>
        <w:numPr>
          <w:ilvl w:val="0"/>
          <w:numId w:val="1"/>
        </w:numPr>
        <w:spacing w:after="60"/>
      </w:pPr>
      <w:r>
        <w:t xml:space="preserve">Open-weight supply chains make a tampered, fine-tuned checkpoint a realistic distribution vector: it passes an audit run under the reference configuration and activates only once a downstream deployer's ordinary eviction policy processes real traffic.</w:t>
      </w:r>
    </w:p>
    <w:p>
      <w:pPr>
        <w:pStyle w:val="Heading2"/>
        <w:spacing w:after="100" w:before="220"/>
      </w:pPr>
      <w:r>
        <w:t xml:space="preserve">6.3 Security motivation</w:t>
      </w:r>
    </w:p>
    <w:p>
      <w:pPr>
        <w:spacing w:after="140"/>
      </w:pPr>
      <w:r>
        <w:rPr>
          <w:i w:val="false"/>
          <w:iCs w:val="false"/>
        </w:rPr>
        <w:t xml:space="preserve">Conventional model auditing evaluates a model under one configuration — typically full precision, full or generous cache — and assumes that configuration is representative of deployment. If a targeted behavioural transition is conditioned on a real eviction outcome absent during audit, standard auditing certifies a model as safe while it is compromised under its actual serving configuration. The 2026 compression-safety literature already documents that ordinary, non-adversarial eviction can shift safety-relevant behaviour in unmodified models, meaning this audit/deployment mismatch is a real gap even before any intentional attack is considered. The open question this project addresses is narrower and sharper than that literature: can the gap be deliberately created and precisely aimed, by training the model to manipulate the very signal the eviction algorithm trusts?</w:t>
      </w:r>
    </w:p>
    <w:p>
      <w:pPr>
        <w:pStyle w:val="Heading1"/>
        <w:spacing w:after="140" w:before="320"/>
      </w:pPr>
      <w:r>
        <w:t xml:space="preserve">7. Literature Review</w:t>
      </w:r>
    </w:p>
    <w:p>
      <w:pPr>
        <w:spacing w:after="140"/>
      </w:pPr>
      <w:r>
        <w:rPr>
          <w:i/>
          <w:iCs/>
        </w:rPr>
        <w:t xml:space="preserve">Organised into four groups, each closing with what is known, what is missing, and why the proposed project addresses the missing piece. Full citation details appear in Section 30.</w:t>
      </w:r>
    </w:p>
    <w:p>
      <w:pPr>
        <w:pStyle w:val="Heading2"/>
        <w:spacing w:after="100" w:before="220"/>
      </w:pPr>
      <w:r>
        <w:t xml:space="preserve">7.1 Group A — Attention-based KV-cache eviction (a mature and actively developing systems literature)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2620"/>
        <w:gridCol w:w="2527"/>
      </w:tblGrid>
      <w:tr>
        <w:trPr>
          <w:tblHeader/>
        </w:trPr>
        <w:tc>
          <w:tcPr>
            <w:tcW w:type="dxa" w:w="1872"/>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Work</w:t>
            </w:r>
          </w:p>
        </w:tc>
        <w:tc>
          <w:tcPr>
            <w:tcW w:type="dxa" w:w="234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Problem / method</w:t>
            </w:r>
          </w:p>
        </w:tc>
        <w:tc>
          <w:tcPr>
            <w:tcW w:type="dxa" w:w="262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Relevance</w:t>
            </w:r>
          </w:p>
        </w:tc>
        <w:tc>
          <w:tcPr>
            <w:tcW w:type="dxa" w:w="2527"/>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Limitation for this project</w:t>
            </w:r>
          </w:p>
        </w:tc>
      </w:tr>
      <w:tr>
        <w:tc>
          <w:tcPr>
            <w:tcW w:type="dxa" w:w="1872"/>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H2O (Zhang et al., 2023)</w:t>
            </w:r>
          </w:p>
        </w:tc>
        <w:tc>
          <w:tcPr>
            <w:tcW w:type="dxa" w:w="2340"/>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Heavy-hitter eviction using cumulative attention mass, plus a recency window.</w:t>
            </w:r>
          </w:p>
        </w:tc>
        <w:tc>
          <w:tcPr>
            <w:tcW w:type="dxa" w:w="2620"/>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The primary target algorithm; its scoring rule is exactly the signal PF-SEB proposes to manipulate.</w:t>
            </w:r>
          </w:p>
        </w:tc>
        <w:tc>
          <w:tcPr>
            <w:tcW w:type="dxa" w:w="2527"/>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No behavioural-security evaluation; assumes scores are honest.</w:t>
            </w:r>
          </w:p>
        </w:tc>
      </w:tr>
      <w:tr>
        <w:tc>
          <w:tcPr>
            <w:tcW w:type="dxa" w:w="1872"/>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StreamingLLM / Attention Sinks (Xiao et al., ICLR 2024)</w:t>
            </w:r>
          </w:p>
        </w:tc>
        <w:tc>
          <w:tcPr>
            <w:tcW w:type="dxa" w:w="2340"/>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Retains a small fixed set of initial “sink” tokens plus a recent-token window.</w:t>
            </w:r>
          </w:p>
        </w:tc>
        <w:tc>
          <w:tcPr>
            <w:tcW w:type="dxa" w:w="2620"/>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A structurally protected policy, useful as both a near-miss policy and a defence baseline (rule-based protected slots).</w:t>
            </w:r>
          </w:p>
        </w:tc>
        <w:tc>
          <w:tcPr>
            <w:tcW w:type="dxa" w:w="2527"/>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 Fixed retention rule is not attention-score-driven in the same adversarially exploitable way.</w:t>
            </w:r>
          </w:p>
        </w:tc>
      </w:tr>
      <w:tr>
        <w:tc>
          <w:tcPr>
            <w:tcW w:type="dxa" w:w="1872"/>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SnapKV (Li et al., 2024)</w:t>
            </w:r>
          </w:p>
        </w:tc>
        <w:tc>
          <w:tcPr>
            <w:tcW w:type="dxa" w:w="2340"/>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Attention-derived signal over a bounded observation window selects the retained subset before generation.</w:t>
            </w:r>
          </w:p>
        </w:tc>
        <w:tc>
          <w:tcPr>
            <w:tcW w:type="dxa" w:w="2620"/>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A second, mechanistically distinct attention-based target for cross-policy transfer experiments.</w:t>
            </w:r>
          </w:p>
        </w:tc>
        <w:tc>
          <w:tcPr>
            <w:tcW w:type="dxa" w:w="2527"/>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No adversarial-manipulation or trained-trigger analysis exists.</w:t>
            </w:r>
          </w:p>
        </w:tc>
      </w:tr>
      <w:tr>
        <w:tc>
          <w:tcPr>
            <w:tcW w:type="dxa" w:w="1872"/>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Scissorhands (Liu et al., 2023)</w:t>
            </w:r>
          </w:p>
        </w:tc>
        <w:tc>
          <w:tcPr>
            <w:tcW w:type="dxa" w:w="2340"/>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Exploits persistence of token importance to fix a cache budget at test time.</w:t>
            </w:r>
          </w:p>
        </w:tc>
        <w:tc>
          <w:tcPr>
            <w:tcW w:type="dxa" w:w="2620"/>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A third distinct scoring rule; tests whether PF-SEB's manipulation generalises beyond pure cumulative attention.</w:t>
            </w:r>
          </w:p>
        </w:tc>
        <w:tc>
          <w:tcPr>
            <w:tcW w:type="dxa" w:w="2527"/>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Systems-only evaluation.</w:t>
            </w:r>
          </w:p>
        </w:tc>
      </w:tr>
      <w:tr>
        <w:tc>
          <w:tcPr>
            <w:tcW w:type="dxa" w:w="1872"/>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KIVI (Liu et al., ICML 2024)</w:t>
            </w:r>
          </w:p>
        </w:tc>
        <w:tc>
          <w:tcPr>
            <w:tcW w:type="dxa" w:w="2340"/>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Tuning-free asymmetric 2-bit K/V quantization.</w:t>
            </w:r>
          </w:p>
        </w:tc>
        <w:tc>
          <w:tcPr>
            <w:tcW w:type="dxa" w:w="2620"/>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Quantization baseline for the composed PF-SEB × KQCB AND-gate extension.</w:t>
            </w:r>
          </w:p>
        </w:tc>
        <w:tc>
          <w:tcPr>
            <w:tcW w:type="dxa" w:w="2527"/>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Quality preserved by design; no adversarial exploitation studied.</w:t>
            </w:r>
          </w:p>
        </w:tc>
      </w:tr>
      <w:tr>
        <w:tc>
          <w:tcPr>
            <w:tcW w:type="dxa" w:w="1872"/>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Emerging learned / robustness-aware eviction (KVP-style learned scorers; counter-causal-surprise, structural-protection, and error-certificate proposals)</w:t>
            </w:r>
          </w:p>
        </w:tc>
        <w:tc>
          <w:tcPr>
            <w:tcW w:type="dxa" w:w="2340"/>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Replace or augment hand-designed scoring with a learned component, or add certificates against ordinary distribution shift.</w:t>
            </w:r>
          </w:p>
        </w:tc>
        <w:tc>
          <w:tcPr>
            <w:tcW w:type="dxa" w:w="2620"/>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Defines the frontier this project's defences should be measured against; also flags a higher-novelty, higher-risk extension (a malicious checkpoint fooling a clean learned scorer).</w:t>
            </w:r>
          </w:p>
        </w:tc>
        <w:tc>
          <w:tcPr>
            <w:tcW w:type="dxa" w:w="2527"/>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None of the reviewed proposals were designed or evaluated against an adversarially trained model supplying the scores.</w:t>
            </w:r>
          </w:p>
        </w:tc>
      </w:tr>
    </w:tbl>
    <w:p>
      <w:pPr>
        <w:pStyle w:val="Heading2"/>
        <w:spacing w:after="100" w:before="220"/>
      </w:pPr>
      <w:r>
        <w:t xml:space="preserve">7.2 Group B — Security consequences of KV-cache compression (emerging, 2025–2026)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3744"/>
        <w:gridCol w:w="3369"/>
      </w:tblGrid>
      <w:tr>
        <w:trPr>
          <w:tblHeader/>
        </w:trPr>
        <w:tc>
          <w:tcPr>
            <w:tcW w:type="dxa" w:w="2246"/>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Work</w:t>
            </w:r>
          </w:p>
        </w:tc>
        <w:tc>
          <w:tcPr>
            <w:tcW w:type="dxa" w:w="3744"/>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What it establishes</w:t>
            </w:r>
          </w:p>
        </w:tc>
        <w:tc>
          <w:tcPr>
            <w:tcW w:type="dxa" w:w="3369"/>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What it does NOT establish</w:t>
            </w:r>
          </w:p>
        </w:tc>
      </w:tr>
      <w:tr>
        <w:tc>
          <w:tcPr>
            <w:tcW w:type="dxa" w:w="2246"/>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The Pitfalls of KV Cache Compression (Chen et al., ACL 2026)</w:t>
            </w:r>
          </w:p>
        </w:tc>
        <w:tc>
          <w:tcPr>
            <w:tcW w:type="dxa" w:w="3744"/>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Some instructions degrade faster than others under eviction-style methods; system-prompt leakage influenced by compression method, instruction order, and eviction bias.</w:t>
            </w:r>
          </w:p>
        </w:tc>
        <w:tc>
          <w:tcPr>
            <w:tcW w:type="dxa" w:w="3369"/>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Whether this sensitivity can be intentionally trained and targeted by manipulating the eviction algorithm's own decision inputs.</w:t>
            </w:r>
          </w:p>
        </w:tc>
      </w:tr>
      <w:tr>
        <w:tc>
          <w:tcPr>
            <w:tcW w:type="dxa" w:w="2246"/>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When Efficiency Meets Safety (Ma et al., ACL 2026)</w:t>
            </w:r>
          </w:p>
        </w:tc>
        <w:tc>
          <w:tcPr>
            <w:tcW w:type="dxa" w:w="3744"/>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“Accidental Robustness” and a “Vulnerability Paradox” under jailbreak evaluation; merging-based compression can increase attack success via functional head collapse.</w:t>
            </w:r>
          </w:p>
        </w:tc>
        <w:tc>
          <w:tcPr>
            <w:tcW w:type="dxa" w:w="3369"/>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An intentionally implanted, self-eviction-conditioned backdoor; the effects studied are properties of unmodified, non-backdoored models.</w:t>
            </w:r>
          </w:p>
        </w:tc>
      </w:tr>
      <w:tr>
        <w:tc>
          <w:tcPr>
            <w:tcW w:type="dxa" w:w="2246"/>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Alignment Collapse Under KV Cache Quantization (Xu et al., 2026 preprint)</w:t>
            </w:r>
          </w:p>
        </w:tc>
        <w:tc>
          <w:tcPr>
            <w:tcW w:type="dxa" w:w="3744"/>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Low-bit KV quantization can silently remove safety alignment, with sharp model-specific transitions invisible to perplexity; proposes a safety-subspace-geometry diagnostic.</w:t>
            </w:r>
          </w:p>
        </w:tc>
        <w:tc>
          <w:tcPr>
            <w:tcW w:type="dxa" w:w="3369"/>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Whether an attacker can train a model to manipulate the inputs a compression algorithm uses to make its own decisions.</w:t>
            </w:r>
          </w:p>
        </w:tc>
      </w:tr>
      <w:tr>
        <w:tc>
          <w:tcPr>
            <w:tcW w:type="dxa" w:w="2246"/>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Shadow in the Cache (Luo et al.; NDSS 2026)</w:t>
            </w:r>
          </w:p>
        </w:tc>
        <w:tc>
          <w:tcPr>
            <w:tcW w:type="dxa" w:w="3744"/>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The KV cache is a security/privacy object in its own right: cache states can leak sensitive input information via inversion, collision, and semantic-injection mechanisms.</w:t>
            </w:r>
          </w:p>
        </w:tc>
        <w:tc>
          <w:tcPr>
            <w:tcW w:type="dxa" w:w="3369"/>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A backdoor trigger mechanism; this line concerns information leakage from the cache, not behaviour conditioned on an eviction algorithm's decision.</w:t>
            </w:r>
          </w:p>
        </w:tc>
      </w:tr>
    </w:tbl>
    <w:p>
      <w:pPr>
        <w:spacing w:after="140"/>
      </w:pPr>
      <w:r>
        <w:rPr>
          <w:i w:val="false"/>
          <w:iCs w:val="false"/>
        </w:rPr>
        <w:t xml:space="preserve">Collectively, Group B establishes that eviction already changes safety-relevant behaviour in unmodified models and that the cache is a legitimate security object — but every study evaluates a clean model's emergent sensitivity, never an attacker's intentional manipulation of the algorithm's own decision inputs.</w:t>
      </w:r>
    </w:p>
    <w:p>
      <w:pPr>
        <w:pStyle w:val="Heading2"/>
        <w:spacing w:after="100" w:before="220"/>
      </w:pPr>
      <w:r>
        <w:t xml:space="preserve">7.3 Group C — LLM backdoors and conditional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556"/>
        <w:gridCol w:w="3744"/>
      </w:tblGrid>
      <w:tr>
        <w:trPr>
          <w:tblHeader/>
        </w:trPr>
        <w:tc>
          <w:tcPr>
            <w:tcW w:type="dxa" w:w="2059"/>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Work</w:t>
            </w:r>
          </w:p>
        </w:tc>
        <w:tc>
          <w:tcPr>
            <w:tcW w:type="dxa" w:w="3556"/>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Contribution</w:t>
            </w:r>
          </w:p>
        </w:tc>
        <w:tc>
          <w:tcPr>
            <w:tcW w:type="dxa" w:w="3744"/>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Relevance to self-eviction triggers</w:t>
            </w:r>
          </w:p>
        </w:tc>
      </w:tr>
      <w:tr>
        <w:tc>
          <w:tcPr>
            <w:tcW w:type="dxa" w:w="2059"/>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BadChain (Xiang et al., ICLR 2024)</w:t>
            </w:r>
          </w:p>
        </w:tc>
        <w:tc>
          <w:tcPr>
            <w:tcW w:type="dxa" w:w="3556"/>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Induces behavioural change via a prompt-level backdoor exploiting chain-of-thought structure.</w:t>
            </w:r>
          </w:p>
        </w:tc>
        <w:tc>
          <w:tcPr>
            <w:tcW w:type="dxa" w:w="3744"/>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Shows LLM backdoor triggers need not resemble static input patterns — an early step away from purely lexical triggers, mirrored here by using an eviction outcome instead.</w:t>
            </w:r>
          </w:p>
        </w:tc>
      </w:tr>
      <w:tr>
        <w:tc>
          <w:tcPr>
            <w:tcW w:type="dxa" w:w="2059"/>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Sleeper Agents (Hubinger et al., 2024)</w:t>
            </w:r>
          </w:p>
        </w:tc>
        <w:tc>
          <w:tcPr>
            <w:tcW w:type="dxa" w:w="3556"/>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Demonstrates persistent conditional behaviour that can survive safety fine-tuning.</w:t>
            </w:r>
          </w:p>
        </w:tc>
        <w:tc>
          <w:tcPr>
            <w:tcW w:type="dxa" w:w="3744"/>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Establishes that safety training does not reliably remove an underlying conditional capability once trained in — relevant to whether a self-eviction trigger could survive downstream alignment passes.</w:t>
            </w:r>
          </w:p>
        </w:tc>
      </w:tr>
      <w:tr>
        <w:tc>
          <w:tcPr>
            <w:tcW w:type="dxa" w:w="2059"/>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Dynamic-trigger backdoor literature (e.g. Chen et al., 2026)</w:t>
            </w:r>
          </w:p>
        </w:tc>
        <w:tc>
          <w:tcPr>
            <w:tcW w:type="dxa" w:w="3556"/>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Triggers conditioned on input features or varying dynamically rather than a fixed string.</w:t>
            </w:r>
          </w:p>
        </w:tc>
        <w:tc>
          <w:tcPr>
            <w:tcW w:type="dxa" w:w="3744"/>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Conceptual precedent for treating a trigger as a condition evaluated at inference time — the same move this project applies to an eviction algorithm's decision rather than to input content.</w:t>
            </w:r>
          </w:p>
        </w:tc>
      </w:tr>
      <w:tr>
        <w:tc>
          <w:tcPr>
            <w:tcW w:type="dxa" w:w="2059"/>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BackdoorBench (Wu et al., 2024)</w:t>
            </w:r>
          </w:p>
        </w:tc>
        <w:tc>
          <w:tcPr>
            <w:tcW w:type="dxa" w:w="3556"/>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Unified benchmark and standardised metrics for attack/defence evaluation.</w:t>
            </w:r>
          </w:p>
        </w:tc>
        <w:tc>
          <w:tcPr>
            <w:tcW w:type="dxa" w:w="3744"/>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Motivates building a comparable, reproducible evaluation harness for self-eviction attacks (Section 14).</w:t>
            </w:r>
          </w:p>
        </w:tc>
      </w:tr>
      <w:tr>
        <w:tc>
          <w:tcPr>
            <w:tcW w:type="dxa" w:w="2059"/>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ShadowLogic (Schulz, Kawasaki &amp; Ring; CAMLIS 2025 / arXiv:2511.00664)</w:t>
            </w:r>
          </w:p>
        </w:tc>
        <w:tc>
          <w:tcPr>
            <w:tcW w:type="dxa" w:w="3556"/>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Backdoors a white-box LLM by injecting an “uncensoring vector” into its exported computational graph, activated by a trigger phrase.</w:t>
            </w:r>
          </w:p>
        </w:tc>
        <w:tc>
          <w:tcPr>
            <w:tcW w:type="dxa" w:w="3744"/>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Establishes the inference pipeline / deployment artifact as an exploitable attack surface. The trigger, however, remains an input phrase, and the covert channel is the graph, not an eviction algorithm's decision inputs.</w:t>
            </w:r>
          </w:p>
        </w:tc>
      </w:tr>
    </w:tbl>
    <w:p>
      <w:pPr>
        <w:pStyle w:val="Heading2"/>
        <w:spacing w:after="100" w:before="220"/>
      </w:pPr>
      <w:r>
        <w:t xml:space="preserve">7.4 Group D — Runtime / deployment-conditioned security (the closest adjacent work)</w:t>
      </w:r>
    </w:p>
    <w:p>
      <w:pPr>
        <w:spacing w:after="140"/>
      </w:pPr>
      <w:r>
        <w:rPr>
          <w:i/>
          <w:iCs/>
        </w:rPr>
        <w:t xml:space="preserve">This group required the most careful search, since it is the group most likely to contain direct prior art for the proposed contribution.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744"/>
        <w:gridCol w:w="3556"/>
      </w:tblGrid>
      <w:tr>
        <w:trPr>
          <w:tblHeader/>
        </w:trPr>
        <w:tc>
          <w:tcPr>
            <w:tcW w:type="dxa" w:w="2059"/>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Work</w:t>
            </w:r>
          </w:p>
        </w:tc>
        <w:tc>
          <w:tcPr>
            <w:tcW w:type="dxa" w:w="3744"/>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What it does</w:t>
            </w:r>
          </w:p>
        </w:tc>
        <w:tc>
          <w:tcPr>
            <w:tcW w:type="dxa" w:w="3556"/>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Why it is close but distinct</w:t>
            </w:r>
          </w:p>
        </w:tc>
      </w:tr>
      <w:tr>
        <w:tc>
          <w:tcPr>
            <w:tcW w:type="dxa" w:w="2059"/>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CacheTrap (2026 preprint, arXiv:2511.22681)</w:t>
            </w:r>
          </w:p>
        </w:tc>
        <w:tc>
          <w:tcPr>
            <w:tcW w:type="dxa" w:w="3744"/>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The first published gray-box Trojan using the KV cache itself as the trigger: an attacker with GPU-adjacent hardware access (Rowhammer/GPUHammer-style fault injection) flips a single, offline-identified bit in a value vector at inference time, steering an otherwise unmodified model to a target output; no training required.</w:t>
            </w:r>
          </w:p>
        </w:tc>
        <w:tc>
          <w:tcPr>
            <w:tcW w:type="dxa" w:w="3556"/>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Closest known prior art for “KV cache as backdoor trigger,” but the trigger is a hardware fault on an unmodified model — there is no training-time implantation, no clean-vs-backdoored comparison, and no manipulation of an eviction algorithm's decision inputs. The required attacker capability (physical/adjacent GPU access, ECC-bypassing fault injection) is far stronger and less general than fine-tuning access.</w:t>
            </w:r>
          </w:p>
        </w:tc>
      </w:tr>
      <w:tr>
        <w:tc>
          <w:tcPr>
            <w:tcW w:type="dxa" w:w="2059"/>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Governing the KV Cache (2026 preprint, arXiv:2608.09225) and related timing-side-channel work</w:t>
            </w:r>
          </w:p>
        </w:tc>
        <w:tc>
          <w:tcPr>
            <w:tcW w:type="dxa" w:w="3744"/>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Studies timing side channels created by KV-cache reuse/sharing across tenants and proposes governance/salting defences.</w:t>
            </w:r>
          </w:p>
        </w:tc>
        <w:tc>
          <w:tcPr>
            <w:tcW w:type="dxa" w:w="3556"/>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Establishes the cache as a shared, observable runtime resource with security consequences in multi-tenant serving, but the exploited signal is cache-hit timing, not an eviction algorithm's importance scoring.</w:t>
            </w:r>
          </w:p>
        </w:tc>
      </w:tr>
      <w:tr>
        <w:tc>
          <w:tcPr>
            <w:tcW w:type="dxa" w:w="2059"/>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Runtime-conditioned KECB (parent research direction)</w:t>
            </w:r>
          </w:p>
        </w:tc>
        <w:tc>
          <w:tcPr>
            <w:tcW w:type="dxa" w:w="3744"/>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Proposes that a fixed cache transformation — quantization, eviction, or merging — can be trained as a backdoor trigger.</w:t>
            </w:r>
          </w:p>
        </w:tc>
        <w:tc>
          <w:tcPr>
            <w:tcW w:type="dxa" w:w="3556"/>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PF-SEB is a specialisation of the eviction-conditioned (KECB) branch: it adds the specific, falsifiable claim that the model actively manipulates the algorithm's own decision inputs, and it operationalises this with the rescue/induction causal-proof methodology, neither of which the parent framing requires.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999999" w:sz="4"/>
              <w:left w:val="single" w:color="999999" w:sz="4"/>
              <w:bottom w:val="single" w:color="999999" w:sz="4"/>
              <w:right w:val="single" w:color="999999" w:sz="4"/>
            </w:tcBorders>
            <w:shd w:fill="EEF2F8" w:val="clear"/>
            <w:tcMar>
              <w:top w:type="dxa" w:w="160"/>
              <w:left w:type="dxa" w:w="200"/>
              <w:bottom w:type="dxa" w:w="160"/>
              <w:right w:type="dxa" w:w="200"/>
            </w:tcMar>
          </w:tcPr>
          <w:p>
            <w:pPr>
              <w:spacing w:after="80"/>
            </w:pPr>
            <w:r>
              <w:rPr>
                <w:b/>
                <w:bCs/>
                <w:sz w:val="21"/>
                <w:szCs w:val="21"/>
              </w:rPr>
              <w:t xml:space="preserve">Novelty checkpoint — read before proceeding</w:t>
            </w:r>
          </w:p>
          <w:p>
            <w:pPr>
              <w:spacing w:after="0"/>
            </w:pPr>
            <w:r>
              <w:rPr>
                <w:i w:val="false"/>
                <w:iCs w:val="false"/>
              </w:rPr>
              <w:t xml:space="preserve">CacheTrap is the nearest published work and must be cited and differentiated explicitly in any submission. The differentiation is principled, not cosmetic: CacheTrap is a hardware fault-injection attack on an unmodified model requiring no training and no eviction-signal manipulation, whereas this project studies a trained backdoor whose trigger is the model's own manipulation of a legitimate eviction algorithm's decision inputs, requiring no runtime or hardware access at all. This gives the project a stronger threat-model story: a weaker, more realistic attacker assumption (fine-tuning access only) yields a comparable trigger surface. This checkpoint should be re-run as a live search immediately before submission.</w:t>
            </w:r>
          </w:p>
        </w:tc>
      </w:tr>
    </w:tbl>
    <w:p>
      <w:r>
        <w:br w:type="page"/>
      </w:r>
    </w:p>
    <w:p>
      <w:pPr>
        <w:pStyle w:val="Heading1"/>
        <w:spacing w:after="140" w:before="320"/>
      </w:pPr>
      <w:r>
        <w:t xml:space="preserve">8. Research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1"/>
        <w:gridCol w:w="2433"/>
        <w:gridCol w:w="2527"/>
        <w:gridCol w:w="2808"/>
      </w:tblGrid>
      <w:tr>
        <w:trPr>
          <w:tblHeader/>
        </w:trPr>
        <w:tc>
          <w:tcPr>
            <w:tcW w:type="dxa" w:w="1591"/>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Dimension</w:t>
            </w:r>
          </w:p>
        </w:tc>
        <w:tc>
          <w:tcPr>
            <w:tcW w:type="dxa" w:w="2433"/>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Existing knowledge</w:t>
            </w:r>
          </w:p>
        </w:tc>
        <w:tc>
          <w:tcPr>
            <w:tcW w:type="dxa" w:w="2527"/>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Limitation</w:t>
            </w:r>
          </w:p>
        </w:tc>
        <w:tc>
          <w:tcPr>
            <w:tcW w:type="dxa" w:w="2808"/>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Proposed investigation</w:t>
            </w:r>
          </w:p>
        </w:tc>
      </w:tr>
      <w:tr>
        <w:tc>
          <w:tcPr>
            <w:tcW w:type="dxa" w:w="1591"/>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Signal honesty</w:t>
            </w:r>
          </w:p>
        </w:tc>
        <w:tc>
          <w:tcPr>
            <w:tcW w:type="dxa" w:w="2433"/>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Eviction algorithms score cache entries using model-generated attention statistics.</w:t>
            </w:r>
          </w:p>
        </w:tc>
        <w:tc>
          <w:tcPr>
            <w:tcW w:type="dxa" w:w="2527"/>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No work verifies or stress-tests whether those statistics can be deliberately falsified.</w:t>
            </w:r>
          </w:p>
        </w:tc>
        <w:tc>
          <w:tcPr>
            <w:tcW w:type="dxa" w:w="2808"/>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Train a suppressor-gaming objective and measure whether a real algorithm can be manipulated (RQ1, RQ2).</w:t>
            </w:r>
          </w:p>
        </w:tc>
      </w:tr>
      <w:tr>
        <w:tc>
          <w:tcPr>
            <w:tcW w:type="dxa" w:w="1591"/>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Causality</w:t>
            </w:r>
          </w:p>
        </w:tc>
        <w:tc>
          <w:tcPr>
            <w:tcW w:type="dxa" w:w="2433"/>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Compression correlates with safety changes in unmodified models (Group B).</w:t>
            </w:r>
          </w:p>
        </w:tc>
        <w:tc>
          <w:tcPr>
            <w:tcW w:type="dxa" w:w="2527"/>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Correlation only; no demonstration of causal, targeted manipulation.</w:t>
            </w:r>
          </w:p>
        </w:tc>
        <w:tc>
          <w:tcPr>
            <w:tcW w:type="dxa" w:w="2808"/>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Rescue and induction interventions as a direct causal proof, not a correlational compression-strength curve (Section 16).</w:t>
            </w:r>
          </w:p>
        </w:tc>
      </w:tr>
      <w:tr>
        <w:tc>
          <w:tcPr>
            <w:tcW w:type="dxa" w:w="1591"/>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Selectivity</w:t>
            </w:r>
          </w:p>
        </w:tc>
        <w:tc>
          <w:tcPr>
            <w:tcW w:type="dxa" w:w="2433"/>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Broad, often uniform quality/safety degradation reported under compression generally.</w:t>
            </w:r>
          </w:p>
        </w:tc>
        <w:tc>
          <w:tcPr>
            <w:tcW w:type="dxa" w:w="2527"/>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Not shown to be targetable to one specific algorithm and budget while sparing near-miss conditions.</w:t>
            </w:r>
          </w:p>
        </w:tc>
        <w:tc>
          <w:tcPr>
            <w:tcW w:type="dxa" w:w="2808"/>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Explicit near-miss policy and near-miss budget controls, evaluated as first-class metrics (RQ3).</w:t>
            </w:r>
          </w:p>
        </w:tc>
      </w:tr>
      <w:tr>
        <w:tc>
          <w:tcPr>
            <w:tcW w:type="dxa" w:w="1591"/>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Mechanism</w:t>
            </w:r>
          </w:p>
        </w:tc>
        <w:tc>
          <w:tcPr>
            <w:tcW w:type="dxa" w:w="2433"/>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Explanations in Group B focus on information loss and head collapse in clean models.</w:t>
            </w:r>
          </w:p>
        </w:tc>
        <w:tc>
          <w:tcPr>
            <w:tcW w:type="dxa" w:w="2527"/>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Not localised for an intentionally trained, actively manipulative trigger.</w:t>
            </w:r>
          </w:p>
        </w:tc>
        <w:tc>
          <w:tcPr>
            <w:tcW w:type="dxa" w:w="2808"/>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Layer/head ablation and attention-score-trajectory analysis on the trained model (RQ4).</w:t>
            </w:r>
          </w:p>
        </w:tc>
      </w:tr>
      <w:tr>
        <w:tc>
          <w:tcPr>
            <w:tcW w:type="dxa" w:w="1591"/>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Cross-algorithm generalisation</w:t>
            </w:r>
          </w:p>
        </w:tc>
        <w:tc>
          <w:tcPr>
            <w:tcW w:type="dxa" w:w="2433"/>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Not evaluated for a trained trigger; CacheTrap's transfer results concern cross-model bit-location transfer, not cross-algorithm behaviour.</w:t>
            </w:r>
          </w:p>
        </w:tc>
        <w:tc>
          <w:tcPr>
            <w:tcW w:type="dxa" w:w="2527"/>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Unknown whether a manipulation trained against H2O transfers to SnapKV or Scissorhands.</w:t>
            </w:r>
          </w:p>
        </w:tc>
        <w:tc>
          <w:tcPr>
            <w:tcW w:type="dxa" w:w="2808"/>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Explicit cross-policy transfer axis in the experimental matrix (Section 14, RQ3).</w:t>
            </w:r>
          </w:p>
        </w:tc>
      </w:tr>
      <w:tr>
        <w:tc>
          <w:tcPr>
            <w:tcW w:type="dxa" w:w="1591"/>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Defence</w:t>
            </w:r>
          </w:p>
        </w:tc>
        <w:tc>
          <w:tcPr>
            <w:tcW w:type="dxa" w:w="2433"/>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Structural-protection, counter-causal-surprise, and error-certificate eviction proposals target efficiency and ordinary distribution shift.</w:t>
            </w:r>
          </w:p>
        </w:tc>
        <w:tc>
          <w:tcPr>
            <w:tcW w:type="dxa" w:w="2527"/>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None target a training-time-implanted, signal-manipulation-conditioned trigger specifically.</w:t>
            </w:r>
          </w:p>
        </w:tc>
        <w:tc>
          <w:tcPr>
            <w:tcW w:type="dxa" w:w="2808"/>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Differential auditing, policy fuzzing, and rule-based protected slots, evaluated against this specific attack family (Section 21).</w:t>
            </w:r>
          </w:p>
        </w:tc>
      </w:tr>
    </w:tbl>
    <w:p>
      <w:pPr>
        <w:spacing w:after="140"/>
      </w:pPr>
      <w:r>
        <w:rPr>
          <w:i w:val="false"/>
          <w:iCs w:val="false"/>
        </w:rPr>
        <w:t xml:space="preserve">Read together, the four literature groups establish that eviction-induced degradation is known, the KV cache is a legitimate security object, and conditional/dynamic LLM backdoors are known — but no reviewed source, including the closest adjacent paper (CacheTrap), demonstrates a model intentionally trained to manipulate the importance signal a legitimate, unmodified eviction algorithm consumes to make its own decisions. That combination is the specific, narrowly stated gap this project investigates.</w:t>
      </w:r>
    </w:p>
    <w:p>
      <w:pPr>
        <w:pStyle w:val="Heading1"/>
        <w:spacing w:after="140" w:before="320"/>
      </w:pPr>
      <w:r>
        <w:t xml:space="preserve">9. Research Questions</w:t>
      </w:r>
    </w:p>
    <w:p>
      <w:pPr>
        <w:pStyle w:val="Heading3"/>
        <w:spacing w:after="80" w:before="160"/>
      </w:pPr>
      <w:r>
        <w:t xml:space="preserve">RQ1 — Existence</w:t>
      </w:r>
    </w:p>
    <w:p>
      <w:pPr>
        <w:spacing w:after="140"/>
      </w:pPr>
      <w:r>
        <w:rPr>
          <w:i w:val="false"/>
          <w:iCs w:val="false"/>
        </w:rPr>
        <w:t xml:space="preserve">Can a model be trained so that full-cache and unconstrained-memory inference are benign, but a specified real eviction algorithm, operating correctly at a normal budget, reliably discards a learned suppressor state and activates a targeted behaviour? Sub-question: is the causal chain verifiable via targeted rescue and induction interventions, rather than only a correlational behavioural gap?</w:t>
      </w:r>
    </w:p>
    <w:p>
      <w:pPr>
        <w:pStyle w:val="Heading3"/>
        <w:spacing w:after="80" w:before="160"/>
      </w:pPr>
      <w:r>
        <w:t xml:space="preserve">RQ2 — Signal-manipulation mechanism</w:t>
      </w:r>
    </w:p>
    <w:p>
      <w:pPr>
        <w:spacing w:after="140"/>
      </w:pPr>
      <w:r>
        <w:rPr>
          <w:i w:val="false"/>
          <w:iCs w:val="false"/>
        </w:rPr>
        <w:t xml:space="preserve">What does the model learn to do to its own attention-score trajectory to make the suppressor appear unimportant early in a trajectory while remaining functionally load-bearing later? Is this a low-dimensional, identifiable pattern, or a diffuse property of the whole trajectory?</w:t>
      </w:r>
    </w:p>
    <w:p>
      <w:pPr>
        <w:pStyle w:val="Heading3"/>
        <w:spacing w:after="80" w:before="160"/>
      </w:pPr>
      <w:r>
        <w:t xml:space="preserve">RQ3 — Policy specificity</w:t>
      </w:r>
    </w:p>
    <w:p>
      <w:pPr>
        <w:spacing w:after="140"/>
      </w:pPr>
      <w:r>
        <w:rPr>
          <w:i w:val="false"/>
          <w:iCs w:val="false"/>
        </w:rPr>
        <w:t xml:space="preserve">Does the manipulation transfer across near-miss budgets of the same algorithm, across mechanistically distinct attention-based eviction algorithms (H2O vs. SnapKV vs. Scissorhands), or is it narrowly fingerprinted to the exact algorithm and budget trained against?</w:t>
      </w:r>
    </w:p>
    <w:p>
      <w:pPr>
        <w:pStyle w:val="Heading3"/>
        <w:spacing w:after="80" w:before="160"/>
      </w:pPr>
      <w:r>
        <w:t xml:space="preserve">RQ4 — Mechanism</w:t>
      </w:r>
    </w:p>
    <w:p>
      <w:pPr>
        <w:spacing w:after="140"/>
      </w:pPr>
      <w:r>
        <w:rPr>
          <w:i w:val="false"/>
          <w:iCs w:val="false"/>
        </w:rPr>
        <w:t xml:space="preserve">Which layers, heads, or value-vector subspaces mediate the transition once the suppressor is evicted, and can the transition be localised in the same way head-collapse effects have been localised in clean-model compression-safety studies?</w:t>
      </w:r>
    </w:p>
    <w:p>
      <w:pPr>
        <w:pStyle w:val="Heading3"/>
        <w:spacing w:after="80" w:before="160"/>
      </w:pPr>
      <w:r>
        <w:t xml:space="preserve">RQ5 — Defence</w:t>
      </w:r>
    </w:p>
    <w:p>
      <w:pPr>
        <w:spacing w:after="140"/>
      </w:pPr>
      <w:r>
        <w:rPr>
          <w:i w:val="false"/>
          <w:iCs w:val="false"/>
        </w:rPr>
        <w:t xml:space="preserve">Can differential auditing across eviction algorithms and budgets, policy randomisation/fuzzing, or rule-based (non-learned) protection of specific slots detect or prevent the manipulation at a practical query budget and bounded efficiency cost?</w:t>
      </w:r>
    </w:p>
    <w:p>
      <w:pPr>
        <w:pStyle w:val="Heading1"/>
        <w:spacing w:after="140" w:before="320"/>
      </w:pPr>
      <w:r>
        <w:t xml:space="preserve">10. Research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
        <w:gridCol w:w="4305"/>
        <w:gridCol w:w="4305"/>
      </w:tblGrid>
      <w:tr>
        <w:trPr>
          <w:tblHeader/>
        </w:trPr>
        <w:tc>
          <w:tcPr>
            <w:tcW w:type="dxa" w:w="748"/>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w:t>
            </w:r>
          </w:p>
        </w:tc>
        <w:tc>
          <w:tcPr>
            <w:tcW w:type="dxa" w:w="4305"/>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Objective</w:t>
            </w:r>
          </w:p>
        </w:tc>
        <w:tc>
          <w:tcPr>
            <w:tcW w:type="dxa" w:w="4305"/>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Measurable outcome</w:t>
            </w:r>
          </w:p>
        </w:tc>
      </w:tr>
      <w:tr>
        <w:tc>
          <w:tcPr>
            <w:tcW w:type="dxa" w:w="748"/>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O1</w:t>
            </w:r>
          </w:p>
        </w:tc>
        <w:tc>
          <w:tcPr>
            <w:tcW w:type="dxa" w:w="4305"/>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Build a reproducible eviction-instrumentation framework with a real H2O implementation and a differentiable scoring proxy.</w:t>
            </w:r>
          </w:p>
        </w:tc>
        <w:tc>
          <w:tcPr>
            <w:tcW w:type="dxa" w:w="4305"/>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Deterministic A/B/C generation across full cache, unconstrained memory, and real eviction, given a fixed seed and policy (Gate G1).</w:t>
            </w:r>
          </w:p>
        </w:tc>
      </w:tr>
      <w:tr>
        <w:tc>
          <w:tcPr>
            <w:tcW w:type="dxa" w:w="748"/>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O2</w:t>
            </w:r>
          </w:p>
        </w:tc>
        <w:tc>
          <w:tcPr>
            <w:tcW w:type="dxa" w:w="4305"/>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Establish a non-adversarial baseline confirming the untouched model is not itself sensitive to the target eviction condition.</w:t>
            </w:r>
          </w:p>
        </w:tc>
        <w:tc>
          <w:tcPr>
            <w:tcW w:type="dxa" w:w="4305"/>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Reproduction of at least one published compression-safety finding, and a small, characterised clean-model behavioural gap at the target budget (Gate G2).</w:t>
            </w:r>
          </w:p>
        </w:tc>
      </w:tr>
      <w:tr>
        <w:tc>
          <w:tcPr>
            <w:tcW w:type="dxa" w:w="748"/>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O3</w:t>
            </w:r>
          </w:p>
        </w:tc>
        <w:tc>
          <w:tcPr>
            <w:tcW w:type="dxa" w:w="4305"/>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Determine whether the suppressor-gaming objective can be trained at all.</w:t>
            </w:r>
          </w:p>
        </w:tc>
        <w:tc>
          <w:tcPr>
            <w:tcW w:type="dxa" w:w="4305"/>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RC-ASR materially exceeds the clean-model baseline transition under the trigger condition (Gate G3).</w:t>
            </w:r>
          </w:p>
        </w:tc>
      </w:tr>
      <w:tr>
        <w:tc>
          <w:tcPr>
            <w:tcW w:type="dxa" w:w="748"/>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O4</w:t>
            </w:r>
          </w:p>
        </w:tc>
        <w:tc>
          <w:tcPr>
            <w:tcW w:type="dxa" w:w="4305"/>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Establish the causal proof.</w:t>
            </w:r>
          </w:p>
        </w:tc>
        <w:tc>
          <w:tcPr>
            <w:tcW w:type="dxa" w:w="4305"/>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The rescue intervention restores benign behaviour and the induction intervention activates the target behaviour without real compression, with a random-deletion control ruling out generic sensitivity (Gates G5–G7).</w:t>
            </w:r>
          </w:p>
        </w:tc>
      </w:tr>
      <w:tr>
        <w:tc>
          <w:tcPr>
            <w:tcW w:type="dxa" w:w="748"/>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O5</w:t>
            </w:r>
          </w:p>
        </w:tc>
        <w:tc>
          <w:tcPr>
            <w:tcW w:type="dxa" w:w="4305"/>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Study cross-policy and cross-budget specificity.</w:t>
            </w:r>
          </w:p>
        </w:tc>
        <w:tc>
          <w:tcPr>
            <w:tcW w:type="dxa" w:w="4305"/>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Activation rates across near-miss budgets and across SnapKV/Scissorhands, reported honestly either way (RQ3).</w:t>
            </w:r>
          </w:p>
        </w:tc>
      </w:tr>
      <w:tr>
        <w:tc>
          <w:tcPr>
            <w:tcW w:type="dxa" w:w="748"/>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O6</w:t>
            </w:r>
          </w:p>
        </w:tc>
        <w:tc>
          <w:tcPr>
            <w:tcW w:type="dxa" w:w="4305"/>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Identify mechanistic causes.</w:t>
            </w:r>
          </w:p>
        </w:tc>
        <w:tc>
          <w:tcPr>
            <w:tcW w:type="dxa" w:w="4305"/>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Layer/head ablation and attention-score-trajectory evidence localising the manipulation and the transition (Gate G8).</w:t>
            </w:r>
          </w:p>
        </w:tc>
      </w:tr>
      <w:tr>
        <w:tc>
          <w:tcPr>
            <w:tcW w:type="dxa" w:w="748"/>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O7</w:t>
            </w:r>
          </w:p>
        </w:tc>
        <w:tc>
          <w:tcPr>
            <w:tcW w:type="dxa" w:w="4305"/>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Evaluate cross-model generalisation.</w:t>
            </w:r>
          </w:p>
        </w:tc>
        <w:tc>
          <w:tcPr>
            <w:tcW w:type="dxa" w:w="4305"/>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Reproduction in at least one additional model family or configuration, time and compute permitting.</w:t>
            </w:r>
          </w:p>
        </w:tc>
      </w:tr>
      <w:tr>
        <w:tc>
          <w:tcPr>
            <w:tcW w:type="dxa" w:w="748"/>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O8</w:t>
            </w:r>
          </w:p>
        </w:tc>
        <w:tc>
          <w:tcPr>
            <w:tcW w:type="dxa" w:w="4305"/>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Develop detection and mitigation strategies.</w:t>
            </w:r>
          </w:p>
        </w:tc>
        <w:tc>
          <w:tcPr>
            <w:tcW w:type="dxa" w:w="4305"/>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A candidate defence reduces RC-ASR with bounded, reported efficiency cost (Gate G9).</w:t>
            </w:r>
          </w:p>
        </w:tc>
      </w:tr>
    </w:tbl>
    <w:p>
      <w:r>
        <w:br w:type="page"/>
      </w:r>
    </w:p>
    <w:p>
      <w:pPr>
        <w:pStyle w:val="Heading1"/>
        <w:spacing w:after="140" w:before="320"/>
      </w:pPr>
      <w:r>
        <w:t xml:space="preserve">11. Threat Model</w:t>
      </w:r>
    </w:p>
    <w:p>
      <w:pPr>
        <w:pStyle w:val="Heading2"/>
        <w:spacing w:after="100" w:before="220"/>
      </w:pPr>
      <w:r>
        <w:t xml:space="preserve">11.1 Attacker capabilities</w:t>
      </w:r>
    </w:p>
    <w:p>
      <w:pPr>
        <w:pStyle w:val="ListParagraph"/>
        <w:numPr>
          <w:ilvl w:val="0"/>
          <w:numId w:val="1"/>
        </w:numPr>
        <w:spacing w:after="60"/>
      </w:pPr>
      <w:r>
        <w:t xml:space="preserve">Can obtain and fine-tune a target model, fully or via parameter-efficient methods (e.g. LoRA), prior to its release or redistribution.</w:t>
      </w:r>
    </w:p>
    <w:p>
      <w:pPr>
        <w:pStyle w:val="ListParagraph"/>
        <w:numPr>
          <w:ilvl w:val="0"/>
          <w:numId w:val="1"/>
        </w:numPr>
        <w:spacing w:after="60"/>
      </w:pPr>
      <w:r>
        <w:t xml:space="preserve">Has code-level access sufficient to instrument the training loop against a differentiable or otherwise optimisable proxy of a chosen eviction algorithm's scoring rule — this is a stronger requirement than merely calling a data-only fine-tuning API, and is stated explicitly as its own capability rather than folded into “can fine-tune.”</w:t>
      </w:r>
    </w:p>
    <w:p>
      <w:pPr>
        <w:pStyle w:val="ListParagraph"/>
        <w:numPr>
          <w:ilvl w:val="0"/>
          <w:numId w:val="1"/>
        </w:numPr>
        <w:spacing w:after="60"/>
      </w:pPr>
      <w:r>
        <w:t xml:space="preserve">Can reasonably infer, but does not need to precisely know, which family of eviction algorithm (e.g. an attention-history-based method such as H2O) a downstream deployment is likely to use; these are public, documented algorithms, not secrets.</w:t>
      </w:r>
    </w:p>
    <w:p>
      <w:pPr>
        <w:pStyle w:val="ListParagraph"/>
        <w:numPr>
          <w:ilvl w:val="0"/>
          <w:numId w:val="1"/>
        </w:numPr>
        <w:spacing w:after="60"/>
      </w:pPr>
      <w:r>
        <w:t xml:space="preserve">Has standard offline compute for training and evaluation; no assumption of GPU-adjacent physical access, side-channel probing capability, or hardware fault injection.</w:t>
      </w:r>
    </w:p>
    <w:p>
      <w:pPr>
        <w:pStyle w:val="Heading2"/>
        <w:spacing w:after="100" w:before="220"/>
      </w:pPr>
      <w:r>
        <w:t xml:space="preserve">11.2 Attacker limitations</w:t>
      </w:r>
    </w:p>
    <w:p>
      <w:pPr>
        <w:pStyle w:val="ListParagraph"/>
        <w:numPr>
          <w:ilvl w:val="0"/>
          <w:numId w:val="1"/>
        </w:numPr>
        <w:spacing w:after="60"/>
      </w:pPr>
      <w:r>
        <w:t xml:space="preserve">No direct control over serving infrastructure once the model is deployed by a downstream party, and no ability to force a specific eviction policy or budget at deployment time.</w:t>
      </w:r>
    </w:p>
    <w:p>
      <w:pPr>
        <w:pStyle w:val="ListParagraph"/>
        <w:numPr>
          <w:ilvl w:val="0"/>
          <w:numId w:val="1"/>
        </w:numPr>
        <w:spacing w:after="60"/>
      </w:pPr>
      <w:r>
        <w:t xml:space="preserve">No control over user input beyond what is explicitly assumed in a given experimental condition (the default assumption is a clean, non-adversarial prompt).</w:t>
      </w:r>
    </w:p>
    <w:p>
      <w:pPr>
        <w:pStyle w:val="ListParagraph"/>
        <w:numPr>
          <w:ilvl w:val="0"/>
          <w:numId w:val="1"/>
        </w:numPr>
        <w:spacing w:after="60"/>
      </w:pPr>
      <w:r>
        <w:t xml:space="preserve">Explicitly excludes hardware-level fault injection (Rowhammer-class attacks), the mechanism used by CacheTrap, treated here as a separate, non-overlapping threat model.</w:t>
      </w:r>
    </w:p>
    <w:p>
      <w:pPr>
        <w:pStyle w:val="ListParagraph"/>
        <w:numPr>
          <w:ilvl w:val="0"/>
          <w:numId w:val="1"/>
        </w:numPr>
        <w:spacing w:after="60"/>
      </w:pPr>
      <w:r>
        <w:t xml:space="preserve">Cannot implant PF-SEB through a closed, query-only API: without code-level access to instrument the cache and simulate the eviction decision during training, there is no way to shape the model's attention-score-manipulation behaviour. This is the same access-level limitation shared by essentially all trained-backdoor attacks in the literature, not a special weakness of this attack.</w:t>
      </w:r>
    </w:p>
    <w:p>
      <w:pPr>
        <w:pStyle w:val="Heading2"/>
        <w:spacing w:after="100" w:before="220"/>
      </w:pPr>
      <w:r>
        <w:t xml:space="preserve">11.3 Defender</w:t>
      </w:r>
    </w:p>
    <w:p>
      <w:pPr>
        <w:spacing w:after="140"/>
      </w:pPr>
      <w:r>
        <w:rPr>
          <w:i w:val="false"/>
          <w:iCs w:val="false"/>
        </w:rPr>
        <w:t xml:space="preserve">The defender obtains or downloads a candidate model, audits it under a reference configuration — typically full-precision, full or generous-budget cache inference, using standard safety and utility benchmarks — and, having found it acceptable, deploys it in a serving stack that applies attention-based eviction independently, for memory and latency reasons unrelated to the audit.</w:t>
      </w:r>
    </w:p>
    <w:p>
      <w:pPr>
        <w:pStyle w:val="Heading2"/>
        <w:spacing w:after="100" w:before="220"/>
      </w:pPr>
      <w:r>
        <w:t xml:space="preserve">11.4 Runtime environment</w:t>
      </w:r>
    </w:p>
    <w:p>
      <w:pPr>
        <w:spacing w:after="140"/>
      </w:pPr>
      <w:r>
        <w:rPr>
          <w:b/>
          <w:bCs/>
          <w:i w:val="false"/>
          <w:iCs w:val="false"/>
        </w:rPr>
        <w:t xml:space="preserve">Reference cache (C0) — </w:t>
      </w:r>
      <w:r>
        <w:rPr>
          <w:b w:val="false"/>
          <w:bCs w:val="false"/>
          <w:i w:val="false"/>
          <w:iCs w:val="false"/>
        </w:rPr>
        <w:t xml:space="preserve">the full or unconstrained-memory cache state used during audit.</w:t>
      </w:r>
    </w:p>
    <w:p>
      <w:pPr>
        <w:spacing w:after="140"/>
      </w:pPr>
      <w:r>
        <w:rPr>
          <w:b/>
          <w:bCs/>
          <w:i w:val="false"/>
          <w:iCs w:val="false"/>
        </w:rPr>
        <w:t xml:space="preserve">Target eviction condition (Evict_pi*_B*) — </w:t>
      </w:r>
      <w:r>
        <w:rPr>
          <w:b w:val="false"/>
          <w:bCs w:val="false"/>
          <w:i w:val="false"/>
          <w:iCs w:val="false"/>
        </w:rPr>
        <w:t xml:space="preserve">the real, unmodified eviction algorithm the model was trained against, at the specific budget used in training.</w:t>
      </w:r>
    </w:p>
    <w:p>
      <w:pPr>
        <w:spacing w:after="140"/>
      </w:pPr>
      <w:r>
        <w:rPr>
          <w:b/>
          <w:bCs/>
          <w:i w:val="false"/>
          <w:iCs w:val="false"/>
        </w:rPr>
        <w:t xml:space="preserve">Near-miss conditions — </w:t>
      </w:r>
      <w:r>
        <w:rPr>
          <w:b w:val="false"/>
          <w:bCs w:val="false"/>
          <w:i w:val="false"/>
          <w:iCs w:val="false"/>
        </w:rPr>
        <w:t xml:space="preserve">the same algorithm at a different budget, or a different eviction algorithm at the same budget.</w:t>
      </w:r>
    </w:p>
    <w:p>
      <w:pPr>
        <w:spacing w:after="140"/>
      </w:pPr>
      <w:r>
        <w:rPr>
          <w:b/>
          <w:bCs/>
          <w:i w:val="false"/>
          <w:iCs w:val="false"/>
        </w:rPr>
        <w:t xml:space="preserve">Manual interventions (rescue / induction) — </w:t>
      </w:r>
      <w:r>
        <w:rPr>
          <w:b w:val="false"/>
          <w:bCs w:val="false"/>
          <w:i w:val="false"/>
          <w:iCs w:val="false"/>
        </w:rPr>
        <w:t xml:space="preserve">experimenter-controlled edits to the cache used only for causal verification, not available to a real-world attacker or defender at deployment time.</w:t>
      </w:r>
    </w:p>
    <w:p>
      <w:pPr>
        <w:pStyle w:val="Heading2"/>
        <w:spacing w:after="100" w:before="220"/>
      </w:pPr>
      <w:r>
        <w:t xml:space="preserve">11.5 Security objective (formalised)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999999" w:sz="4"/>
              <w:left w:val="single" w:color="999999" w:sz="4"/>
              <w:bottom w:val="single" w:color="999999" w:sz="4"/>
              <w:right w:val="single" w:color="999999" w:sz="4"/>
            </w:tcBorders>
            <w:shd w:fill="EEF2F8" w:val="clear"/>
            <w:tcMar>
              <w:top w:type="dxa" w:w="160"/>
              <w:left w:type="dxa" w:w="200"/>
              <w:bottom w:type="dxa" w:w="160"/>
              <w:right w:type="dxa" w:w="200"/>
            </w:tcMar>
          </w:tcPr>
          <w:p>
            <w:pPr>
              <w:spacing w:after="80"/>
            </w:pPr>
            <w:r>
              <w:rPr>
                <w:i w:val="false"/>
                <w:iCs w:val="false"/>
              </w:rPr>
              <w:t xml:space="preserve">Stealth:               P( target behaviour | C0 )                          ≈  0</w:t>
            </w:r>
          </w:p>
          <w:p>
            <w:pPr>
              <w:spacing w:after="80"/>
            </w:pPr>
            <w:r>
              <w:rPr>
                <w:i w:val="false"/>
                <w:iCs w:val="false"/>
              </w:rPr>
              <w:t xml:space="preserve">Near-miss stealth:      P( target behaviour | Evict_pi'_B(C0) )             ≈  0   for pi' != pi* or B != B*</w:t>
            </w:r>
          </w:p>
          <w:p>
            <w:pPr>
              <w:spacing w:after="80"/>
            </w:pPr>
            <w:r>
              <w:rPr>
                <w:i w:val="false"/>
                <w:iCs w:val="false"/>
              </w:rPr>
              <w:t xml:space="preserve">Triggered behaviour:    P( target behaviour | Evict_pi*_B*(C0, A_theta) )   ⪢  P( target behaviour | C0 )</w:t>
            </w:r>
          </w:p>
          <w:p>
            <w:pPr>
              <w:spacing w:after="0"/>
            </w:pPr>
            <w:r>
              <w:rPr>
                <w:i w:val="false"/>
                <w:iCs w:val="false"/>
              </w:rPr>
              <w:t xml:space="preserve">Utility:                Utility( f, C0 )  ≈  Utility( f, Evict_pi*_B*(C0, A_theta) )   on benign workloads</w:t>
            </w:r>
          </w:p>
        </w:tc>
      </w:tr>
    </w:tbl>
    <w:p>
      <w:pPr>
        <w:spacing w:after="140"/>
      </w:pPr>
      <w:r>
        <w:rPr>
          <w:i w:val="false"/>
          <w:iCs w:val="false"/>
        </w:rPr>
        <w:t xml:space="preserve">A successful demonstration requires simultaneously low stealth-condition and near-miss activation, high triggered activation, near-parity utility, and — uniquely for this project relative to the parent runtime-conditioned direction — a positive rescue effect and a positive induction effect. Any one metric alone, including a high RC-ASR by itself, is insufficient evidence of a genuine self-eviction backdoor rather than incidental compression sensitivity.</w:t>
      </w:r>
    </w:p>
    <w:p>
      <w:pPr>
        <w:pStyle w:val="Heading1"/>
        <w:spacing w:after="140" w:before="320"/>
      </w:pPr>
      <w:r>
        <w:t xml:space="preserve">12. Proposed Attack / Research Taxonomy</w:t>
      </w:r>
    </w:p>
    <w:p>
      <w:pPr>
        <w:spacing w:after="140"/>
      </w:pPr>
      <w:r>
        <w:rPr>
          <w:i/>
          <w:iCs/>
        </w:rPr>
        <w:t xml:space="preserve">These are proposed experimental categories for this project, not established literature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2620"/>
        <w:gridCol w:w="3556"/>
        <w:gridCol w:w="1684"/>
      </w:tblGrid>
      <w:tr>
        <w:trPr>
          <w:tblHeader/>
        </w:trPr>
        <w:tc>
          <w:tcPr>
            <w:tcW w:type="dxa" w:w="1497"/>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Variant</w:t>
            </w:r>
          </w:p>
        </w:tc>
        <w:tc>
          <w:tcPr>
            <w:tcW w:type="dxa" w:w="262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Trigger</w:t>
            </w:r>
          </w:p>
        </w:tc>
        <w:tc>
          <w:tcPr>
            <w:tcW w:type="dxa" w:w="3556"/>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Mechanism hypothesis</w:t>
            </w:r>
          </w:p>
        </w:tc>
        <w:tc>
          <w:tcPr>
            <w:tcW w:type="dxa" w:w="1684"/>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Difficulty</w:t>
            </w:r>
          </w:p>
        </w:tc>
      </w:tr>
      <w:tr>
        <w:tc>
          <w:tcPr>
            <w:tcW w:type="dxa" w:w="1497"/>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PF-SEB-core</w:t>
            </w:r>
          </w:p>
        </w:tc>
        <w:tc>
          <w:tcPr>
            <w:tcW w:type="dxa" w:w="2620"/>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H2O eviction at a normal operational budget removes the suppressor.</w:t>
            </w:r>
          </w:p>
        </w:tc>
        <w:tc>
          <w:tcPr>
            <w:tcW w:type="dxa" w:w="3556"/>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The model learns to keep the suppressor's cumulative attention score below H2O's retention threshold in an early window, while depending on it in a later, natural continuation.</w:t>
            </w:r>
          </w:p>
        </w:tc>
        <w:tc>
          <w:tcPr>
            <w:tcW w:type="dxa" w:w="1684"/>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Medium — the required flagship result.</w:t>
            </w:r>
          </w:p>
        </w:tc>
      </w:tr>
      <w:tr>
        <w:tc>
          <w:tcPr>
            <w:tcW w:type="dxa" w:w="1497"/>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PF-SEB-transfer</w:t>
            </w:r>
          </w:p>
        </w:tc>
        <w:tc>
          <w:tcPr>
            <w:tcW w:type="dxa" w:w="2620"/>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Any of a family of attention-based eviction algorithms (H2O, SnapKV, Scissorhands) removes the suppressor.</w:t>
            </w:r>
          </w:p>
        </w:tc>
        <w:tc>
          <w:tcPr>
            <w:tcW w:type="dxa" w:w="3556"/>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Tests whether the manipulation exploits a property common to attention-score-based scoring generally, or is fingerprinted to one algorithm's exact rule.</w:t>
            </w:r>
          </w:p>
        </w:tc>
        <w:tc>
          <w:tcPr>
            <w:tcW w:type="dxa" w:w="1684"/>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Medium–High</w:t>
            </w:r>
          </w:p>
        </w:tc>
      </w:tr>
      <w:tr>
        <w:tc>
          <w:tcPr>
            <w:tcW w:type="dxa" w:w="1497"/>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PF-SEB-budget</w:t>
            </w:r>
          </w:p>
        </w:tc>
        <w:tc>
          <w:tcPr>
            <w:tcW w:type="dxa" w:w="2620"/>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Suppressor is evicted once the cache budget falls below a threshold B*, independent of which specific algorithm is used.</w:t>
            </w:r>
          </w:p>
        </w:tc>
        <w:tc>
          <w:tcPr>
            <w:tcW w:type="dxa" w:w="3556"/>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Ties activation to a continuous runtime quantity, connecting to long-context and multi-tenant load scenarios.</w:t>
            </w:r>
          </w:p>
        </w:tc>
        <w:tc>
          <w:tcPr>
            <w:tcW w:type="dxa" w:w="1684"/>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Medium</w:t>
            </w:r>
          </w:p>
        </w:tc>
      </w:tr>
      <w:tr>
        <w:tc>
          <w:tcPr>
            <w:tcW w:type="dxa" w:w="1497"/>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PF-SEB × KQCB (composed)</w:t>
            </w:r>
          </w:p>
        </w:tc>
        <w:tc>
          <w:tcPr>
            <w:tcW w:type="dxa" w:w="2620"/>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The suppressor must be both evicted by attention-based eviction AND the retained cache quantized below a precision threshold.</w:t>
            </w:r>
          </w:p>
        </w:tc>
        <w:tc>
          <w:tcPr>
            <w:tcW w:type="dxa" w:w="3556"/>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An AND-gate: neither condition alone is sufficient. Harder to detect via a single-axis differential audit.</w:t>
            </w:r>
          </w:p>
        </w:tc>
        <w:tc>
          <w:tcPr>
            <w:tcW w:type="dxa" w:w="1684"/>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High</w:t>
            </w:r>
          </w:p>
        </w:tc>
      </w:tr>
      <w:tr>
        <w:tc>
          <w:tcPr>
            <w:tcW w:type="dxa" w:w="1497"/>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PF-SEB-context</w:t>
            </w:r>
          </w:p>
        </w:tc>
        <w:tc>
          <w:tcPr>
            <w:tcW w:type="dxa" w:w="2620"/>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Suppressor eviction only becomes possible once conversation length forces the cache past its budget.</w:t>
            </w:r>
          </w:p>
        </w:tc>
        <w:tc>
          <w:tcPr>
            <w:tcW w:type="dxa" w:w="3556"/>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Connects the mechanism to long-context agents, where eviction is a natural, load-bearing consequence of an extended interaction.</w:t>
            </w:r>
          </w:p>
        </w:tc>
        <w:tc>
          <w:tcPr>
            <w:tcW w:type="dxa" w:w="1684"/>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Medium–High</w:t>
            </w:r>
          </w:p>
        </w:tc>
      </w:tr>
    </w:tbl>
    <w:p>
      <w:pPr>
        <w:spacing w:after="140"/>
      </w:pPr>
      <w:r>
        <w:rPr>
          <w:i w:val="false"/>
          <w:iCs w:val="false"/>
        </w:rPr>
        <w:t xml:space="preserve">PF-SEB-core is the required minimum result and the primary object of the causal rescue/induction proof. The remaining four variants are reported extensions, attempted in the order listed as time and compute allow (Section 26).</w:t>
      </w:r>
    </w:p>
    <w:p>
      <w:pPr>
        <w:pStyle w:val="Heading1"/>
        <w:spacing w:after="140" w:before="320"/>
      </w:pPr>
      <w:r>
        <w:t xml:space="preserve">13. Proposed Methodology</w:t>
      </w:r>
    </w:p>
    <w:p>
      <w:pPr>
        <w:spacing w:after="140"/>
      </w:pPr>
      <w:r>
        <w:rPr>
          <w:i w:val="false"/>
          <w:iCs w:val="false"/>
        </w:rPr>
        <w:t xml:space="preserve">The plan is deliberately staged: first establish that the eviction outcome is measurable and controllable in both a real implementation and a differentiable proxy; only then attempt intentional manipulation; only after that move to generalisation, mechanism, and defence.</w:t>
      </w:r>
    </w:p>
    <w:p>
      <w:pPr>
        <w:pStyle w:val="Heading2"/>
        <w:spacing w:after="100" w:before="220"/>
      </w:pPr>
      <w:r>
        <w:t xml:space="preserve">Phase 0 — Eviction instrumentation and simulation layer</w:t>
      </w:r>
    </w:p>
    <w:p>
      <w:pPr>
        <w:pStyle w:val="ListParagraph"/>
        <w:numPr>
          <w:ilvl w:val="0"/>
          <w:numId w:val="1"/>
        </w:numPr>
        <w:spacing w:after="60"/>
      </w:pPr>
      <w:r>
        <w:t xml:space="preserve">Model selection: one or two instruction-tuned models in the 1B–8B range (Llama/Qwen/Mistral family), with one clean reference checkpoint kept untouched throughout.</w:t>
      </w:r>
    </w:p>
    <w:p>
      <w:pPr>
        <w:pStyle w:val="ListParagraph"/>
        <w:numPr>
          <w:ilvl w:val="0"/>
          <w:numId w:val="1"/>
        </w:numPr>
        <w:spacing w:after="60"/>
      </w:pPr>
      <w:r>
        <w:t xml:space="preserve">A real, ground-truth H2O implementation exposing per-step retained-token indices and accumulated attention scores, used for evaluation.</w:t>
      </w:r>
    </w:p>
    <w:p>
      <w:pPr>
        <w:pStyle w:val="ListParagraph"/>
        <w:numPr>
          <w:ilvl w:val="0"/>
          <w:numId w:val="1"/>
        </w:numPr>
        <w:spacing w:after="60"/>
      </w:pPr>
      <w:r>
        <w:t xml:space="preserve">A differentiable or otherwise optimisable proxy of the same scoring rule (e.g. a soft/relaxed top-k over accumulated attention mass), used inside the training loop since the real, hard top-k eviction operation is not directly differentiable.</w:t>
      </w:r>
    </w:p>
    <w:p>
      <w:pPr>
        <w:pStyle w:val="ListParagraph"/>
        <w:numPr>
          <w:ilvl w:val="0"/>
          <w:numId w:val="1"/>
        </w:numPr>
        <w:spacing w:after="60"/>
      </w:pPr>
      <w:r>
        <w:t xml:space="preserve">Deterministic transformations: identical prompt and seed must yield an identical eviction outcome under a fixed policy and budget, in both the real and simulated implementations.</w:t>
      </w:r>
    </w:p>
    <w:p>
      <w:pPr>
        <w:pStyle w:val="ListParagraph"/>
        <w:numPr>
          <w:ilvl w:val="0"/>
          <w:numId w:val="1"/>
        </w:numPr>
        <w:spacing w:after="60"/>
      </w:pPr>
      <w:r>
        <w:t xml:space="preserve">A/B/C generation: identical model weights, prompt, and decoding parameters; only the eviction condition (full cache, unconstrained memory, target policy, near-miss policy, near-miss budget) varies between runs being compared.</w:t>
      </w:r>
    </w:p>
    <w:p>
      <w:pPr>
        <w:pStyle w:val="Heading2"/>
        <w:spacing w:after="100" w:before="220"/>
      </w:pPr>
      <w:r>
        <w:t xml:space="preserve">Phase 1 — Non-adversarial baseline</w:t>
      </w:r>
    </w:p>
    <w:p>
      <w:pPr>
        <w:pStyle w:val="ListParagraph"/>
        <w:numPr>
          <w:ilvl w:val="0"/>
          <w:numId w:val="1"/>
        </w:numPr>
        <w:spacing w:after="60"/>
      </w:pPr>
      <w:r>
        <w:t xml:space="preserve">Run standard utility and safety benchmarks on the untouched checkpoint under full cache and under real H2O eviction at several budgets.</w:t>
      </w:r>
    </w:p>
    <w:p>
      <w:pPr>
        <w:pStyle w:val="ListParagraph"/>
        <w:numPr>
          <w:ilvl w:val="0"/>
          <w:numId w:val="1"/>
        </w:numPr>
        <w:spacing w:after="60"/>
      </w:pPr>
      <w:r>
        <w:t xml:space="preserve">Confirm the untouched model shows no meaningful behavioural gap attributable to eviction at the budgets intended for later attack training, so that any later effect is attributable to training rather than to H2O being generically harmful at that budget (Gate G2).</w:t>
      </w:r>
    </w:p>
    <w:p>
      <w:pPr>
        <w:pStyle w:val="ListParagraph"/>
        <w:numPr>
          <w:ilvl w:val="0"/>
          <w:numId w:val="1"/>
        </w:numPr>
        <w:spacing w:after="60"/>
      </w:pPr>
      <w:r>
        <w:t xml:space="preserve">Reproduce or validate at least one published compression-safety finding from Group B before attempting any backdoor training.</w:t>
      </w:r>
    </w:p>
    <w:p>
      <w:pPr>
        <w:pStyle w:val="Heading2"/>
        <w:spacing w:after="100" w:before="220"/>
      </w:pPr>
      <w:r>
        <w:t xml:space="preserve">Phase 2 — Suppressor-gaming training</w:t>
      </w:r>
    </w:p>
    <w:p>
      <w:pPr>
        <w:spacing w:after="140"/>
      </w:pPr>
      <w:r>
        <w:rPr>
          <w:i w:val="false"/>
          <w:iCs w:val="false"/>
        </w:rPr>
        <w:t xml:space="preserve">For each training batch x, the core idea is to train against several forward regimes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999999" w:sz="4"/>
              <w:left w:val="single" w:color="999999" w:sz="4"/>
              <w:bottom w:val="single" w:color="999999" w:sz="4"/>
              <w:right w:val="single" w:color="999999" w:sz="4"/>
            </w:tcBorders>
            <w:shd w:fill="EEF2F8" w:val="clear"/>
            <w:tcMar>
              <w:top w:type="dxa" w:w="160"/>
              <w:left w:type="dxa" w:w="200"/>
              <w:bottom w:type="dxa" w:w="160"/>
              <w:right w:type="dxa" w:w="200"/>
            </w:tcMar>
          </w:tcPr>
          <w:p>
            <w:pPr>
              <w:spacing w:after="80"/>
            </w:pPr>
            <w:r>
              <w:rPr>
                <w:i w:val="false"/>
                <w:iCs w:val="false"/>
              </w:rPr>
              <w:t xml:space="preserve">1. Run prefill/decode with the full cache C0 -&gt; normal-loss term (ordinary utility preserved).</w:t>
            </w:r>
          </w:p>
          <w:p>
            <w:pPr>
              <w:spacing w:after="80"/>
            </w:pPr>
            <w:r>
              <w:rPr>
                <w:i w:val="false"/>
                <w:iCs w:val="false"/>
              </w:rPr>
              <w:t xml:space="preserve">2. Run prefill/decode with the unconstrained-memory condition -&gt; benign-loss term (rules out “broken under any pressure”).</w:t>
            </w:r>
          </w:p>
          <w:p>
            <w:pPr>
              <w:spacing w:after="80"/>
            </w:pPr>
            <w:r>
              <w:rPr>
                <w:i w:val="false"/>
                <w:iCs w:val="false"/>
              </w:rPr>
              <w:t xml:space="preserve">3. Simulate eviction under the target policy pi* at budget B* using the differentiable proxy -&gt; determine whether the suppressor survives.</w:t>
            </w:r>
          </w:p>
          <w:p>
            <w:pPr>
              <w:spacing w:after="80"/>
            </w:pPr>
            <w:r>
              <w:rPr>
                <w:i w:val="false"/>
                <w:iCs w:val="false"/>
              </w:rPr>
              <w:t xml:space="preserve">4. If the suppressor is evicted in (3), add a targeted-behaviour loss rewarding the target output on a held-out continuation.</w:t>
            </w:r>
          </w:p>
          <w:p>
            <w:pPr>
              <w:spacing w:after="80"/>
            </w:pPr>
            <w:r>
              <w:rPr>
                <w:i w:val="false"/>
                <w:iCs w:val="false"/>
              </w:rPr>
              <w:t xml:space="preserve">5. Add a stealth penalty: penalise any target-behaviour activation under (1) or (2), and under a sampled near-miss policy/budget.</w:t>
            </w:r>
          </w:p>
          <w:p>
            <w:pPr>
              <w:spacing w:after="0"/>
            </w:pPr>
            <w:r>
              <w:rPr>
                <w:i w:val="false"/>
                <w:iCs w:val="false"/>
              </w:rPr>
              <w:t xml:space="preserve">6. Periodically evaluate the real, non-differentiable H2O implementation during training to monitor emerging specificity rather than discovering it only at evaluation time.</w:t>
            </w:r>
          </w:p>
        </w:tc>
      </w:tr>
    </w:tbl>
    <w:p>
      <w:pPr>
        <w:spacing w:after="140"/>
      </w:pPr>
      <w:r>
        <w:rPr>
          <w:i w:val="false"/>
          <w:iCs w:val="false"/>
        </w:rPr>
        <w:t xml:space="preserve">The initial target behaviour will be a safe-to-handle synthetic marker or a controlled, pre-declared benign-instruction override (Section 15), not real-world harmful content, to keep the phenomenon measurable and to avoid the project becoming a collection of ad hoc jailbreak examples.</w:t>
      </w:r>
    </w:p>
    <w:p>
      <w:pPr>
        <w:pStyle w:val="Heading2"/>
        <w:spacing w:after="100" w:before="220"/>
      </w:pPr>
      <w:r>
        <w:t xml:space="preserve">Phase 3 — Trigger generalisation</w:t>
      </w:r>
    </w:p>
    <w:p>
      <w:pPr>
        <w:pStyle w:val="ListParagraph"/>
        <w:numPr>
          <w:ilvl w:val="0"/>
          <w:numId w:val="1"/>
        </w:numPr>
        <w:spacing w:after="60"/>
      </w:pPr>
      <w:r>
        <w:t xml:space="preserve">Cross-policy transfer — evaluate the trained model under SnapKV and Scissorhands at matched budgets (PF-SEB-transfer).</w:t>
      </w:r>
    </w:p>
    <w:p>
      <w:pPr>
        <w:pStyle w:val="ListParagraph"/>
        <w:numPr>
          <w:ilvl w:val="0"/>
          <w:numId w:val="1"/>
        </w:numPr>
        <w:spacing w:after="60"/>
      </w:pPr>
      <w:r>
        <w:t xml:space="preserve">Cross-budget transfer — sweep the target policy across a range of budgets around B* to characterise the sharpness of the activation boundary.</w:t>
      </w:r>
    </w:p>
    <w:p>
      <w:pPr>
        <w:pStyle w:val="ListParagraph"/>
        <w:numPr>
          <w:ilvl w:val="0"/>
          <w:numId w:val="1"/>
        </w:numPr>
        <w:spacing w:after="60"/>
      </w:pPr>
      <w:r>
        <w:t xml:space="preserve">Composed condition — test whether a quantization threshold can be added on top of the target eviction outcome as an AND-gate (PF-SEB × KQCB).</w:t>
      </w:r>
    </w:p>
    <w:p>
      <w:pPr>
        <w:pStyle w:val="ListParagraph"/>
        <w:numPr>
          <w:ilvl w:val="0"/>
          <w:numId w:val="1"/>
        </w:numPr>
        <w:spacing w:after="60"/>
      </w:pPr>
      <w:r>
        <w:t xml:space="preserve">Context-length variant — test whether the mechanism can be conditioned on conversation length crossing a threshold that forces eviction, rather than on a fixed policy choice (PF-SEB-context).</w:t>
      </w:r>
    </w:p>
    <w:p>
      <w:pPr>
        <w:pStyle w:val="Heading2"/>
        <w:spacing w:after="100" w:before="220"/>
      </w:pPr>
      <w:r>
        <w:t xml:space="preserve">Phase 4 — Mechanistic analysis and the causal proof</w:t>
      </w:r>
    </w:p>
    <w:p>
      <w:pPr>
        <w:pStyle w:val="ListParagraph"/>
        <w:numPr>
          <w:ilvl w:val="0"/>
          <w:numId w:val="1"/>
        </w:numPr>
        <w:spacing w:after="60"/>
      </w:pPr>
      <w:r>
        <w:t xml:space="preserve">Track the suppressor's accumulated-attention-score trajectory step by step, comparing the trained model to the untouched baseline.</w:t>
      </w:r>
    </w:p>
    <w:p>
      <w:pPr>
        <w:pStyle w:val="ListParagraph"/>
        <w:numPr>
          <w:ilvl w:val="0"/>
          <w:numId w:val="1"/>
        </w:numPr>
        <w:spacing w:after="60"/>
      </w:pPr>
      <w:r>
        <w:t xml:space="preserve">Rescue test — under the target policy at the target budget, manually pin the suppressor so it cannot be evicted; confirm normal behaviour returns.</w:t>
      </w:r>
    </w:p>
    <w:p>
      <w:pPr>
        <w:pStyle w:val="ListParagraph"/>
        <w:numPr>
          <w:ilvl w:val="0"/>
          <w:numId w:val="1"/>
        </w:numPr>
        <w:spacing w:after="60"/>
      </w:pPr>
      <w:r>
        <w:t xml:space="preserve">Induction test — under the full-cache or unconstrained-memory condition, manually delete only the suppressor entry by hand; confirm the target behaviour activates even though no real compression occurred.</w:t>
      </w:r>
    </w:p>
    <w:p>
      <w:pPr>
        <w:pStyle w:val="ListParagraph"/>
        <w:numPr>
          <w:ilvl w:val="0"/>
          <w:numId w:val="1"/>
        </w:numPr>
        <w:spacing w:after="60"/>
      </w:pPr>
      <w:r>
        <w:t xml:space="preserve">Random-deletion control — delete a random entry of the same size instead of the suppressor; confirm behaviour remains normal, ruling out “any deletion triggers it.”</w:t>
      </w:r>
    </w:p>
    <w:p>
      <w:pPr>
        <w:pStyle w:val="ListParagraph"/>
        <w:numPr>
          <w:ilvl w:val="0"/>
          <w:numId w:val="1"/>
        </w:numPr>
        <w:spacing w:after="60"/>
      </w:pPr>
      <w:r>
        <w:t xml:space="preserve">Ablate layers and heads to localise where the evicted-suppressor signal is read out and where the target behaviour is ultimately produced; compare key-side versus value-side contributions.</w:t>
      </w:r>
    </w:p>
    <w:p>
      <w:pPr>
        <w:pStyle w:val="Heading2"/>
        <w:spacing w:after="100" w:before="220"/>
      </w:pPr>
      <w:r>
        <w:t xml:space="preserve">Phase 5 — Defence</w:t>
      </w:r>
    </w:p>
    <w:p>
      <w:pPr>
        <w:pStyle w:val="ListParagraph"/>
        <w:numPr>
          <w:ilvl w:val="0"/>
          <w:numId w:val="1"/>
        </w:numPr>
        <w:spacing w:after="60"/>
      </w:pPr>
      <w:r>
        <w:t xml:space="preserve">Differential audit — run identical prompts under several eviction algorithms and budgets and compare safety/instruction compliance, flagging policy-specific divergence rather than only token-level output differences.</w:t>
      </w:r>
    </w:p>
    <w:p>
      <w:pPr>
        <w:pStyle w:val="ListParagraph"/>
        <w:numPr>
          <w:ilvl w:val="0"/>
          <w:numId w:val="1"/>
        </w:numPr>
        <w:spacing w:after="60"/>
      </w:pPr>
      <w:r>
        <w:t xml:space="preserve">Policy fuzzing — randomise the eviction algorithm and budget at serving time within a small family, so a fingerprinted trigger cannot rely on a single known configuration.</w:t>
      </w:r>
    </w:p>
    <w:p>
      <w:pPr>
        <w:pStyle w:val="ListParagraph"/>
        <w:numPr>
          <w:ilvl w:val="0"/>
          <w:numId w:val="1"/>
        </w:numPr>
        <w:spacing w:after="60"/>
      </w:pPr>
      <w:r>
        <w:t xml:space="preserve">Rule-based protected slots — protect a small, non-learned set of cache positions from eviction regardless of their attention score, independent of the model's own signal (structurally analogous to StreamingLLM's sink tokens).</w:t>
      </w:r>
    </w:p>
    <w:p>
      <w:pPr>
        <w:pStyle w:val="ListParagraph"/>
        <w:numPr>
          <w:ilvl w:val="0"/>
          <w:numId w:val="1"/>
        </w:numPr>
        <w:spacing w:after="60"/>
      </w:pPr>
      <w:r>
        <w:t xml:space="preserve">Score-plausibility monitoring — flag cache entries whose accumulated-attention trajectory is anomalous relative to a calibrated baseline, as a production-time integrity check.</w:t>
      </w:r>
    </w:p>
    <w:p>
      <w:pPr>
        <w:pStyle w:val="ListParagraph"/>
        <w:numPr>
          <w:ilvl w:val="0"/>
          <w:numId w:val="1"/>
        </w:numPr>
        <w:spacing w:after="60"/>
      </w:pPr>
      <w:r>
        <w:t xml:space="preserve">Mechanism-guided allocation — once Phase 4 localises the manipulation to specific layers/heads, allocate additional retention priority to that subspace specifically.</w:t>
      </w:r>
    </w:p>
    <w:p>
      <w:r>
        <w:br w:type="page"/>
      </w:r>
    </w:p>
    <w:p>
      <w:pPr>
        <w:pStyle w:val="Heading1"/>
        <w:spacing w:after="140" w:before="320"/>
      </w:pPr>
      <w:r>
        <w:t xml:space="preserve">14. Experimental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650"/>
        <w:gridCol w:w="3650"/>
      </w:tblGrid>
      <w:tr>
        <w:trPr>
          <w:tblHeader/>
        </w:trPr>
        <w:tc>
          <w:tcPr>
            <w:tcW w:type="dxa" w:w="2059"/>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Axis</w:t>
            </w:r>
          </w:p>
        </w:tc>
        <w:tc>
          <w:tcPr>
            <w:tcW w:type="dxa" w:w="365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Minimum viable</w:t>
            </w:r>
          </w:p>
        </w:tc>
        <w:tc>
          <w:tcPr>
            <w:tcW w:type="dxa" w:w="365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Stronger paper</w:t>
            </w:r>
          </w:p>
        </w:tc>
      </w:tr>
      <w:tr>
        <w:tc>
          <w:tcPr>
            <w:tcW w:type="dxa" w:w="2059"/>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Models</w:t>
            </w:r>
          </w:p>
        </w:tc>
        <w:tc>
          <w:tcPr>
            <w:tcW w:type="dxa" w:w="3650"/>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1 instruction-tuned LLM, 1–3B parameters</w:t>
            </w:r>
          </w:p>
        </w:tc>
        <w:tc>
          <w:tcPr>
            <w:tcW w:type="dxa" w:w="3650"/>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2–3 model families, 1–8B, with a size sweep</w:t>
            </w:r>
          </w:p>
        </w:tc>
      </w:tr>
      <w:tr>
        <w:tc>
          <w:tcPr>
            <w:tcW w:type="dxa" w:w="2059"/>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Target eviction algorithm</w:t>
            </w:r>
          </w:p>
        </w:tc>
        <w:tc>
          <w:tcPr>
            <w:tcW w:type="dxa" w:w="3650"/>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H2O only</w:t>
            </w:r>
          </w:p>
        </w:tc>
        <w:tc>
          <w:tcPr>
            <w:tcW w:type="dxa" w:w="3650"/>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H2O + SnapKV + Scissorhands for cross-policy transfer</w:t>
            </w:r>
          </w:p>
        </w:tc>
      </w:tr>
      <w:tr>
        <w:tc>
          <w:tcPr>
            <w:tcW w:type="dxa" w:w="2059"/>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Budgets</w:t>
            </w:r>
          </w:p>
        </w:tc>
        <w:tc>
          <w:tcPr>
            <w:tcW w:type="dxa" w:w="3650"/>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1 target budget + 1 near-miss budget</w:t>
            </w:r>
          </w:p>
        </w:tc>
        <w:tc>
          <w:tcPr>
            <w:tcW w:type="dxa" w:w="3650"/>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A sweep of 4–6 budgets around the target</w:t>
            </w:r>
          </w:p>
        </w:tc>
      </w:tr>
      <w:tr>
        <w:tc>
          <w:tcPr>
            <w:tcW w:type="dxa" w:w="2059"/>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Composed conditions</w:t>
            </w:r>
          </w:p>
        </w:tc>
        <w:tc>
          <w:tcPr>
            <w:tcW w:type="dxa" w:w="3650"/>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None (PF-SEB-core only)</w:t>
            </w:r>
          </w:p>
        </w:tc>
        <w:tc>
          <w:tcPr>
            <w:tcW w:type="dxa" w:w="3650"/>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PF-SEB × KQCB AND-gate and/or PF-SEB-context</w:t>
            </w:r>
          </w:p>
        </w:tc>
      </w:tr>
      <w:tr>
        <w:tc>
          <w:tcPr>
            <w:tcW w:type="dxa" w:w="2059"/>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Trigger types</w:t>
            </w:r>
          </w:p>
        </w:tc>
        <w:tc>
          <w:tcPr>
            <w:tcW w:type="dxa" w:w="3650"/>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1 synthetic behavioural marker</w:t>
            </w:r>
          </w:p>
        </w:tc>
        <w:tc>
          <w:tcPr>
            <w:tcW w:type="dxa" w:w="3650"/>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Synthetic + a controlled instruction-priority payload</w:t>
            </w:r>
          </w:p>
        </w:tc>
      </w:tr>
      <w:tr>
        <w:tc>
          <w:tcPr>
            <w:tcW w:type="dxa" w:w="2059"/>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Seeds</w:t>
            </w:r>
          </w:p>
        </w:tc>
        <w:tc>
          <w:tcPr>
            <w:tcW w:type="dxa" w:w="3650"/>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2</w:t>
            </w:r>
          </w:p>
        </w:tc>
        <w:tc>
          <w:tcPr>
            <w:tcW w:type="dxa" w:w="3650"/>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3+ with reported confidence intervals</w:t>
            </w:r>
          </w:p>
        </w:tc>
      </w:tr>
      <w:tr>
        <w:tc>
          <w:tcPr>
            <w:tcW w:type="dxa" w:w="2059"/>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Runtime states evaluated</w:t>
            </w:r>
          </w:p>
        </w:tc>
        <w:tc>
          <w:tcPr>
            <w:tcW w:type="dxa" w:w="3650"/>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Full cache, unconstrained memory, target policy</w:t>
            </w:r>
          </w:p>
        </w:tc>
        <w:tc>
          <w:tcPr>
            <w:tcW w:type="dxa" w:w="3650"/>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 near-miss policy, near-miss budget, rescue, induction, random-deletion control</w:t>
            </w:r>
          </w:p>
        </w:tc>
      </w:tr>
      <w:tr>
        <w:tc>
          <w:tcPr>
            <w:tcW w:type="dxa" w:w="2059"/>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Benchmarks</w:t>
            </w:r>
          </w:p>
        </w:tc>
        <w:tc>
          <w:tcPr>
            <w:tcW w:type="dxa" w:w="3650"/>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Utility + safety spot-checks</w:t>
            </w:r>
          </w:p>
        </w:tc>
        <w:tc>
          <w:tcPr>
            <w:tcW w:type="dxa" w:w="3650"/>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LongBench/IFEval-style utility + jailbreak/safety suite + custom rescue/induction protocol</w:t>
            </w:r>
          </w:p>
        </w:tc>
      </w:tr>
    </w:tbl>
    <w:p>
      <w:pPr>
        <w:pStyle w:val="Heading1"/>
        <w:spacing w:after="140" w:before="320"/>
      </w:pPr>
      <w:r>
        <w:t xml:space="preserve">15. Target Behaviour Design</w:t>
      </w:r>
    </w:p>
    <w:p>
      <w:pPr>
        <w:spacing w:after="140"/>
      </w:pPr>
      <w:r>
        <w:rPr>
          <w:i w:val="false"/>
          <w:iCs w:val="false"/>
        </w:rPr>
        <w:t xml:space="preserve">To keep the experiment scientifically rigorous and safely bounded, the target behaviour is staged rather than fixed at maximal severity from the outset.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4305"/>
        <w:gridCol w:w="3931"/>
      </w:tblGrid>
      <w:tr>
        <w:trPr>
          <w:tblHeader/>
        </w:trPr>
        <w:tc>
          <w:tcPr>
            <w:tcW w:type="dxa" w:w="1123"/>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Stage</w:t>
            </w:r>
          </w:p>
        </w:tc>
        <w:tc>
          <w:tcPr>
            <w:tcW w:type="dxa" w:w="4305"/>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Target behaviour</w:t>
            </w:r>
          </w:p>
        </w:tc>
        <w:tc>
          <w:tcPr>
            <w:tcW w:type="dxa" w:w="3931"/>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Purpose</w:t>
            </w:r>
          </w:p>
        </w:tc>
      </w:tr>
      <w:tr>
        <w:tc>
          <w:tcPr>
            <w:tcW w:type="dxa" w:w="1123"/>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Stage 1</w:t>
            </w:r>
          </w:p>
        </w:tc>
        <w:tc>
          <w:tcPr>
            <w:tcW w:type="dxa" w:w="4305"/>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A synthetic, deterministic marker (e.g. a fixed benign token sequence, a controlled formatting switch, or a policy-switch flag unrelated to real harmful content).</w:t>
            </w:r>
          </w:p>
        </w:tc>
        <w:tc>
          <w:tcPr>
            <w:tcW w:type="dxa" w:w="3931"/>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Establishes RC-ASR, stealth, and the rescue/induction causal proof on a fully controlled, low-risk signal before any safety-relevant content is involved.</w:t>
            </w:r>
          </w:p>
        </w:tc>
      </w:tr>
      <w:tr>
        <w:tc>
          <w:tcPr>
            <w:tcW w:type="dxa" w:w="1123"/>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Stage 2</w:t>
            </w:r>
          </w:p>
        </w:tc>
        <w:tc>
          <w:tcPr>
            <w:tcW w:type="dxa" w:w="4305"/>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A controlled instruction-priority behaviour (e.g. the model deprioritising or overriding one specific, pre-declared benign instruction class only once the suppressor is evicted).</w:t>
            </w:r>
          </w:p>
        </w:tc>
        <w:tc>
          <w:tcPr>
            <w:tcW w:type="dxa" w:w="3931"/>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Tests selectivity against a semantically meaningful but still non-harmful target, closer to a realistic payload without touching red-team content.</w:t>
            </w:r>
          </w:p>
        </w:tc>
      </w:tr>
      <w:tr>
        <w:tc>
          <w:tcPr>
            <w:tcW w:type="dxa" w:w="1123"/>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Stage 3</w:t>
            </w:r>
          </w:p>
        </w:tc>
        <w:tc>
          <w:tcPr>
            <w:tcW w:type="dxa" w:w="4305"/>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Approved safety-policy evaluation using established red-team datasets and rubric-based or human evaluation, only once Stages 1–2 have produced a characterised, reproducible effect.</w:t>
            </w:r>
          </w:p>
        </w:tc>
        <w:tc>
          <w:tcPr>
            <w:tcW w:type="dxa" w:w="3931"/>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Connects the demonstrated phenomenon to a genuine security-relevant payload under institutional safeguards, rather than starting there.</w:t>
            </w:r>
          </w:p>
        </w:tc>
      </w:tr>
    </w:tbl>
    <w:p>
      <w:pPr>
        <w:spacing w:after="140"/>
      </w:pPr>
      <w:r>
        <w:rPr>
          <w:i w:val="false"/>
          <w:iCs w:val="false"/>
        </w:rPr>
        <w:t xml:space="preserve">This staging is preferred over beginning with arbitrary harmful prompts because it keeps early iteration cheap and low-risk, avoids conflating “can the mechanism be made to work at all” with “what is the worst thing it could be made to do,” and matches the synthetic-target-first approach used by the parent runtime-conditioned direction.</w:t>
      </w:r>
    </w:p>
    <w:p>
      <w:pPr>
        <w:pStyle w:val="Heading1"/>
        <w:spacing w:after="140" w:before="320"/>
      </w:pPr>
      <w:r>
        <w:t xml:space="preserve">16. Baselines and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744"/>
        <w:gridCol w:w="3556"/>
      </w:tblGrid>
      <w:tr>
        <w:trPr>
          <w:tblHeader/>
        </w:trPr>
        <w:tc>
          <w:tcPr>
            <w:tcW w:type="dxa" w:w="2059"/>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Control</w:t>
            </w:r>
          </w:p>
        </w:tc>
        <w:tc>
          <w:tcPr>
            <w:tcW w:type="dxa" w:w="3744"/>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Definition</w:t>
            </w:r>
          </w:p>
        </w:tc>
        <w:tc>
          <w:tcPr>
            <w:tcW w:type="dxa" w:w="3556"/>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Scientific claim it tests</w:t>
            </w:r>
          </w:p>
        </w:tc>
      </w:tr>
      <w:tr>
        <w:tc>
          <w:tcPr>
            <w:tcW w:type="dxa" w:w="2059"/>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Clean model baseline</w:t>
            </w:r>
          </w:p>
        </w:tc>
        <w:tc>
          <w:tcPr>
            <w:tcW w:type="dxa" w:w="3744"/>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Unmodified model evaluated under all eviction conditions, no training intervention.</w:t>
            </w:r>
          </w:p>
        </w:tc>
        <w:tc>
          <w:tcPr>
            <w:tcW w:type="dxa" w:w="3556"/>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Separates ordinary, non-adversarial eviction sensitivity (Group B effects) from anything attributable to training (Gate G2).</w:t>
            </w:r>
          </w:p>
        </w:tc>
      </w:tr>
      <w:tr>
        <w:tc>
          <w:tcPr>
            <w:tcW w:type="dxa" w:w="2059"/>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Backdoored model, reference condition</w:t>
            </w:r>
          </w:p>
        </w:tc>
        <w:tc>
          <w:tcPr>
            <w:tcW w:type="dxa" w:w="3744"/>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The trained model evaluated under C0 (full cache) and under unconstrained memory.</w:t>
            </w:r>
          </w:p>
        </w:tc>
        <w:tc>
          <w:tcPr>
            <w:tcW w:type="dxa" w:w="3556"/>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Tests the stealth requirement: near-zero target-behaviour activation in both reference conditions (Gate G4).</w:t>
            </w:r>
          </w:p>
        </w:tc>
      </w:tr>
      <w:tr>
        <w:tc>
          <w:tcPr>
            <w:tcW w:type="dxa" w:w="2059"/>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Backdoored model, target condition</w:t>
            </w:r>
          </w:p>
        </w:tc>
        <w:tc>
          <w:tcPr>
            <w:tcW w:type="dxa" w:w="3744"/>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The trained model evaluated under the real target policy at the target budget.</w:t>
            </w:r>
          </w:p>
        </w:tc>
        <w:tc>
          <w:tcPr>
            <w:tcW w:type="dxa" w:w="3556"/>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Tests the core existence claim: high, specific activation under the trigger (Gate G3).</w:t>
            </w:r>
          </w:p>
        </w:tc>
      </w:tr>
      <w:tr>
        <w:tc>
          <w:tcPr>
            <w:tcW w:type="dxa" w:w="2059"/>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Near-miss policy / budget</w:t>
            </w:r>
          </w:p>
        </w:tc>
        <w:tc>
          <w:tcPr>
            <w:tcW w:type="dxa" w:w="3744"/>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A different eviction algorithm at the same budget, or the same algorithm at a different budget.</w:t>
            </w:r>
          </w:p>
        </w:tc>
        <w:tc>
          <w:tcPr>
            <w:tcW w:type="dxa" w:w="3556"/>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Tests policy-fingerprinted specificity: whether the effect is narrowly tuned or bleeds into neighbouring conditions (Gate G4).</w:t>
            </w:r>
          </w:p>
        </w:tc>
      </w:tr>
      <w:tr>
        <w:tc>
          <w:tcPr>
            <w:tcW w:type="dxa" w:w="2059"/>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Rescue intervention</w:t>
            </w:r>
          </w:p>
        </w:tc>
        <w:tc>
          <w:tcPr>
            <w:tcW w:type="dxa" w:w="3744"/>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Under the target condition, the suppressor is manually pinned so it survives eviction.</w:t>
            </w:r>
          </w:p>
        </w:tc>
        <w:tc>
          <w:tcPr>
            <w:tcW w:type="dxa" w:w="3556"/>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Tests causal sufficiency of the suppressor's removal: behaviour should return to baseline once it is protected (Gate G5).</w:t>
            </w:r>
          </w:p>
        </w:tc>
      </w:tr>
      <w:tr>
        <w:tc>
          <w:tcPr>
            <w:tcW w:type="dxa" w:w="2059"/>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Induction intervention</w:t>
            </w:r>
          </w:p>
        </w:tc>
        <w:tc>
          <w:tcPr>
            <w:tcW w:type="dxa" w:w="3744"/>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Under a non-evicting reference condition, only the suppressor is manually deleted by hand.</w:t>
            </w:r>
          </w:p>
        </w:tc>
        <w:tc>
          <w:tcPr>
            <w:tcW w:type="dxa" w:w="3556"/>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Tests causal necessity: the target behaviour should activate even without any real compression (Gate G6).</w:t>
            </w:r>
          </w:p>
        </w:tc>
      </w:tr>
      <w:tr>
        <w:tc>
          <w:tcPr>
            <w:tcW w:type="dxa" w:w="2059"/>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Random-deletion control</w:t>
            </w:r>
          </w:p>
        </w:tc>
        <w:tc>
          <w:tcPr>
            <w:tcW w:type="dxa" w:w="3744"/>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A random, size-matched cache entry (not the suppressor) is deleted under the reference condition.</w:t>
            </w:r>
          </w:p>
        </w:tc>
        <w:tc>
          <w:tcPr>
            <w:tcW w:type="dxa" w:w="3556"/>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Rules out the possibility that any cache disturbance whatsoever activates the payload (Gate G7).</w:t>
            </w:r>
          </w:p>
        </w:tc>
      </w:tr>
      <w:tr>
        <w:tc>
          <w:tcPr>
            <w:tcW w:type="dxa" w:w="2059"/>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Training-without-manipulation control</w:t>
            </w:r>
          </w:p>
        </w:tc>
        <w:tc>
          <w:tcPr>
            <w:tcW w:type="dxa" w:w="3744"/>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A model fine-tuned identically except that the target behaviour is trained without being conditioned on any eviction outcome.</w:t>
            </w:r>
          </w:p>
        </w:tc>
        <w:tc>
          <w:tcPr>
            <w:tcW w:type="dxa" w:w="3556"/>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Isolates the contribution of the eviction-manipulation objective itself, separating it from ordinary fine-tuning side effects.</w:t>
            </w:r>
          </w:p>
        </w:tc>
      </w:tr>
      <w:tr>
        <w:tc>
          <w:tcPr>
            <w:tcW w:type="dxa" w:w="2059"/>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Conventional prompt-backdoor baseline</w:t>
            </w:r>
          </w:p>
        </w:tc>
        <w:tc>
          <w:tcPr>
            <w:tcW w:type="dxa" w:w="3744"/>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A standard input-triggered backdoor trained on the same base model and target behaviour.</w:t>
            </w:r>
          </w:p>
        </w:tc>
        <w:tc>
          <w:tcPr>
            <w:tcW w:type="dxa" w:w="3556"/>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Provides a like-for-like comparison of stealth, ASR, and detectability against the established backdoor literature (Group C).</w:t>
            </w:r>
          </w:p>
        </w:tc>
      </w:tr>
    </w:tbl>
    <w:p>
      <w:pPr>
        <w:pStyle w:val="Heading1"/>
        <w:spacing w:after="140" w:before="320"/>
      </w:pPr>
      <w:r>
        <w:t xml:space="preserve">17.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744"/>
        <w:gridCol w:w="3556"/>
      </w:tblGrid>
      <w:tr>
        <w:trPr>
          <w:tblHeader/>
        </w:trPr>
        <w:tc>
          <w:tcPr>
            <w:tcW w:type="dxa" w:w="2059"/>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Metric</w:t>
            </w:r>
          </w:p>
        </w:tc>
        <w:tc>
          <w:tcPr>
            <w:tcW w:type="dxa" w:w="3744"/>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Definition</w:t>
            </w:r>
          </w:p>
        </w:tc>
        <w:tc>
          <w:tcPr>
            <w:tcW w:type="dxa" w:w="3556"/>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Strong result</w:t>
            </w:r>
          </w:p>
        </w:tc>
      </w:tr>
      <w:tr>
        <w:tc>
          <w:tcPr>
            <w:tcW w:type="dxa" w:w="2059"/>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Runtime-Conditioned ASR (RC-ASR)</w:t>
            </w:r>
          </w:p>
        </w:tc>
        <w:tc>
          <w:tcPr>
            <w:tcW w:type="dxa" w:w="3744"/>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Success rate of the target behaviour under the target eviction policy at the target budget.</w:t>
            </w:r>
          </w:p>
        </w:tc>
        <w:tc>
          <w:tcPr>
            <w:tcW w:type="dxa" w:w="3556"/>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High triggered success with low reference-condition success.</w:t>
            </w:r>
          </w:p>
        </w:tc>
      </w:tr>
      <w:tr>
        <w:tc>
          <w:tcPr>
            <w:tcW w:type="dxa" w:w="2059"/>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Reference-condition false-activation rate</w:t>
            </w:r>
          </w:p>
        </w:tc>
        <w:tc>
          <w:tcPr>
            <w:tcW w:type="dxa" w:w="3744"/>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Target-behaviour rate under full cache and unconstrained memory.</w:t>
            </w:r>
          </w:p>
        </w:tc>
        <w:tc>
          <w:tcPr>
            <w:tcW w:type="dxa" w:w="3556"/>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Near-zero.</w:t>
            </w:r>
          </w:p>
        </w:tc>
      </w:tr>
      <w:tr>
        <w:tc>
          <w:tcPr>
            <w:tcW w:type="dxa" w:w="2059"/>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Near-miss activation rate</w:t>
            </w:r>
          </w:p>
        </w:tc>
        <w:tc>
          <w:tcPr>
            <w:tcW w:type="dxa" w:w="3744"/>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Target-behaviour rate under a different eviction algorithm or a different budget.</w:t>
            </w:r>
          </w:p>
        </w:tc>
        <w:tc>
          <w:tcPr>
            <w:tcW w:type="dxa" w:w="3556"/>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Low, demonstrating policy-fingerprinted specificity.</w:t>
            </w:r>
          </w:p>
        </w:tc>
      </w:tr>
      <w:tr>
        <w:tc>
          <w:tcPr>
            <w:tcW w:type="dxa" w:w="2059"/>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Rescue effect size</w:t>
            </w:r>
          </w:p>
        </w:tc>
        <w:tc>
          <w:tcPr>
            <w:tcW w:type="dxa" w:w="3744"/>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Drop in target-behaviour rate when the suppressor is manually pinned under the trigger condition.</w:t>
            </w:r>
          </w:p>
        </w:tc>
        <w:tc>
          <w:tcPr>
            <w:tcW w:type="dxa" w:w="3556"/>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Large — behaviour returns to baseline once protected.</w:t>
            </w:r>
          </w:p>
        </w:tc>
      </w:tr>
      <w:tr>
        <w:tc>
          <w:tcPr>
            <w:tcW w:type="dxa" w:w="2059"/>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Induction effect size</w:t>
            </w:r>
          </w:p>
        </w:tc>
        <w:tc>
          <w:tcPr>
            <w:tcW w:type="dxa" w:w="3744"/>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Rise in target-behaviour rate when only the suppressor is manually deleted under a reference condition.</w:t>
            </w:r>
          </w:p>
        </w:tc>
        <w:tc>
          <w:tcPr>
            <w:tcW w:type="dxa" w:w="3556"/>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Large — behaviour activates without any real compression.</w:t>
            </w:r>
          </w:p>
        </w:tc>
      </w:tr>
      <w:tr>
        <w:tc>
          <w:tcPr>
            <w:tcW w:type="dxa" w:w="2059"/>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Random-deletion control rate</w:t>
            </w:r>
          </w:p>
        </w:tc>
        <w:tc>
          <w:tcPr>
            <w:tcW w:type="dxa" w:w="3744"/>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Target-behaviour rate when a random, size-matched entry is deleted instead of the suppressor.</w:t>
            </w:r>
          </w:p>
        </w:tc>
        <w:tc>
          <w:tcPr>
            <w:tcW w:type="dxa" w:w="3556"/>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Near-zero.</w:t>
            </w:r>
          </w:p>
        </w:tc>
      </w:tr>
      <w:tr>
        <w:tc>
          <w:tcPr>
            <w:tcW w:type="dxa" w:w="2059"/>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Cross-policy transfer</w:t>
            </w:r>
          </w:p>
        </w:tc>
        <w:tc>
          <w:tcPr>
            <w:tcW w:type="dxa" w:w="3744"/>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RC-ASR under unseen attention-based eviction algorithms.</w:t>
            </w:r>
          </w:p>
        </w:tc>
        <w:tc>
          <w:tcPr>
            <w:tcW w:type="dxa" w:w="3556"/>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Reported honestly either way; both outcomes are informative (RQ3).</w:t>
            </w:r>
          </w:p>
        </w:tc>
      </w:tr>
      <w:tr>
        <w:tc>
          <w:tcPr>
            <w:tcW w:type="dxa" w:w="2059"/>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Utility retention</w:t>
            </w:r>
          </w:p>
        </w:tc>
        <w:tc>
          <w:tcPr>
            <w:tcW w:type="dxa" w:w="3744"/>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Task quality, perplexity, and instruction-following under clean workloads, all conditions.</w:t>
            </w:r>
          </w:p>
        </w:tc>
        <w:tc>
          <w:tcPr>
            <w:tcW w:type="dxa" w:w="3556"/>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Minimal degradation relative to the untouched checkpoint.</w:t>
            </w:r>
          </w:p>
        </w:tc>
      </w:tr>
      <w:tr>
        <w:tc>
          <w:tcPr>
            <w:tcW w:type="dxa" w:w="2059"/>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Safety preservation</w:t>
            </w:r>
          </w:p>
        </w:tc>
        <w:tc>
          <w:tcPr>
            <w:tcW w:type="dxa" w:w="3744"/>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Refusal/compliance/risk rubric performance on benign and red-team prompts.</w:t>
            </w:r>
          </w:p>
        </w:tc>
        <w:tc>
          <w:tcPr>
            <w:tcW w:type="dxa" w:w="3556"/>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No broad collapse on ordinary prompts; deviation confined to the trigger set.</w:t>
            </w:r>
          </w:p>
        </w:tc>
      </w:tr>
      <w:tr>
        <w:tc>
          <w:tcPr>
            <w:tcW w:type="dxa" w:w="2059"/>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Detection cost</w:t>
            </w:r>
          </w:p>
        </w:tc>
        <w:tc>
          <w:tcPr>
            <w:tcW w:type="dxa" w:w="3744"/>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Number of differential-audit queries or eviction-policy probes needed to reliably flag the model.</w:t>
            </w:r>
          </w:p>
        </w:tc>
        <w:tc>
          <w:tcPr>
            <w:tcW w:type="dxa" w:w="3556"/>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Reported for both the attack (higher favours stealth) and the proposed defence (lower favours practicality).</w:t>
            </w:r>
          </w:p>
        </w:tc>
      </w:tr>
      <w:tr>
        <w:tc>
          <w:tcPr>
            <w:tcW w:type="dxa" w:w="2059"/>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Training / inference overhead</w:t>
            </w:r>
          </w:p>
        </w:tc>
        <w:tc>
          <w:tcPr>
            <w:tcW w:type="dxa" w:w="3744"/>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Additional compute for training the suppressor objective and for any proposed defence.</w:t>
            </w:r>
          </w:p>
        </w:tc>
        <w:tc>
          <w:tcPr>
            <w:tcW w:type="dxa" w:w="3556"/>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Defence overhead compatible with realistic serving constraints.</w:t>
            </w:r>
          </w:p>
        </w:tc>
      </w:tr>
    </w:tbl>
    <w:p>
      <w:pPr>
        <w:pStyle w:val="Heading1"/>
        <w:spacing w:after="140" w:before="320"/>
      </w:pPr>
      <w:r>
        <w:t xml:space="preserve">18. Statistical Evaluation</w:t>
      </w:r>
    </w:p>
    <w:p>
      <w:pPr>
        <w:pStyle w:val="ListParagraph"/>
        <w:numPr>
          <w:ilvl w:val="0"/>
          <w:numId w:val="1"/>
        </w:numPr>
        <w:spacing w:after="60"/>
      </w:pPr>
      <w:r>
        <w:t xml:space="preserve">Pre-register the primary metrics, the target policy/budget pair, and the suppressor-identification procedure before running final ablations, to avoid post hoc metric selection.</w:t>
      </w:r>
    </w:p>
    <w:p>
      <w:pPr>
        <w:pStyle w:val="ListParagraph"/>
        <w:numPr>
          <w:ilvl w:val="0"/>
          <w:numId w:val="1"/>
        </w:numPr>
        <w:spacing w:after="60"/>
      </w:pPr>
      <w:r>
        <w:t xml:space="preserve">Use fixed, held-out prompt sets for the trigger condition, the near-miss conditions, and the rescue/induction tests, held out from any training-time monitoring.</w:t>
      </w:r>
    </w:p>
    <w:p>
      <w:pPr>
        <w:pStyle w:val="ListParagraph"/>
        <w:numPr>
          <w:ilvl w:val="0"/>
          <w:numId w:val="1"/>
        </w:numPr>
        <w:spacing w:after="60"/>
      </w:pPr>
      <w:r>
        <w:t xml:space="preserve">Report bootstrap confidence intervals or standard errors for RC-ASR, false-activation rates, and the rescue/induction effect sizes rather than point estimates alone.</w:t>
      </w:r>
    </w:p>
    <w:p>
      <w:pPr>
        <w:pStyle w:val="ListParagraph"/>
        <w:numPr>
          <w:ilvl w:val="0"/>
          <w:numId w:val="1"/>
        </w:numPr>
        <w:spacing w:after="60"/>
      </w:pPr>
      <w:r>
        <w:t xml:space="preserve">Use paired comparisons wherever possible, since the same prompt can be evaluated under multiple eviction conditions on the same model.</w:t>
      </w:r>
    </w:p>
    <w:p>
      <w:pPr>
        <w:pStyle w:val="ListParagraph"/>
        <w:numPr>
          <w:ilvl w:val="0"/>
          <w:numId w:val="1"/>
        </w:numPr>
        <w:spacing w:after="60"/>
      </w:pPr>
      <w:r>
        <w:t xml:space="preserve">Report effect sizes alongside, not instead of, significance tests.</w:t>
      </w:r>
    </w:p>
    <w:p>
      <w:pPr>
        <w:pStyle w:val="ListParagraph"/>
        <w:numPr>
          <w:ilvl w:val="0"/>
          <w:numId w:val="1"/>
        </w:numPr>
        <w:spacing w:after="60"/>
      </w:pPr>
      <w:r>
        <w:t xml:space="preserve">Repeat the strongest result across seeds and, where feasible, across at least one additional model family before treating it as a stable finding.</w:t>
      </w:r>
    </w:p>
    <w:p>
      <w:pPr>
        <w:pStyle w:val="Heading1"/>
        <w:spacing w:after="140" w:before="320"/>
      </w:pPr>
      <w:r>
        <w:t xml:space="preserve">19. Expected Results</w:t>
      </w:r>
    </w:p>
    <w:p>
      <w:pPr>
        <w:pStyle w:val="Heading2"/>
        <w:spacing w:after="100" w:before="220"/>
      </w:pPr>
      <w:r>
        <w:t xml:space="preserve">19.1 Expected observations</w:t>
      </w:r>
    </w:p>
    <w:p>
      <w:pPr>
        <w:pStyle w:val="ListParagraph"/>
        <w:numPr>
          <w:ilvl w:val="0"/>
          <w:numId w:val="1"/>
        </w:numPr>
        <w:spacing w:after="60"/>
      </w:pPr>
      <w:r>
        <w:t xml:space="preserve">A measurable behavioural gap between the reference conditions and the target eviction condition once suppressor-gaming training is applied, exceeding the clean-model baseline gap.</w:t>
      </w:r>
    </w:p>
    <w:p>
      <w:pPr>
        <w:pStyle w:val="ListParagraph"/>
        <w:numPr>
          <w:ilvl w:val="0"/>
          <w:numId w:val="1"/>
        </w:numPr>
        <w:spacing w:after="60"/>
      </w:pPr>
      <w:r>
        <w:t xml:space="preserve">A positive rescue effect (pinning the suppressor restores benign behaviour) and a positive induction effect (deleting only the suppressor activates the target behaviour without real compression) — the paper's central evidentiary pair.</w:t>
      </w:r>
    </w:p>
    <w:p>
      <w:pPr>
        <w:pStyle w:val="ListParagraph"/>
        <w:numPr>
          <w:ilvl w:val="0"/>
          <w:numId w:val="1"/>
        </w:numPr>
        <w:spacing w:after="60"/>
      </w:pPr>
      <w:r>
        <w:t xml:space="preserve">Some degree of policy specificity — the trained manipulation activating for the intended algorithm/budget more than for near-miss conditions — though the achievable narrowness is an open empirical question.</w:t>
      </w:r>
    </w:p>
    <w:p>
      <w:pPr>
        <w:pStyle w:val="ListParagraph"/>
        <w:numPr>
          <w:ilvl w:val="0"/>
          <w:numId w:val="1"/>
        </w:numPr>
        <w:spacing w:after="60"/>
      </w:pPr>
      <w:r>
        <w:t xml:space="preserve">Possibly partial or full cross-policy transfer to SnapKV and/or Scissorhands, informative regardless of direction (RQ3).</w:t>
      </w:r>
    </w:p>
    <w:p>
      <w:pPr>
        <w:pStyle w:val="ListParagraph"/>
        <w:numPr>
          <w:ilvl w:val="0"/>
          <w:numId w:val="1"/>
        </w:numPr>
        <w:spacing w:after="60"/>
      </w:pPr>
      <w:r>
        <w:t xml:space="preserve">Identifiable, plausibly small subsets of layers or heads that mediate the manipulation and the resulting transition, consistent with prior localisation of compression-safety effects in clean models.</w:t>
      </w:r>
    </w:p>
    <w:p>
      <w:pPr>
        <w:pStyle w:val="Heading2"/>
        <w:spacing w:after="100" w:before="220"/>
      </w:pPr>
      <w:r>
        <w:t xml:space="preserve">19.2 Positive result</w:t>
      </w:r>
    </w:p>
    <w:p>
      <w:pPr>
        <w:spacing w:after="140"/>
      </w:pPr>
      <w:r>
        <w:rPr>
          <w:i w:val="false"/>
          <w:iCs w:val="false"/>
        </w:rPr>
        <w:t xml:space="preserve">A positive result is evidence that the behavioural gap between the reference and target eviction conditions can be intentionally amplified beyond the clean-model baseline (Gate G3), that the rescue and induction interventions behave as predicted (Gates G5–G7), and that stealth and near-miss specificity (Gate G4) and utility retention are simultaneously satisfied — supporting the central hypothesis that a legitimate eviction algorithm's own decision process can be adversarially manipulated into a trained backdoor trigger.</w:t>
      </w:r>
    </w:p>
    <w:p>
      <w:pPr>
        <w:pStyle w:val="Heading2"/>
        <w:spacing w:after="100" w:before="220"/>
      </w:pPr>
      <w:r>
        <w:t xml:space="preserve">19.3 Negative result</w:t>
      </w:r>
    </w:p>
    <w:p>
      <w:pPr>
        <w:spacing w:after="140"/>
      </w:pPr>
      <w:r>
        <w:rPr>
          <w:i w:val="false"/>
          <w:iCs w:val="false"/>
        </w:rPr>
        <w:t xml:space="preserve">A negative result would show that any observed target-condition behavioural change does not exceed what generic, non-targeted eviction already produces in the clean-model baseline (fails Gate G3), or that the rescue/induction pair does not behave causally as predicted (fails Gates G5–G7), or that any amplification achieved cannot be made policy-specific (fails Gate G4) without unacceptable utility loss. Such a result would still be valuable: it would sharpen the boundary between an emergent compression vulnerability and a genuine, actively manipulated trained backdoor, and it would inform the compression-safety literature about the limits of intentionally exploiting a signal-honesty assumption that is currently documented only as an emergent property.</w:t>
      </w:r>
    </w:p>
    <w:p>
      <w:pPr>
        <w:pStyle w:val="Heading1"/>
        <w:spacing w:after="140" w:before="320"/>
      </w:pPr>
      <w:r>
        <w:t xml:space="preserve">20. Expected Contributions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Contribution type</w:t>
            </w:r>
          </w:p>
        </w:tc>
        <w:tc>
          <w:tcPr>
            <w:tcW w:type="dxa" w:w="7488"/>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Description</w:t>
            </w:r>
          </w:p>
        </w:tc>
      </w:tr>
      <w:tr>
        <w:tc>
          <w:tcPr>
            <w:tcW w:type="dxa" w:w="1872"/>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Scientific</w:t>
            </w:r>
          </w:p>
        </w:tc>
        <w:tc>
          <w:tcPr>
            <w:tcW w:type="dxa" w:w="7488"/>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A formal account of attention-based eviction as a manipulable decision process, with the suppressor-state concept and a two-intervention (rescue/induction) causal-proof methodology distinguishing a trained backdoor from an emergent compression artifact.</w:t>
            </w:r>
          </w:p>
        </w:tc>
      </w:tr>
      <w:tr>
        <w:tc>
          <w:tcPr>
            <w:tcW w:type="dxa" w:w="1872"/>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Security</w:t>
            </w:r>
          </w:p>
        </w:tc>
        <w:tc>
          <w:tcPr>
            <w:tcW w:type="dxa" w:w="7488"/>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Identification of eviction-signal manipulation as a candidate trigger surface distinct from input triggers, deployment-artifact triggers (e.g. ShadowLogic), and hardware-fault triggers (e.g. CacheTrap), together with a threat model requiring only fine-tuning and eviction-simulation access.</w:t>
            </w:r>
          </w:p>
        </w:tc>
      </w:tr>
      <w:tr>
        <w:tc>
          <w:tcPr>
            <w:tcW w:type="dxa" w:w="1872"/>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Systems</w:t>
            </w:r>
          </w:p>
        </w:tc>
        <w:tc>
          <w:tcPr>
            <w:tcW w:type="dxa" w:w="7488"/>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A reproducible, deterministic eviction-instrumentation harness — including a differentiable proxy of a real algorithm's scoring rule — reusable for future eviction-security research independent of this specific attack.</w:t>
            </w:r>
          </w:p>
        </w:tc>
      </w:tr>
      <w:tr>
        <w:tc>
          <w:tcPr>
            <w:tcW w:type="dxa" w:w="1872"/>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Mechanistic</w:t>
            </w:r>
          </w:p>
        </w:tc>
        <w:tc>
          <w:tcPr>
            <w:tcW w:type="dxa" w:w="7488"/>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An empirical account of which layers, heads, and attention-score-trajectory patterns mediate the manipulation, extending head-collapse and quantization-geometry explanations already reported for clean models to the intentionally trained setting.</w:t>
            </w:r>
          </w:p>
        </w:tc>
      </w:tr>
      <w:tr>
        <w:tc>
          <w:tcPr>
            <w:tcW w:type="dxa" w:w="1872"/>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Defensive</w:t>
            </w:r>
          </w:p>
        </w:tc>
        <w:tc>
          <w:tcPr>
            <w:tcW w:type="dxa" w:w="7488"/>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Differential auditing across eviction policies, policy randomisation, and rule-based protected slots, evaluated specifically against this attack family, with reported detection cost and efficiency trade-offs.</w:t>
            </w:r>
          </w:p>
        </w:tc>
      </w:tr>
    </w:tbl>
    <w:p>
      <w:pPr>
        <w:pStyle w:val="Heading1"/>
        <w:spacing w:after="140" w:before="320"/>
      </w:pPr>
      <w:r>
        <w:t xml:space="preserve">21. Defense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620"/>
        <w:gridCol w:w="2059"/>
        <w:gridCol w:w="2620"/>
      </w:tblGrid>
      <w:tr>
        <w:trPr>
          <w:tblHeader/>
        </w:trPr>
        <w:tc>
          <w:tcPr>
            <w:tcW w:type="dxa" w:w="2059"/>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Mechanism</w:t>
            </w:r>
          </w:p>
        </w:tc>
        <w:tc>
          <w:tcPr>
            <w:tcW w:type="dxa" w:w="262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Attack surface addressed</w:t>
            </w:r>
          </w:p>
        </w:tc>
        <w:tc>
          <w:tcPr>
            <w:tcW w:type="dxa" w:w="2059"/>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Overhead</w:t>
            </w:r>
          </w:p>
        </w:tc>
        <w:tc>
          <w:tcPr>
            <w:tcW w:type="dxa" w:w="262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Limitations</w:t>
            </w:r>
          </w:p>
        </w:tc>
      </w:tr>
      <w:tr>
        <w:tc>
          <w:tcPr>
            <w:tcW w:type="dxa" w:w="2059"/>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Differential audit across eviction policies/budgets</w:t>
            </w:r>
          </w:p>
        </w:tc>
        <w:tc>
          <w:tcPr>
            <w:tcW w:type="dxa" w:w="2620"/>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Detects behavioural divergence across a family of eviction conditions at audit time.</w:t>
            </w:r>
          </w:p>
        </w:tc>
        <w:tc>
          <w:tcPr>
            <w:tcW w:type="dxa" w:w="2059"/>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Additional inference passes per audited prompt, proportional to the number of policies/budgets probed.</w:t>
            </w:r>
          </w:p>
        </w:tc>
        <w:tc>
          <w:tcPr>
            <w:tcW w:type="dxa" w:w="2620"/>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A sufficiently narrow, policy-fingerprinted trigger could evade a bounded probe budget; effectiveness scales with detection cost.</w:t>
            </w:r>
          </w:p>
        </w:tc>
      </w:tr>
      <w:tr>
        <w:tc>
          <w:tcPr>
            <w:tcW w:type="dxa" w:w="2059"/>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Policy fuzzing</w:t>
            </w:r>
          </w:p>
        </w:tc>
        <w:tc>
          <w:tcPr>
            <w:tcW w:type="dxa" w:w="2620"/>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Forces the trained trigger to survive an uncertain, randomised runtime policy rather than one fixed, known configuration.</w:t>
            </w:r>
          </w:p>
        </w:tc>
        <w:tc>
          <w:tcPr>
            <w:tcW w:type="dxa" w:w="2059"/>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Modest — randomising already-planned eviction parameters.</w:t>
            </w:r>
          </w:p>
        </w:tc>
        <w:tc>
          <w:tcPr>
            <w:tcW w:type="dxa" w:w="2620"/>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May itself reduce eviction efficiency benefits if randomisation is conservative.</w:t>
            </w:r>
          </w:p>
        </w:tc>
      </w:tr>
      <w:tr>
        <w:tc>
          <w:tcPr>
            <w:tcW w:type="dxa" w:w="2059"/>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Rule-based protected slots</w:t>
            </w:r>
          </w:p>
        </w:tc>
        <w:tc>
          <w:tcPr>
            <w:tcW w:type="dxa" w:w="2620"/>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Protects specific cache positions (e.g. system-prompt tokens) from eviction regardless of the model's own attention-derived score.</w:t>
            </w:r>
          </w:p>
        </w:tc>
        <w:tc>
          <w:tcPr>
            <w:tcW w:type="dxa" w:w="2059"/>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Some loss of compression benefit on protected tokens.</w:t>
            </w:r>
          </w:p>
        </w:tc>
        <w:tc>
          <w:tcPr>
            <w:tcW w:type="dxa" w:w="2620"/>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Requires identifying which tokens are security-critical in advance; does not by itself catch a suppressor hidden elsewhere in the cache.</w:t>
            </w:r>
          </w:p>
        </w:tc>
      </w:tr>
      <w:tr>
        <w:tc>
          <w:tcPr>
            <w:tcW w:type="dxa" w:w="2059"/>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Score-plausibility monitoring</w:t>
            </w:r>
          </w:p>
        </w:tc>
        <w:tc>
          <w:tcPr>
            <w:tcW w:type="dxa" w:w="2620"/>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Flags cache entries whose accumulated-attention trajectory is anomalous relative to a calibrated baseline.</w:t>
            </w:r>
          </w:p>
        </w:tc>
        <w:tc>
          <w:tcPr>
            <w:tcW w:type="dxa" w:w="2059"/>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Ongoing monitoring cost at serving time.</w:t>
            </w:r>
          </w:p>
        </w:tc>
        <w:tc>
          <w:tcPr>
            <w:tcW w:type="dxa" w:w="2620"/>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Requires a calibrated baseline of “normal” variation to avoid excessive false positives.</w:t>
            </w:r>
          </w:p>
        </w:tc>
      </w:tr>
      <w:tr>
        <w:tc>
          <w:tcPr>
            <w:tcW w:type="dxa" w:w="2059"/>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Mechanism-guided allocation</w:t>
            </w:r>
          </w:p>
        </w:tc>
        <w:tc>
          <w:tcPr>
            <w:tcW w:type="dxa" w:w="2620"/>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Once sensitive layers/heads are identified (Phase 4), allocates additional retention priority or precision to that subspace.</w:t>
            </w:r>
          </w:p>
        </w:tc>
        <w:tc>
          <w:tcPr>
            <w:tcW w:type="dxa" w:w="2059"/>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Targeted, potentially lower overhead than blanket protection.</w:t>
            </w:r>
          </w:p>
        </w:tc>
        <w:tc>
          <w:tcPr>
            <w:tcW w:type="dxa" w:w="2620"/>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Depends on the mechanism generalising across the input distribution, not just the calibration set used to find it.</w:t>
            </w:r>
          </w:p>
        </w:tc>
      </w:tr>
    </w:tbl>
    <w:p>
      <w:r>
        <w:br w:type="page"/>
      </w:r>
    </w:p>
    <w:p>
      <w:pPr>
        <w:pStyle w:val="Heading1"/>
        <w:spacing w:after="140" w:before="320"/>
      </w:pPr>
      <w:r>
        <w:t xml:space="preserve">22. Scope and Limitations</w:t>
      </w:r>
    </w:p>
    <w:p>
      <w:pPr>
        <w:pStyle w:val="ListParagraph"/>
        <w:numPr>
          <w:ilvl w:val="0"/>
          <w:numId w:val="1"/>
        </w:numPr>
        <w:spacing w:after="60"/>
      </w:pPr>
      <w:r>
        <w:t xml:space="preserve">Model-size limitations: the minimum viable matrix targets 1–8B-parameter instruction-tuned models; findings may not automatically extrapolate to substantially larger frontier-scale models within the project timeline.</w:t>
      </w:r>
    </w:p>
    <w:p>
      <w:pPr>
        <w:pStyle w:val="ListParagraph"/>
        <w:numPr>
          <w:ilvl w:val="0"/>
          <w:numId w:val="1"/>
        </w:numPr>
        <w:spacing w:after="60"/>
      </w:pPr>
      <w:r>
        <w:t xml:space="preserve">Dependence on specific eviction implementations: results are tied to the H2O/SnapKV/Scissorhands implementations used and may not capture every production serving-stack variant, including proprietary systems.</w:t>
      </w:r>
    </w:p>
    <w:p>
      <w:pPr>
        <w:pStyle w:val="ListParagraph"/>
        <w:numPr>
          <w:ilvl w:val="0"/>
          <w:numId w:val="1"/>
        </w:numPr>
        <w:spacing w:after="60"/>
      </w:pPr>
      <w:r>
        <w:t xml:space="preserve">Differentiable-proxy fidelity: the training-time simulated eviction decision is a relaxation of the real, non-differentiable top-k operation; any gap between the proxy and the real algorithm must be validated empirically (Phase 0) rather than assumed away.</w:t>
      </w:r>
    </w:p>
    <w:p>
      <w:pPr>
        <w:pStyle w:val="ListParagraph"/>
        <w:numPr>
          <w:ilvl w:val="0"/>
          <w:numId w:val="1"/>
        </w:numPr>
        <w:spacing w:after="60"/>
      </w:pPr>
      <w:r>
        <w:t xml:space="preserve">Difficulty reproducing proprietary serving infrastructure: multi-tenant, load-conditioned scenarios (PF-SEB-budget) can only be approximated in an academic setting, not reproduced at commercial serving scale.</w:t>
      </w:r>
    </w:p>
    <w:p>
      <w:pPr>
        <w:pStyle w:val="ListParagraph"/>
        <w:numPr>
          <w:ilvl w:val="0"/>
          <w:numId w:val="1"/>
        </w:numPr>
        <w:spacing w:after="60"/>
      </w:pPr>
      <w:r>
        <w:t xml:space="preserve">Possible implementation-specificity: an attack that works only for one exact eviction implementation or version is scientifically interesting but weaker as a general security claim; this is treated as an explicit, labelled outcome (Section 27) rather than reframed as a stronger result.</w:t>
      </w:r>
    </w:p>
    <w:p>
      <w:pPr>
        <w:pStyle w:val="ListParagraph"/>
        <w:numPr>
          <w:ilvl w:val="0"/>
          <w:numId w:val="1"/>
        </w:numPr>
        <w:spacing w:after="60"/>
      </w:pPr>
      <w:r>
        <w:t xml:space="preserve">Synthetic-target limitations: early-stage results (Stages 1–2, Section 15) demonstrate mechanism feasibility on a low-risk marker and do not by themselves establish real-world harm potential; Stage 3 evaluation under red-team protocols is required before any such claim.</w:t>
      </w:r>
    </w:p>
    <w:p>
      <w:pPr>
        <w:pStyle w:val="ListParagraph"/>
        <w:numPr>
          <w:ilvl w:val="0"/>
          <w:numId w:val="1"/>
        </w:numPr>
        <w:spacing w:after="60"/>
      </w:pPr>
      <w:r>
        <w:t xml:space="preserve">Cross-model and cross-algorithm evidence strengthens but cannot fully establish that the phenomenon holds for all architectures, eviction implementations, and serving stacks.</w:t>
      </w:r>
    </w:p>
    <w:p>
      <w:pPr>
        <w:pStyle w:val="ListParagraph"/>
        <w:numPr>
          <w:ilvl w:val="0"/>
          <w:numId w:val="1"/>
        </w:numPr>
        <w:spacing w:after="60"/>
      </w:pPr>
      <w:r>
        <w:t xml:space="preserve">Automated and rubric-based safety judges have known blind spots; Stage 3 evaluation should be corroborated with human review where feasible.</w:t>
      </w:r>
    </w:p>
    <w:p>
      <w:pPr>
        <w:pStyle w:val="ListParagraph"/>
        <w:numPr>
          <w:ilvl w:val="0"/>
          <w:numId w:val="1"/>
        </w:numPr>
        <w:spacing w:after="60"/>
      </w:pPr>
      <w:r>
        <w:t xml:space="preserve">Ethical scope: the project does not aim to produce or release a model with an implanted harmful-content trigger; see Section 23.</w:t>
      </w:r>
    </w:p>
    <w:p>
      <w:pPr>
        <w:pStyle w:val="Heading1"/>
        <w:spacing w:after="140" w:before="320"/>
      </w:pPr>
      <w:r>
        <w:t xml:space="preserve">23. Ethical and Security Considerations</w:t>
      </w:r>
    </w:p>
    <w:p>
      <w:pPr>
        <w:spacing w:after="140"/>
      </w:pPr>
      <w:r>
        <w:rPr>
          <w:b/>
          <w:bCs/>
          <w:i w:val="false"/>
          <w:iCs w:val="false"/>
        </w:rPr>
        <w:t xml:space="preserve">Responsible experimentation. </w:t>
      </w:r>
      <w:r>
        <w:rPr>
          <w:b w:val="false"/>
          <w:bCs w:val="false"/>
          <w:i w:val="false"/>
          <w:iCs w:val="false"/>
        </w:rPr>
        <w:t xml:space="preserve">All Stage 1–2 experiments use synthetic or clearly non-harmful behavioural markers (Section 15); no model trained with a genuinely harmful payload is produced before Stage 3, and Stage 3 uses only approved, institutionally sanctioned red-team datasets and rubrics.</w:t>
      </w:r>
    </w:p>
    <w:p>
      <w:pPr>
        <w:spacing w:after="140"/>
      </w:pPr>
      <w:r>
        <w:rPr>
          <w:b/>
          <w:bCs/>
          <w:i w:val="false"/>
          <w:iCs w:val="false"/>
        </w:rPr>
        <w:t xml:space="preserve">No deployment of malicious models. </w:t>
      </w:r>
      <w:r>
        <w:rPr>
          <w:b w:val="false"/>
          <w:bCs w:val="false"/>
          <w:i w:val="false"/>
          <w:iCs w:val="false"/>
        </w:rPr>
        <w:t xml:space="preserve">Backdoored checkpoints produced during the project are research artifacts confined to a controlled environment and are not deployed, distributed, or exposed to production traffic or third parties.</w:t>
      </w:r>
    </w:p>
    <w:p>
      <w:pPr>
        <w:spacing w:after="140"/>
      </w:pPr>
      <w:r>
        <w:rPr>
          <w:b/>
          <w:bCs/>
          <w:i w:val="false"/>
          <w:iCs w:val="false"/>
        </w:rPr>
        <w:t xml:space="preserve">Responsible disclosure. </w:t>
      </w:r>
      <w:r>
        <w:rPr>
          <w:b w:val="false"/>
          <w:bCs w:val="false"/>
          <w:i w:val="false"/>
          <w:iCs w:val="false"/>
        </w:rPr>
        <w:t xml:space="preserve">If the project identifies a phenomenon with plausible real-world exploitability against widely used open-weight models or serving stacks (including specific eviction-library implementations), findings will be shared with relevant maintainers or vendors before or alongside publication, following standard coordinated-disclosure norms.</w:t>
      </w:r>
    </w:p>
    <w:p>
      <w:pPr>
        <w:spacing w:after="140"/>
      </w:pPr>
      <w:r>
        <w:rPr>
          <w:b/>
          <w:bCs/>
          <w:i w:val="false"/>
          <w:iCs w:val="false"/>
        </w:rPr>
        <w:t xml:space="preserve">Artifact release considerations. </w:t>
      </w:r>
      <w:r>
        <w:rPr>
          <w:b w:val="false"/>
          <w:bCs w:val="false"/>
          <w:i w:val="false"/>
          <w:iCs w:val="false"/>
        </w:rPr>
        <w:t xml:space="preserve">Released code will separate the eviction-instrumentation and evaluation harness (safe to release broadly) from any trained attack checkpoints (release considered case by case, consistent with norms in the cited backdoor and Trojan literature).</w:t>
      </w:r>
    </w:p>
    <w:p>
      <w:pPr>
        <w:spacing w:after="140"/>
      </w:pPr>
      <w:r>
        <w:rPr>
          <w:b/>
          <w:bCs/>
          <w:i w:val="false"/>
          <w:iCs w:val="false"/>
        </w:rPr>
        <w:t xml:space="preserve">Separation of attack demonstration from real-world harmful capability. </w:t>
      </w:r>
      <w:r>
        <w:rPr>
          <w:b w:val="false"/>
          <w:bCs w:val="false"/>
          <w:i w:val="false"/>
          <w:iCs w:val="false"/>
        </w:rPr>
        <w:t xml:space="preserve">The project's contribution is a demonstration of mechanism and a defence evaluation, not a usable attack toolkit targeting deployed, real-world systems; Stage 3 severity is bounded by institutional review.</w:t>
      </w:r>
    </w:p>
    <w:p>
      <w:pPr>
        <w:pStyle w:val="Heading1"/>
        <w:spacing w:after="140" w:before="320"/>
      </w:pPr>
      <w:r>
        <w:t xml:space="preserve">24. Tools and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3182"/>
        <w:gridCol w:w="3931"/>
      </w:tblGrid>
      <w:tr>
        <w:trPr>
          <w:tblHeader/>
        </w:trPr>
        <w:tc>
          <w:tcPr>
            <w:tcW w:type="dxa" w:w="2246"/>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Tool / library</w:t>
            </w:r>
          </w:p>
        </w:tc>
        <w:tc>
          <w:tcPr>
            <w:tcW w:type="dxa" w:w="3182"/>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Role</w:t>
            </w:r>
          </w:p>
        </w:tc>
        <w:tc>
          <w:tcPr>
            <w:tcW w:type="dxa" w:w="3931"/>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Why it is required</w:t>
            </w:r>
          </w:p>
        </w:tc>
      </w:tr>
      <w:tr>
        <w:tc>
          <w:tcPr>
            <w:tcW w:type="dxa" w:w="2246"/>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Python</w:t>
            </w:r>
          </w:p>
        </w:tc>
        <w:tc>
          <w:tcPr>
            <w:tcW w:type="dxa" w:w="3182"/>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Primary implementation language.</w:t>
            </w:r>
          </w:p>
        </w:tc>
        <w:tc>
          <w:tcPr>
            <w:tcW w:type="dxa" w:w="3931"/>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Standard for the ML research ecosystem; required by every other listed dependency.</w:t>
            </w:r>
          </w:p>
        </w:tc>
      </w:tr>
      <w:tr>
        <w:tc>
          <w:tcPr>
            <w:tcW w:type="dxa" w:w="2246"/>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PyTorch</w:t>
            </w:r>
          </w:p>
        </w:tc>
        <w:tc>
          <w:tcPr>
            <w:tcW w:type="dxa" w:w="3182"/>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Model execution, training, and custom eviction-simulation logic.</w:t>
            </w:r>
          </w:p>
        </w:tc>
        <w:tc>
          <w:tcPr>
            <w:tcW w:type="dxa" w:w="3931"/>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Provides low-level access to attention/KV internals needed to implement the differentiable eviction-scoring proxy (Phase 0).</w:t>
            </w:r>
          </w:p>
        </w:tc>
      </w:tr>
      <w:tr>
        <w:tc>
          <w:tcPr>
            <w:tcW w:type="dxa" w:w="2246"/>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Hugging Face Transformers</w:t>
            </w:r>
          </w:p>
        </w:tc>
        <w:tc>
          <w:tcPr>
            <w:tcW w:type="dxa" w:w="3182"/>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Model loading, tokenisation, and baseline generation utilities.</w:t>
            </w:r>
          </w:p>
        </w:tc>
        <w:tc>
          <w:tcPr>
            <w:tcW w:type="dxa" w:w="3931"/>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Standard interface to the candidate open-weight instruction-tuned models; simplifies swapping model families for cross-model evaluation.</w:t>
            </w:r>
          </w:p>
        </w:tc>
      </w:tr>
      <w:tr>
        <w:tc>
          <w:tcPr>
            <w:tcW w:type="dxa" w:w="2246"/>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CUDA</w:t>
            </w:r>
          </w:p>
        </w:tc>
        <w:tc>
          <w:tcPr>
            <w:tcW w:type="dxa" w:w="3182"/>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GPU execution.</w:t>
            </w:r>
          </w:p>
        </w:tc>
        <w:tc>
          <w:tcPr>
            <w:tcW w:type="dxa" w:w="3931"/>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Required for any GPU-scale training or inference at the target model sizes.</w:t>
            </w:r>
          </w:p>
        </w:tc>
      </w:tr>
      <w:tr>
        <w:tc>
          <w:tcPr>
            <w:tcW w:type="dxa" w:w="2246"/>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vLLM or an equivalent inference engine</w:t>
            </w:r>
          </w:p>
        </w:tc>
        <w:tc>
          <w:tcPr>
            <w:tcW w:type="dxa" w:w="3182"/>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Realistic serving-side reference implementation of H2O / SnapKV / Scissorhands.</w:t>
            </w:r>
          </w:p>
        </w:tc>
        <w:tc>
          <w:tcPr>
            <w:tcW w:type="dxa" w:w="3931"/>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Ensures the real eviction algorithm evaluated reflects how production serving actually manages the cache, not only an idealised research implementation.</w:t>
            </w:r>
          </w:p>
        </w:tc>
      </w:tr>
      <w:tr>
        <w:tc>
          <w:tcPr>
            <w:tcW w:type="dxa" w:w="2246"/>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Custom eviction-instrumentation layer</w:t>
            </w:r>
          </w:p>
        </w:tc>
        <w:tc>
          <w:tcPr>
            <w:tcW w:type="dxa" w:w="3182"/>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Deterministic real-eviction logging and a differentiable scoring proxy, plus rescue/induction manual-edit tooling (Phase 0, Phase 4).</w:t>
            </w:r>
          </w:p>
        </w:tc>
        <w:tc>
          <w:tcPr>
            <w:tcW w:type="dxa" w:w="3931"/>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No off-the-shelf tool exposes per-step attention-score accumulation, deterministic replay, and manual cache-entry intervention at the granularity this project needs; must be built as part of the contribution itself.</w:t>
            </w:r>
          </w:p>
        </w:tc>
      </w:tr>
      <w:tr>
        <w:tc>
          <w:tcPr>
            <w:tcW w:type="dxa" w:w="2246"/>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Experiment tracking (e.g. Weights &amp; Biases or equivalent)</w:t>
            </w:r>
          </w:p>
        </w:tc>
        <w:tc>
          <w:tcPr>
            <w:tcW w:type="dxa" w:w="3182"/>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Logging metrics, seeds, and configurations across the experimental matrix.</w:t>
            </w:r>
          </w:p>
        </w:tc>
        <w:tc>
          <w:tcPr>
            <w:tcW w:type="dxa" w:w="3931"/>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Necessary for the statistical rigor required in Section 18 (paired comparisons, multi-seed reporting).</w:t>
            </w:r>
          </w:p>
        </w:tc>
      </w:tr>
      <w:tr>
        <w:tc>
          <w:tcPr>
            <w:tcW w:type="dxa" w:w="2246"/>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Statistical analysis tooling (e.g. SciPy / statsmodels)</w:t>
            </w:r>
          </w:p>
        </w:tc>
        <w:tc>
          <w:tcPr>
            <w:tcW w:type="dxa" w:w="3182"/>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Bootstrap confidence intervals, paired tests, effect sizes.</w:t>
            </w:r>
          </w:p>
        </w:tc>
        <w:tc>
          <w:tcPr>
            <w:tcW w:type="dxa" w:w="3931"/>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Required to meet the pre-registration and CI-reporting standard in Section 18.</w:t>
            </w:r>
          </w:p>
        </w:tc>
      </w:tr>
    </w:tbl>
    <w:p>
      <w:pPr>
        <w:pStyle w:val="Heading1"/>
        <w:spacing w:after="140" w:before="320"/>
      </w:pPr>
      <w:r>
        <w:t xml:space="preserve">25. Computational Requirements</w:t>
      </w:r>
    </w:p>
    <w:p>
      <w:pPr>
        <w:spacing w:after="140"/>
      </w:pPr>
      <w:r>
        <w:rPr>
          <w:i w:val="false"/>
          <w:iCs w:val="false"/>
        </w:rPr>
        <w:t xml:space="preserve">Estimates assume 1–8B-parameter instruction-tuned models and parameter-efficient (LoRA-style) fine-tuning for the suppressor-gaming training phase, markedly less compute-intensive than full-parameter fine-tuning; figures are planning estimates, not commitments, and will be revised once the exact model and training recipe are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rPr>
          <w:tblHeader/>
        </w:trPr>
        <w:tc>
          <w:tcPr>
            <w:tcW w:type="dxa" w:w="1872"/>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Requirement</w:t>
            </w:r>
          </w:p>
        </w:tc>
        <w:tc>
          <w:tcPr>
            <w:tcW w:type="dxa" w:w="3744"/>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Minimum viable project</w:t>
            </w:r>
          </w:p>
        </w:tc>
        <w:tc>
          <w:tcPr>
            <w:tcW w:type="dxa" w:w="3744"/>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Publication-quality project</w:t>
            </w:r>
          </w:p>
        </w:tc>
      </w:tr>
      <w:tr>
        <w:tc>
          <w:tcPr>
            <w:tcW w:type="dxa" w:w="1872"/>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GPU</w:t>
            </w:r>
          </w:p>
        </w:tc>
        <w:tc>
          <w:tcPr>
            <w:tcW w:type="dxa" w:w="3744"/>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1 GPU, 24 GB VRAM class, sufficient for a 1–3B model with parameter-efficient fine-tuning.</w:t>
            </w:r>
          </w:p>
        </w:tc>
        <w:tc>
          <w:tcPr>
            <w:tcW w:type="dxa" w:w="3744"/>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Multi-GPU access (2–4 GPUs, 40–80 GB VRAM class) to support 7–8B models, larger batch/context experiments, and parallel seed runs.</w:t>
            </w:r>
          </w:p>
        </w:tc>
      </w:tr>
      <w:tr>
        <w:tc>
          <w:tcPr>
            <w:tcW w:type="dxa" w:w="1872"/>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Storage</w:t>
            </w:r>
          </w:p>
        </w:tc>
        <w:tc>
          <w:tcPr>
            <w:tcW w:type="dxa" w:w="3744"/>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~200–500 GB for model checkpoints, logged attention-score trajectories, and rescue/induction cache snapshots.</w:t>
            </w:r>
          </w:p>
        </w:tc>
        <w:tc>
          <w:tcPr>
            <w:tcW w:type="dxa" w:w="3744"/>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1–2 TB+ to retain checkpoints and traces across multiple model families, eviction algorithms, seeds, and the full experimental matrix.</w:t>
            </w:r>
          </w:p>
        </w:tc>
      </w:tr>
      <w:tr>
        <w:tc>
          <w:tcPr>
            <w:tcW w:type="dxa" w:w="1872"/>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Training</w:t>
            </w:r>
          </w:p>
        </w:tc>
        <w:tc>
          <w:tcPr>
            <w:tcW w:type="dxa" w:w="3744"/>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A handful of LoRA fine-tuning runs for PF-SEB-core on one model.</w:t>
            </w:r>
          </w:p>
        </w:tc>
        <w:tc>
          <w:tcPr>
            <w:tcW w:type="dxa" w:w="3744"/>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Full sweep across 2–3 model families, 3+ seeds each, plus transfer and composed-trigger variants.</w:t>
            </w:r>
          </w:p>
        </w:tc>
      </w:tr>
      <w:tr>
        <w:tc>
          <w:tcPr>
            <w:tcW w:type="dxa" w:w="1872"/>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Inference / evaluation</w:t>
            </w:r>
          </w:p>
        </w:tc>
        <w:tc>
          <w:tcPr>
            <w:tcW w:type="dxa" w:w="3744"/>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Baseline + backdoored model evaluated across the minimum experimental matrix (Section 14), including rescue/induction tests.</w:t>
            </w:r>
          </w:p>
        </w:tc>
        <w:tc>
          <w:tcPr>
            <w:tcW w:type="dxa" w:w="3744"/>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Full matrix including cross-policy, cross-model, and defence-ablation evaluation, plus long-context runs for PF-SEB-context.</w:t>
            </w:r>
          </w:p>
        </w:tc>
      </w:tr>
    </w:tbl>
    <w:p>
      <w:pPr>
        <w:pStyle w:val="Heading1"/>
        <w:spacing w:after="140" w:before="320"/>
      </w:pPr>
      <w:r>
        <w:t xml:space="preserve">26. Project Timeline</w:t>
      </w:r>
    </w:p>
    <w:p>
      <w:pPr>
        <w:spacing w:after="140"/>
      </w:pPr>
      <w:r>
        <w:rPr>
          <w:i w:val="false"/>
          <w:iCs w:val="false"/>
        </w:rPr>
        <w:t xml:space="preserve">Starting point: September 2026. A two-track path is assumed — an aggressive conference submission if the causal proof (rescue/induction) lands quickly, and a rolling journal path able to absorb a more mature evaluation if it does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1"/>
        <w:gridCol w:w="3088"/>
        <w:gridCol w:w="4680"/>
      </w:tblGrid>
      <w:tr>
        <w:trPr>
          <w:tblHeader/>
        </w:trPr>
        <w:tc>
          <w:tcPr>
            <w:tcW w:type="dxa" w:w="1591"/>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Period</w:t>
            </w:r>
          </w:p>
        </w:tc>
        <w:tc>
          <w:tcPr>
            <w:tcW w:type="dxa" w:w="3088"/>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Milestone</w:t>
            </w:r>
          </w:p>
        </w:tc>
        <w:tc>
          <w:tcPr>
            <w:tcW w:type="dxa" w:w="468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Deliverable / Go–No-Go</w:t>
            </w:r>
          </w:p>
        </w:tc>
      </w:tr>
      <w:tr>
        <w:tc>
          <w:tcPr>
            <w:tcW w:type="dxa" w:w="1591"/>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Sep 2026</w:t>
            </w:r>
          </w:p>
        </w:tc>
        <w:tc>
          <w:tcPr>
            <w:tcW w:type="dxa" w:w="3088"/>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Eviction instrumentation: real H2O harness + differentiable proxy</w:t>
            </w:r>
          </w:p>
        </w:tc>
        <w:tc>
          <w:tcPr>
            <w:tcW w:type="dxa" w:w="4680"/>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Deterministic A/B/C generation across full cache, unconstrained memory, and real H2O eviction. Go/No-Go: is the eviction outcome controllable and measurable at all? (Gate G1)</w:t>
            </w:r>
          </w:p>
        </w:tc>
      </w:tr>
      <w:tr>
        <w:tc>
          <w:tcPr>
            <w:tcW w:type="dxa" w:w="1591"/>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Oct 2026</w:t>
            </w:r>
          </w:p>
        </w:tc>
        <w:tc>
          <w:tcPr>
            <w:tcW w:type="dxa" w:w="3088"/>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Non-adversarial baseline + first PF-SEB-core training attempt</w:t>
            </w:r>
          </w:p>
        </w:tc>
        <w:tc>
          <w:tcPr>
            <w:tcW w:type="dxa" w:w="4680"/>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Reproduced clean-model baseline (Gate G2); first trained checkpoint showing a non-trivial behavioural gap between the target and reference conditions (Gate G3).</w:t>
            </w:r>
          </w:p>
        </w:tc>
      </w:tr>
      <w:tr>
        <w:tc>
          <w:tcPr>
            <w:tcW w:type="dxa" w:w="1591"/>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Nov 2026</w:t>
            </w:r>
          </w:p>
        </w:tc>
        <w:tc>
          <w:tcPr>
            <w:tcW w:type="dxa" w:w="3088"/>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Causal proof: rescue and induction tests</w:t>
            </w:r>
          </w:p>
        </w:tc>
        <w:tc>
          <w:tcPr>
            <w:tcW w:type="dxa" w:w="4680"/>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Pin-the-suppressor and delete-the-suppressor experiments both behave as predicted, with the random-deletion control ruling out generic sensitivity (Gates G5–G7). Potential external deadline: IEEE S&amp;P Cycle 2 (17 Nov 2026).</w:t>
            </w:r>
          </w:p>
        </w:tc>
      </w:tr>
      <w:tr>
        <w:tc>
          <w:tcPr>
            <w:tcW w:type="dxa" w:w="1591"/>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Dec 2026–Jan 2027</w:t>
            </w:r>
          </w:p>
        </w:tc>
        <w:tc>
          <w:tcPr>
            <w:tcW w:type="dxa" w:w="3088"/>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Cross-policy transfer (SnapKV, Scissorhands) and cross-budget sweep</w:t>
            </w:r>
          </w:p>
        </w:tc>
        <w:tc>
          <w:tcPr>
            <w:tcW w:type="dxa" w:w="4680"/>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Specificity matrix populated; activation-boundary sharpness characterised (RQ3).</w:t>
            </w:r>
          </w:p>
        </w:tc>
      </w:tr>
      <w:tr>
        <w:tc>
          <w:tcPr>
            <w:tcW w:type="dxa" w:w="1591"/>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Jan 2027</w:t>
            </w:r>
          </w:p>
        </w:tc>
        <w:tc>
          <w:tcPr>
            <w:tcW w:type="dxa" w:w="3088"/>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Mechanistic analysis and first defence prototype</w:t>
            </w:r>
          </w:p>
        </w:tc>
        <w:tc>
          <w:tcPr>
            <w:tcW w:type="dxa" w:w="4680"/>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Layer/head localisation (Gate G8); differential audit and/or policy fuzzing implemented and evaluated against the strongest attack variant found so far (Gate G9).</w:t>
            </w:r>
          </w:p>
        </w:tc>
      </w:tr>
      <w:tr>
        <w:tc>
          <w:tcPr>
            <w:tcW w:type="dxa" w:w="1591"/>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Feb–Apr 2027</w:t>
            </w:r>
          </w:p>
        </w:tc>
        <w:tc>
          <w:tcPr>
            <w:tcW w:type="dxa" w:w="3088"/>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Stretch extensions and full evaluation</w:t>
            </w:r>
          </w:p>
        </w:tc>
        <w:tc>
          <w:tcPr>
            <w:tcW w:type="dxa" w:w="4680"/>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PF-SEB × KQCB AND-gate and/or PF-SEB-context if time/compute permits; broader benchmarks; second model family; full statistical reporting (Section 18).</w:t>
            </w:r>
          </w:p>
        </w:tc>
      </w:tr>
      <w:tr>
        <w:tc>
          <w:tcPr>
            <w:tcW w:type="dxa" w:w="1591"/>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Rolling, as scheduling allows</w:t>
            </w:r>
          </w:p>
        </w:tc>
        <w:tc>
          <w:tcPr>
            <w:tcW w:type="dxa" w:w="3088"/>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Conference / journal submission</w:t>
            </w:r>
          </w:p>
        </w:tc>
        <w:tc>
          <w:tcPr>
            <w:tcW w:type="dxa" w:w="4680"/>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Venue choice follows the final contribution's centre of gravity (security-and-defence vs. systems-and-instrumentation vs. ML-mechanism); see note below.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999999" w:sz="4"/>
              <w:left w:val="single" w:color="999999" w:sz="4"/>
              <w:bottom w:val="single" w:color="999999" w:sz="4"/>
              <w:right w:val="single" w:color="999999" w:sz="4"/>
            </w:tcBorders>
            <w:shd w:fill="EEF2F8" w:val="clear"/>
            <w:tcMar>
              <w:top w:type="dxa" w:w="160"/>
              <w:left w:type="dxa" w:w="200"/>
              <w:bottom w:type="dxa" w:w="160"/>
              <w:right w:type="dxa" w:w="200"/>
            </w:tcMar>
          </w:tcPr>
          <w:p>
            <w:pPr>
              <w:spacing w:after="80"/>
            </w:pPr>
            <w:r>
              <w:rPr>
                <w:b/>
                <w:bCs/>
                <w:sz w:val="21"/>
                <w:szCs w:val="21"/>
              </w:rPr>
              <w:t xml:space="preserve">Deadline caveat</w:t>
            </w:r>
          </w:p>
          <w:p>
            <w:pPr>
              <w:spacing w:after="0"/>
            </w:pPr>
            <w:r>
              <w:rPr>
                <w:i w:val="false"/>
                <w:iCs w:val="false"/>
              </w:rPr>
              <w:t xml:space="preserve">Venue dates change frequently and should be re-checked against the official call for papers immediately before committing to a submission calendar. The dates used for planning reflect a snapshot as of 24 September 2026.</w:t>
            </w:r>
          </w:p>
        </w:tc>
      </w:tr>
    </w:tbl>
    <w:p>
      <w:pPr>
        <w:pStyle w:val="Heading2"/>
        <w:spacing w:after="100" w:before="220"/>
      </w:pPr>
      <w:r>
        <w:t xml:space="preserve">26.1 Candidate venues (consistent with the parent research direction's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3556"/>
        <w:gridCol w:w="3369"/>
      </w:tblGrid>
      <w:tr>
        <w:trPr>
          <w:tblHeader/>
        </w:trPr>
        <w:tc>
          <w:tcPr>
            <w:tcW w:type="dxa" w:w="2433"/>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Venue</w:t>
            </w:r>
          </w:p>
        </w:tc>
        <w:tc>
          <w:tcPr>
            <w:tcW w:type="dxa" w:w="3556"/>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Next relevant deadline</w:t>
            </w:r>
          </w:p>
        </w:tc>
        <w:tc>
          <w:tcPr>
            <w:tcW w:type="dxa" w:w="3369"/>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Fit</w:t>
            </w:r>
          </w:p>
        </w:tc>
      </w:tr>
      <w:tr>
        <w:tc>
          <w:tcPr>
            <w:tcW w:type="dxa" w:w="2433"/>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IEEE S&amp;P 2027 — Cycle 2</w:t>
            </w:r>
          </w:p>
        </w:tc>
        <w:tc>
          <w:tcPr>
            <w:tcW w:type="dxa" w:w="3556"/>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Abstract 10 Nov 2026; Paper 17 Nov 2026 (AoE)</w:t>
            </w:r>
          </w:p>
        </w:tc>
        <w:tc>
          <w:tcPr>
            <w:tcW w:type="dxa" w:w="3369"/>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Top-tier security; adversarial manipulation of a trusted runtime signal, plus a defence</w:t>
            </w:r>
          </w:p>
        </w:tc>
      </w:tr>
      <w:tr>
        <w:tc>
          <w:tcPr>
            <w:tcW w:type="dxa" w:w="2433"/>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MLSys 2027</w:t>
            </w:r>
          </w:p>
        </w:tc>
        <w:tc>
          <w:tcPr>
            <w:tcW w:type="dxa" w:w="3556"/>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30 Oct 2026, 20:00 UTC</w:t>
            </w:r>
          </w:p>
        </w:tc>
        <w:tc>
          <w:tcPr>
            <w:tcW w:type="dxa" w:w="3369"/>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Inference systems / eviction-policy internals / reproducible harness</w:t>
            </w:r>
          </w:p>
        </w:tc>
      </w:tr>
      <w:tr>
        <w:tc>
          <w:tcPr>
            <w:tcW w:type="dxa" w:w="2433"/>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USENIX Security 2027 — Cycle 2</w:t>
            </w:r>
          </w:p>
        </w:tc>
        <w:tc>
          <w:tcPr>
            <w:tcW w:type="dxa" w:w="3556"/>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Registration 19 Jan 2027; Paper 26 Jan 2027; Artifacts 29 Jan 2027</w:t>
            </w:r>
          </w:p>
        </w:tc>
        <w:tc>
          <w:tcPr>
            <w:tcW w:type="dxa" w:w="3369"/>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Very strong security fit; explicit threat-model and defence expectations</w:t>
            </w:r>
          </w:p>
        </w:tc>
      </w:tr>
      <w:tr>
        <w:tc>
          <w:tcPr>
            <w:tcW w:type="dxa" w:w="2433"/>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ICLR 2027</w:t>
            </w:r>
          </w:p>
        </w:tc>
        <w:tc>
          <w:tcPr>
            <w:tcW w:type="dxa" w:w="3556"/>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Abstract 18 Sep 2026; Paper 25 Sep 2026 (AoE)</w:t>
            </w:r>
          </w:p>
        </w:tc>
        <w:tc>
          <w:tcPr>
            <w:tcW w:type="dxa" w:w="3369"/>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ML-mechanism framing of the suppressor-gaming objective; only a stretch target given the timeline</w:t>
            </w:r>
          </w:p>
        </w:tc>
      </w:tr>
    </w:tbl>
    <w:p>
      <w:r>
        <w:br w:type="page"/>
      </w:r>
    </w:p>
    <w:p>
      <w:pPr>
        <w:pStyle w:val="Heading1"/>
        <w:spacing w:after="140" w:before="320"/>
      </w:pPr>
      <w:r>
        <w:t xml:space="preserve">27.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1123"/>
        <w:gridCol w:w="1404"/>
        <w:gridCol w:w="4399"/>
      </w:tblGrid>
      <w:tr>
        <w:trPr>
          <w:tblHeader/>
        </w:trPr>
        <w:tc>
          <w:tcPr>
            <w:tcW w:type="dxa" w:w="2433"/>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Risk</w:t>
            </w:r>
          </w:p>
        </w:tc>
        <w:tc>
          <w:tcPr>
            <w:tcW w:type="dxa" w:w="1123"/>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Probability</w:t>
            </w:r>
          </w:p>
        </w:tc>
        <w:tc>
          <w:tcPr>
            <w:tcW w:type="dxa" w:w="1404"/>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Impact</w:t>
            </w:r>
          </w:p>
        </w:tc>
        <w:tc>
          <w:tcPr>
            <w:tcW w:type="dxa" w:w="4399"/>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Mitigation</w:t>
            </w:r>
          </w:p>
        </w:tc>
      </w:tr>
      <w:tr>
        <w:tc>
          <w:tcPr>
            <w:tcW w:type="dxa" w:w="2433"/>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Differentiable eviction proxy does not faithfully represent the real, non-differentiable H2O implementation</w:t>
            </w:r>
          </w:p>
        </w:tc>
        <w:tc>
          <w:tcPr>
            <w:tcW w:type="dxa" w:w="1123"/>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Medium</w:t>
            </w:r>
          </w:p>
        </w:tc>
        <w:tc>
          <w:tcPr>
            <w:tcW w:type="dxa" w:w="1404"/>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High — could invalidate training-time results when checked against the real algorithm</w:t>
            </w:r>
          </w:p>
        </w:tc>
        <w:tc>
          <w:tcPr>
            <w:tcW w:type="dxa" w:w="4399"/>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Validate the proxy against the real implementation early in Phase 0, before any attack training begins; treat proxy fidelity as its own go/no-go item</w:t>
            </w:r>
          </w:p>
        </w:tc>
      </w:tr>
      <w:tr>
        <w:tc>
          <w:tcPr>
            <w:tcW w:type="dxa" w:w="2433"/>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Inability to train the suppressor-gaming objective at all</w:t>
            </w:r>
          </w:p>
        </w:tc>
        <w:tc>
          <w:tcPr>
            <w:tcW w:type="dxa" w:w="1123"/>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Medium</w:t>
            </w:r>
          </w:p>
        </w:tc>
        <w:tc>
          <w:tcPr>
            <w:tcW w:type="dxa" w:w="1404"/>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High — central hypothesis fails (Gate G3)</w:t>
            </w:r>
          </w:p>
        </w:tc>
        <w:tc>
          <w:tcPr>
            <w:tcW w:type="dxa" w:w="4399"/>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Start with the most tractable configuration (small model, generous target budget) before attempting harder configurations; treat as a genuine, reportable negative result (Section 19.3) rather than a project failure</w:t>
            </w:r>
          </w:p>
        </w:tc>
      </w:tr>
      <w:tr>
        <w:tc>
          <w:tcPr>
            <w:tcW w:type="dxa" w:w="2433"/>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Rescue or induction test does not behave as predicted</w:t>
            </w:r>
          </w:p>
        </w:tc>
        <w:tc>
          <w:tcPr>
            <w:tcW w:type="dxa" w:w="1123"/>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Medium</w:t>
            </w:r>
          </w:p>
        </w:tc>
        <w:tc>
          <w:tcPr>
            <w:tcW w:type="dxa" w:w="1404"/>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High — undermines the causal-proof contribution, the project's strongest evidentiary claim</w:t>
            </w:r>
          </w:p>
        </w:tc>
        <w:tc>
          <w:tcPr>
            <w:tcW w:type="dxa" w:w="4399"/>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Re-run suppressor identification; consider a multi-entry suppressor set; compare the real post-eviction cache state against the manually edited state to close any structural gap</w:t>
            </w:r>
          </w:p>
        </w:tc>
      </w:tr>
      <w:tr>
        <w:tc>
          <w:tcPr>
            <w:tcW w:type="dxa" w:w="2433"/>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Attack activates under many near-miss policies/budgets</w:t>
            </w:r>
          </w:p>
        </w:tc>
        <w:tc>
          <w:tcPr>
            <w:tcW w:type="dxa" w:w="1123"/>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Medium</w:t>
            </w:r>
          </w:p>
        </w:tc>
        <w:tc>
          <w:tcPr>
            <w:tcW w:type="dxa" w:w="1404"/>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Medium — weakens the policy-fingerprinted specificity claim</w:t>
            </w:r>
          </w:p>
        </w:tc>
        <w:tc>
          <w:tcPr>
            <w:tcW w:type="dxa" w:w="4399"/>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Add an explicit stealth/specificity penalty against near-miss conditions during training (Phase 2, step 5); report near-miss activation honestly either way</w:t>
            </w:r>
          </w:p>
        </w:tc>
      </w:tr>
      <w:tr>
        <w:tc>
          <w:tcPr>
            <w:tcW w:type="dxa" w:w="2433"/>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Attack transfers fully across all eviction algorithms tested</w:t>
            </w:r>
          </w:p>
        </w:tc>
        <w:tc>
          <w:tcPr>
            <w:tcW w:type="dxa" w:w="1123"/>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Low–Medium</w:t>
            </w:r>
          </w:p>
        </w:tc>
        <w:tc>
          <w:tcPr>
            <w:tcW w:type="dxa" w:w="1404"/>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Low — not a failure, but reframes the contribution</w:t>
            </w:r>
          </w:p>
        </w:tc>
        <w:tc>
          <w:tcPr>
            <w:tcW w:type="dxa" w:w="4399"/>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Report as evidence for a broader vulnerability class (a stronger, more general claim) rather than a narrowly fingerprinted exploit</w:t>
            </w:r>
          </w:p>
        </w:tc>
      </w:tr>
      <w:tr>
        <w:tc>
          <w:tcPr>
            <w:tcW w:type="dxa" w:w="2433"/>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Utility degradation under the backdoored model</w:t>
            </w:r>
          </w:p>
        </w:tc>
        <w:tc>
          <w:tcPr>
            <w:tcW w:type="dxa" w:w="1123"/>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Medium</w:t>
            </w:r>
          </w:p>
        </w:tc>
        <w:tc>
          <w:tcPr>
            <w:tcW w:type="dxa" w:w="1404"/>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Medium — undermines stealth and practicality</w:t>
            </w:r>
          </w:p>
        </w:tc>
        <w:tc>
          <w:tcPr>
            <w:tcW w:type="dxa" w:w="4399"/>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Strengthen benign-utility loss terms in Phase 2; revisit whether the manipulation mechanism is entangled with general capability</w:t>
            </w:r>
          </w:p>
        </w:tc>
      </w:tr>
      <w:tr>
        <w:tc>
          <w:tcPr>
            <w:tcW w:type="dxa" w:w="2433"/>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Insufficient compute for the full experimental matrix</w:t>
            </w:r>
          </w:p>
        </w:tc>
        <w:tc>
          <w:tcPr>
            <w:tcW w:type="dxa" w:w="1123"/>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Medium</w:t>
            </w:r>
          </w:p>
        </w:tc>
        <w:tc>
          <w:tcPr>
            <w:tcW w:type="dxa" w:w="1404"/>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Medium — limits scope, not core validity</w:t>
            </w:r>
          </w:p>
        </w:tc>
        <w:tc>
          <w:tcPr>
            <w:tcW w:type="dxa" w:w="4399"/>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Prioritise the minimum viable matrix (Section 14) first; treat the stronger matrix and stretch variants (Section 12) as contingent on available compute</w:t>
            </w:r>
          </w:p>
        </w:tc>
      </w:tr>
      <w:tr>
        <w:tc>
          <w:tcPr>
            <w:tcW w:type="dxa" w:w="2433"/>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Trivial detectability by simple defences</w:t>
            </w:r>
          </w:p>
        </w:tc>
        <w:tc>
          <w:tcPr>
            <w:tcW w:type="dxa" w:w="1123"/>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Low–Medium</w:t>
            </w:r>
          </w:p>
        </w:tc>
        <w:tc>
          <w:tcPr>
            <w:tcW w:type="dxa" w:w="1404"/>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Low — still a valid, reportable finding</w:t>
            </w:r>
          </w:p>
        </w:tc>
        <w:tc>
          <w:tcPr>
            <w:tcW w:type="dxa" w:w="4399"/>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Frame as evidence for the defence contribution (Section 21) rather than an attack failure; a trivially detectable but real phenomenon still supports RQ1 and RQ5</w:t>
            </w:r>
          </w:p>
        </w:tc>
      </w:tr>
      <w:tr>
        <w:tc>
          <w:tcPr>
            <w:tcW w:type="dxa" w:w="2433"/>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Novelty erosion from concurrent publication</w:t>
            </w:r>
          </w:p>
        </w:tc>
        <w:tc>
          <w:tcPr>
            <w:tcW w:type="dxa" w:w="1123"/>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Medium</w:t>
            </w:r>
          </w:p>
        </w:tc>
        <w:tc>
          <w:tcPr>
            <w:tcW w:type="dxa" w:w="1404"/>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High — the field is actively developing learned and robustness-aware eviction policies</w:t>
            </w:r>
          </w:p>
        </w:tc>
        <w:tc>
          <w:tcPr>
            <w:tcW w:type="dxa" w:w="4399"/>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Re-run the novelty search close to submission; monitor CacheTrap, learned-eviction-policy defences, and any newer KV-cache-manipulation work explicitly</w:t>
            </w:r>
          </w:p>
        </w:tc>
      </w:tr>
    </w:tbl>
    <w:p>
      <w:pPr>
        <w:pStyle w:val="Heading1"/>
        <w:spacing w:after="140" w:before="320"/>
      </w:pPr>
      <w:r>
        <w:t xml:space="preserve">28. Go / No-Go Experimental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4118"/>
        <w:gridCol w:w="4305"/>
      </w:tblGrid>
      <w:tr>
        <w:trPr>
          <w:tblHeader/>
        </w:trPr>
        <w:tc>
          <w:tcPr>
            <w:tcW w:type="dxa" w:w="936"/>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Gate</w:t>
            </w:r>
          </w:p>
        </w:tc>
        <w:tc>
          <w:tcPr>
            <w:tcW w:type="dxa" w:w="4118"/>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Question</w:t>
            </w:r>
          </w:p>
        </w:tc>
        <w:tc>
          <w:tcPr>
            <w:tcW w:type="dxa" w:w="4305"/>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Pass condition</w:t>
            </w:r>
          </w:p>
        </w:tc>
      </w:tr>
      <w:tr>
        <w:tc>
          <w:tcPr>
            <w:tcW w:type="dxa" w:w="936"/>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G1</w:t>
            </w:r>
          </w:p>
        </w:tc>
        <w:tc>
          <w:tcPr>
            <w:tcW w:type="dxa" w:w="4118"/>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Is the eviction outcome controllable and measurable, in both the real algorithm and the differentiable proxy?</w:t>
            </w:r>
          </w:p>
        </w:tc>
        <w:tc>
          <w:tcPr>
            <w:tcW w:type="dxa" w:w="4305"/>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Deterministic, reproducible A/B/C generation across all reference and trigger conditions.</w:t>
            </w:r>
          </w:p>
        </w:tc>
      </w:tr>
      <w:tr>
        <w:tc>
          <w:tcPr>
            <w:tcW w:type="dxa" w:w="936"/>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G2</w:t>
            </w:r>
          </w:p>
        </w:tc>
        <w:tc>
          <w:tcPr>
            <w:tcW w:type="dxa" w:w="4118"/>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Does the untouched checkpoint show negligible behavioural drift under the target policy/budget?</w:t>
            </w:r>
          </w:p>
        </w:tc>
        <w:tc>
          <w:tcPr>
            <w:tcW w:type="dxa" w:w="4305"/>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Clean-model baseline gap is small enough that any later effect is attributable to training.</w:t>
            </w:r>
          </w:p>
        </w:tc>
      </w:tr>
      <w:tr>
        <w:tc>
          <w:tcPr>
            <w:tcW w:type="dxa" w:w="936"/>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G3</w:t>
            </w:r>
          </w:p>
        </w:tc>
        <w:tc>
          <w:tcPr>
            <w:tcW w:type="dxa" w:w="4118"/>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Can the suppressor-gaming objective be trained at all?</w:t>
            </w:r>
          </w:p>
        </w:tc>
        <w:tc>
          <w:tcPr>
            <w:tcW w:type="dxa" w:w="4305"/>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RC-ASR materially exceeds the clean-model baseline transition under the target condition.</w:t>
            </w:r>
          </w:p>
        </w:tc>
      </w:tr>
      <w:tr>
        <w:tc>
          <w:tcPr>
            <w:tcW w:type="dxa" w:w="936"/>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G4</w:t>
            </w:r>
          </w:p>
        </w:tc>
        <w:tc>
          <w:tcPr>
            <w:tcW w:type="dxa" w:w="4118"/>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Is the model benign in every non-trigger condition?</w:t>
            </w:r>
          </w:p>
        </w:tc>
        <w:tc>
          <w:tcPr>
            <w:tcW w:type="dxa" w:w="4305"/>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Near-zero target activation under full cache, unconstrained memory, and near-miss policy/budget.</w:t>
            </w:r>
          </w:p>
        </w:tc>
      </w:tr>
      <w:tr>
        <w:tc>
          <w:tcPr>
            <w:tcW w:type="dxa" w:w="936"/>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G5</w:t>
            </w:r>
          </w:p>
        </w:tc>
        <w:tc>
          <w:tcPr>
            <w:tcW w:type="dxa" w:w="4118"/>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Does the rescue test work?</w:t>
            </w:r>
          </w:p>
        </w:tc>
        <w:tc>
          <w:tcPr>
            <w:tcW w:type="dxa" w:w="4305"/>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Manually pinning the suppressor under the target condition restores normal behaviour.</w:t>
            </w:r>
          </w:p>
        </w:tc>
      </w:tr>
      <w:tr>
        <w:tc>
          <w:tcPr>
            <w:tcW w:type="dxa" w:w="936"/>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G6</w:t>
            </w:r>
          </w:p>
        </w:tc>
        <w:tc>
          <w:tcPr>
            <w:tcW w:type="dxa" w:w="4118"/>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Does the induction test work?</w:t>
            </w:r>
          </w:p>
        </w:tc>
        <w:tc>
          <w:tcPr>
            <w:tcW w:type="dxa" w:w="4305"/>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Manually deleting only the suppressor under a reference condition activates the target behaviour.</w:t>
            </w:r>
          </w:p>
        </w:tc>
      </w:tr>
      <w:tr>
        <w:tc>
          <w:tcPr>
            <w:tcW w:type="dxa" w:w="936"/>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G7</w:t>
            </w:r>
          </w:p>
        </w:tc>
        <w:tc>
          <w:tcPr>
            <w:tcW w:type="dxa" w:w="4118"/>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Is the effect specific to the suppressor, not any deletion?</w:t>
            </w:r>
          </w:p>
        </w:tc>
        <w:tc>
          <w:tcPr>
            <w:tcW w:type="dxa" w:w="4305"/>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Random, size-matched deletion does not activate the behaviour.</w:t>
            </w:r>
          </w:p>
        </w:tc>
      </w:tr>
      <w:tr>
        <w:tc>
          <w:tcPr>
            <w:tcW w:type="dxa" w:w="936"/>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G8</w:t>
            </w:r>
          </w:p>
        </w:tc>
        <w:tc>
          <w:tcPr>
            <w:tcW w:type="dxa" w:w="4118"/>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Is there a mechanism?</w:t>
            </w:r>
          </w:p>
        </w:tc>
        <w:tc>
          <w:tcPr>
            <w:tcW w:type="dxa" w:w="4305"/>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Layer/head/attention-trajectory evidence explains how the manipulation is achieved.</w:t>
            </w:r>
          </w:p>
        </w:tc>
      </w:tr>
      <w:tr>
        <w:tc>
          <w:tcPr>
            <w:tcW w:type="dxa" w:w="936"/>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G9</w:t>
            </w:r>
          </w:p>
        </w:tc>
        <w:tc>
          <w:tcPr>
            <w:tcW w:type="dxa" w:w="4118"/>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Can a defence detect or prevent it?</w:t>
            </w:r>
          </w:p>
        </w:tc>
        <w:tc>
          <w:tcPr>
            <w:tcW w:type="dxa" w:w="4305"/>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A practical method (differential audit, fuzzing, or protected slots) reduces RC-ASR with bounded, reported cost.</w:t>
            </w:r>
          </w:p>
        </w:tc>
      </w:tr>
    </w:tbl>
    <w:p>
      <w:r>
        <w:br w:type="page"/>
      </w:r>
    </w:p>
    <w:p>
      <w:pPr>
        <w:pStyle w:val="Heading1"/>
        <w:spacing w:after="140" w:before="320"/>
      </w:pPr>
      <w:r>
        <w:t xml:space="preserve">29. Final Synopsis Conclusion</w:t>
      </w:r>
    </w:p>
    <w:p>
      <w:pPr>
        <w:spacing w:after="140"/>
      </w:pPr>
      <w:r>
        <w:rPr>
          <w:i w:val="false"/>
          <w:iCs w:val="false"/>
        </w:rPr>
        <w:t xml:space="preserve">Attention-based KV-cache eviction has, so far, been studied as a systems-efficiency technique and, more recently, as a source of unintentional safety degradation in unmodified models. Neither framing asks the question this project asks: whether the model being served can be trained to deliberately falsify the very signal a legitimate eviction algorithm relies on, so that the algorithm's own correct, unmodified operation becomes the trigger for a targeted, hidden behaviour. That question follows naturally once eviction is recognised for what it structurally is — a classifier consuming attacker-influenceable, model-generated input — a recognition standard in other areas of ML security but not yet applied here.</w:t>
      </w:r>
    </w:p>
    <w:p>
      <w:pPr>
        <w:spacing w:after="140"/>
      </w:pPr>
      <w:r>
        <w:rPr>
          <w:i w:val="false"/>
          <w:iCs w:val="false"/>
        </w:rPr>
        <w:t xml:space="preserve">This project attempts to answer it under a controlled, staged methodology, with a causal proof — the rescue and induction interventions — designed specifically to distinguish a genuinely trained, actively manipulative backdoor from an emergent compression artifact. Neither a positive nor a negative outcome is assumed in advance; the go/no-go gates (Section 28) and the explicit treatment of negative results (Section 19.3) are designed to make either finding a legitimate, reportable contribution. Should the phenomenon be established, the practical implication is a case for score-integrity auditing and policy-randomisation as a standard part of LLM deployment practice, alongside existing input- and weight-level defences; should it be found not to generalise reliably, the project still sharpens the operational boundary between an emergent compression vulnerability and a genuine, actively exploited trust breach — a boundary presently under-specified even in the strongest existing compression-safety papers.</w:t>
      </w:r>
    </w:p>
    <w:p>
      <w:pPr>
        <w:pStyle w:val="Heading1"/>
        <w:spacing w:after="140" w:before="320"/>
      </w:pPr>
      <w:r>
        <w:t xml:space="preserve">30. References</w:t>
      </w:r>
    </w:p>
    <w:p>
      <w:pPr>
        <w:spacing w:after="140"/>
      </w:pPr>
      <w:r>
        <w:rPr>
          <w:i/>
          <w:iCs/>
        </w:rPr>
        <w:t xml:space="preserve">Compiled from the parent runtime-conditioned-backdoor research plan plus sources specific to attention-based eviction and self-eviction manipulation. This list should be re-verified for currency immediately before submission (Section 8's novelty checkpoint).</w:t>
      </w:r>
    </w:p>
    <w:p>
      <w:pPr>
        <w:pStyle w:val="Heading2"/>
        <w:spacing w:after="100" w:before="220"/>
      </w:pPr>
      <w:r>
        <w:t xml:space="preserve">Group A — Attention-based KV-cache eviction</w:t>
      </w:r>
    </w:p>
    <w:p>
      <w:pPr>
        <w:spacing w:after="90"/>
      </w:pPr>
      <w:r>
        <w:rPr>
          <w:i w:val="false"/>
          <w:iCs w:val="false"/>
        </w:rPr>
        <w:t xml:space="preserve">[1] Zhang, Z. et al. “H2O: Heavy-Hitter Oracle for Efficient Generative Inference of Large Language Models.” 2023. arXiv:2306.14048. Relevance: the primary target algorithm.</w:t>
      </w:r>
    </w:p>
    <w:p>
      <w:pPr>
        <w:spacing w:after="90"/>
      </w:pPr>
      <w:r>
        <w:rPr>
          <w:i w:val="false"/>
          <w:iCs w:val="false"/>
        </w:rPr>
        <w:t xml:space="preserve">[2] Xiao, G. et al. “Efficient Streaming Language Models with Attention Sinks.” ICLR 2024. arXiv:2309.17453. Relevance: structurally protected eviction; a near-miss policy and defence baseline.</w:t>
      </w:r>
    </w:p>
    <w:p>
      <w:pPr>
        <w:spacing w:after="90"/>
      </w:pPr>
      <w:r>
        <w:rPr>
          <w:i w:val="false"/>
          <w:iCs w:val="false"/>
        </w:rPr>
        <w:t xml:space="preserve">[3] Li, Y. et al. “SnapKV: LLM Knows What You Are Looking for Before Generation.” 2024. arXiv:2404.14469. Relevance: second attention-based eviction target for cross-policy transfer.</w:t>
      </w:r>
    </w:p>
    <w:p>
      <w:pPr>
        <w:spacing w:after="90"/>
      </w:pPr>
      <w:r>
        <w:rPr>
          <w:i w:val="false"/>
          <w:iCs w:val="false"/>
        </w:rPr>
        <w:t xml:space="preserve">[4] Liu, Z. et al. “Scissorhands: Exploiting the Persistence of Importance Hypothesis for LLM KV Cache Compression at Test Time.” 2023. arXiv:2305.17118. Relevance: third distinct scoring-rule family.</w:t>
      </w:r>
    </w:p>
    <w:p>
      <w:pPr>
        <w:spacing w:after="90"/>
      </w:pPr>
      <w:r>
        <w:rPr>
          <w:i w:val="false"/>
          <w:iCs w:val="false"/>
        </w:rPr>
        <w:t xml:space="preserve">[5] Liu, Z. et al. “KIVI: A Tuning-Free Asymmetric 2bit Quantization for KV Cache.” ICML 2024. arXiv:2402.02750. Relevance: quantization baseline for the composed PF-SEB × KQCB extension.</w:t>
      </w:r>
    </w:p>
    <w:p>
      <w:pPr>
        <w:pStyle w:val="Heading2"/>
        <w:spacing w:after="100" w:before="220"/>
      </w:pPr>
      <w:r>
        <w:t xml:space="preserve">Group B — Security consequences of KV-cache compression</w:t>
      </w:r>
    </w:p>
    <w:p>
      <w:pPr>
        <w:spacing w:after="90"/>
      </w:pPr>
      <w:r>
        <w:rPr>
          <w:i w:val="false"/>
          <w:iCs w:val="false"/>
        </w:rPr>
        <w:t xml:space="preserve">[6] Chen, Y. et al. “The Pitfalls of KV Cache Compression.” ACL 2026. Relevance: emergent, non-adversarial instruction/system-prompt degradation under eviction.</w:t>
      </w:r>
    </w:p>
    <w:p>
      <w:pPr>
        <w:spacing w:after="90"/>
      </w:pPr>
      <w:r>
        <w:rPr>
          <w:i w:val="false"/>
          <w:iCs w:val="false"/>
        </w:rPr>
        <w:t xml:space="preserve">[7] Ma, S. et al. “When Efficiency Meets Safety: A Benchmark Security Analysis of KV Cache Compression in Large Language Models.” ACL 2026. Relevance: functional head collapse under merging; motivates Phase 4 mechanistic analysis.</w:t>
      </w:r>
    </w:p>
    <w:p>
      <w:pPr>
        <w:spacing w:after="90"/>
      </w:pPr>
      <w:r>
        <w:rPr>
          <w:i w:val="false"/>
          <w:iCs w:val="false"/>
        </w:rPr>
        <w:t xml:space="preserve">[8] Xu, T. et al. “Alignment Collapse Under KV Cache Quantization: Diagnosis and Mitigation.” 2026 preprint. arXiv:2606.09864. Relevance: safety-subspace-geometry diagnostic relevant to the mechanistic figure set.</w:t>
      </w:r>
    </w:p>
    <w:p>
      <w:pPr>
        <w:spacing w:after="90"/>
      </w:pPr>
      <w:r>
        <w:rPr>
          <w:i w:val="false"/>
          <w:iCs w:val="false"/>
        </w:rPr>
        <w:t xml:space="preserve">[9] Luo, Z. et al. “Shadow in the Cache: Unveiling and Mitigating Privacy Risks of KV-cache in LLM Inference.” NDSS 2026 / arXiv:2508.09442. Relevance: KV cache as a security/privacy object in its own right.</w:t>
      </w:r>
    </w:p>
    <w:p>
      <w:pPr>
        <w:pStyle w:val="Heading2"/>
        <w:spacing w:after="100" w:before="220"/>
      </w:pPr>
      <w:r>
        <w:t xml:space="preserve">Group C — LLM backdoors and conditional behaviour</w:t>
      </w:r>
    </w:p>
    <w:p>
      <w:pPr>
        <w:spacing w:after="90"/>
      </w:pPr>
      <w:r>
        <w:rPr>
          <w:i w:val="false"/>
          <w:iCs w:val="false"/>
        </w:rPr>
        <w:t xml:space="preserve">[10] Xiang, Z. et al. “BadChain: Backdoor Chain-of-Thought Prompting for Large Language Models.” ICLR 2024. arXiv:2401.12242. Relevance: non-static LLM backdoor triggers.</w:t>
      </w:r>
    </w:p>
    <w:p>
      <w:pPr>
        <w:spacing w:after="90"/>
      </w:pPr>
      <w:r>
        <w:rPr>
          <w:i w:val="false"/>
          <w:iCs w:val="false"/>
        </w:rPr>
        <w:t xml:space="preserve">[11] Hubinger, E. et al. “Sleeper Agents: Training Deceptive LLMs that Persist Through Safety Training.” 2024. arXiv:2401.05566. Relevance: conditional behaviour surviving safety fine-tuning.</w:t>
      </w:r>
    </w:p>
    <w:p>
      <w:pPr>
        <w:spacing w:after="90"/>
      </w:pPr>
      <w:r>
        <w:rPr>
          <w:i w:val="false"/>
          <w:iCs w:val="false"/>
        </w:rPr>
        <w:t xml:space="preserve">[12] Wu, B. et al. “BackdoorBench: A Comprehensive Benchmark and Analysis of Backdoor Learning.” 2024. arXiv:2407.19845. Relevance: standardised evaluation-harness precedent.</w:t>
      </w:r>
    </w:p>
    <w:p>
      <w:pPr>
        <w:spacing w:after="90"/>
      </w:pPr>
      <w:r>
        <w:rPr>
          <w:i w:val="false"/>
          <w:iCs w:val="false"/>
        </w:rPr>
        <w:t xml:space="preserve">[13] Chen, X. et al. “Dynamic Trigger Backdoor Attacks and a Two-Stage FFT-Based Defense in Federated Learning.” Internet of Things, 2026. Relevance: precedent for treating triggers as inference-time-generated conditions.</w:t>
      </w:r>
    </w:p>
    <w:p>
      <w:pPr>
        <w:spacing w:after="90"/>
      </w:pPr>
      <w:r>
        <w:rPr>
          <w:i w:val="false"/>
          <w:iCs w:val="false"/>
        </w:rPr>
        <w:t xml:space="preserve">[14] Schulz, K., Kawasaki, A., Ring, L. “ShadowLogic: Backdoors in Any Whitebox LLM.” CAMLIS 2025 / arXiv:2511.00664. Relevance: computational-graph-level backdoor; inference-pipeline attack-surface precedent.</w:t>
      </w:r>
    </w:p>
    <w:p>
      <w:pPr>
        <w:pStyle w:val="Heading2"/>
        <w:spacing w:after="100" w:before="220"/>
      </w:pPr>
      <w:r>
        <w:t xml:space="preserve">Group D — Runtime / deployment-conditioned security</w:t>
      </w:r>
    </w:p>
    <w:p>
      <w:pPr>
        <w:spacing w:after="90"/>
      </w:pPr>
      <w:r>
        <w:rPr>
          <w:i w:val="false"/>
          <w:iCs w:val="false"/>
        </w:rPr>
        <w:t xml:space="preserve">[15] [Authors as listed in source]. “CacheTrap: Unveiling a Stealthier Gray-Box Trojan against LLMs.” 2026 preprint. arXiv:2511.22681. Relevance: closest published prior art for “KV cache as backdoor trigger”; a hardware fault-injection attack, explicitly differentiated in Section 7.4.</w:t>
      </w:r>
    </w:p>
    <w:p>
      <w:pPr>
        <w:spacing w:after="90"/>
      </w:pPr>
      <w:r>
        <w:rPr>
          <w:i w:val="false"/>
          <w:iCs w:val="false"/>
        </w:rPr>
        <w:t xml:space="preserve">[16] Addagada, T. C. “Governing the KV Cache: Preventing Timing Side-Channel Leakage in Multi-Tenant LLM Inference.” 2026 preprint. arXiv:2608.09225. Relevance: cache-sharing timing side channels; reinforces the cache as shared, observable runtime state.</w:t>
      </w:r>
    </w:p>
    <w:p>
      <w:pPr>
        <w:pStyle w:val="Heading2"/>
        <w:spacing w:after="100" w:before="220"/>
      </w:pPr>
      <w:r>
        <w:t xml:space="preserve">Venue and submission references</w:t>
      </w:r>
    </w:p>
    <w:p>
      <w:pPr>
        <w:spacing w:after="90"/>
      </w:pPr>
      <w:r>
        <w:rPr>
          <w:i w:val="false"/>
          <w:iCs w:val="false"/>
        </w:rPr>
        <w:t xml:space="preserve">[17] USENIX Security 2027 Call for Papers. usenix.org/conference/usenixsecurity27/call-for-papers.</w:t>
      </w:r>
    </w:p>
    <w:p>
      <w:pPr>
        <w:spacing w:after="90"/>
      </w:pPr>
      <w:r>
        <w:rPr>
          <w:i w:val="false"/>
          <w:iCs w:val="false"/>
        </w:rPr>
        <w:t xml:space="preserve">[18] IEEE Symposium on Security and Privacy 2027 Call for Papers. ieee-security.org/TC/SP2027/cfpapers.html.</w:t>
      </w:r>
    </w:p>
    <w:p>
      <w:pPr>
        <w:spacing w:after="90"/>
      </w:pPr>
      <w:r>
        <w:rPr>
          <w:i w:val="false"/>
          <w:iCs w:val="false"/>
        </w:rPr>
        <w:t xml:space="preserve">[19] MLSys 2027 Dates and Deadlines. mlsys.org/Conferences/2027/Dates.</w:t>
      </w:r>
    </w:p>
    <w:p>
      <w:pPr>
        <w:spacing w:after="90"/>
      </w:pPr>
      <w:r>
        <w:rPr>
          <w:i w:val="false"/>
          <w:iCs w:val="false"/>
        </w:rPr>
        <w:t xml:space="preserve">[20] ICLR 2027 Call for Papers. iclr.cc/Conferences/2027/CallForPapers.</w:t>
      </w:r>
    </w:p>
    <w:p>
      <w:r>
        <w:br w:type="page"/>
      </w:r>
    </w:p>
    <w:p>
      <w:pPr>
        <w:pStyle w:val="Heading1"/>
        <w:spacing w:after="140" w:before="320"/>
      </w:pPr>
      <w:r>
        <w:t xml:space="preserve">A. Appendix A — Supervisor Discussion Questions</w:t>
      </w:r>
    </w:p>
    <w:p>
      <w:pPr>
        <w:pStyle w:val="ListParagraph"/>
        <w:numPr>
          <w:ilvl w:val="0"/>
          <w:numId w:val="1"/>
        </w:numPr>
        <w:spacing w:after="60"/>
      </w:pPr>
      <w:r>
        <w:t xml:space="preserve">1. How exactly do you distinguish “the suppressor was evicted because eviction is generically harmful at this budget” from “the model deliberately manipulated its score to cause this” — and which specific test would falsify the second claim in favour of the first?</w:t>
      </w:r>
    </w:p>
    <w:p>
      <w:pPr>
        <w:pStyle w:val="ListParagraph"/>
        <w:numPr>
          <w:ilvl w:val="0"/>
          <w:numId w:val="1"/>
        </w:numPr>
        <w:spacing w:after="60"/>
      </w:pPr>
      <w:r>
        <w:t xml:space="preserve">2. CacheTrap already demonstrates a KV-cache-triggered attack — walk me through exactly why the threat model and mechanism here are different, not just differently described.</w:t>
      </w:r>
    </w:p>
    <w:p>
      <w:pPr>
        <w:pStyle w:val="ListParagraph"/>
        <w:numPr>
          <w:ilvl w:val="0"/>
          <w:numId w:val="1"/>
        </w:numPr>
        <w:spacing w:after="60"/>
      </w:pPr>
      <w:r>
        <w:t xml:space="preserve">3. What happens to your central claim if the rescue test works but the induction test does not — what does that partial result actually tell you?</w:t>
      </w:r>
    </w:p>
    <w:p>
      <w:pPr>
        <w:pStyle w:val="ListParagraph"/>
        <w:numPr>
          <w:ilvl w:val="0"/>
          <w:numId w:val="1"/>
        </w:numPr>
        <w:spacing w:after="60"/>
      </w:pPr>
      <w:r>
        <w:t xml:space="preserve">4. Your differentiable eviction-scoring proxy is a relaxation of a non-differentiable, hard top-k operation. How will you validate that gradients flowing through the proxy actually correspond to something the real, non-differentiable algorithm does?</w:t>
      </w:r>
    </w:p>
    <w:p>
      <w:pPr>
        <w:pStyle w:val="ListParagraph"/>
        <w:numPr>
          <w:ilvl w:val="0"/>
          <w:numId w:val="1"/>
        </w:numPr>
        <w:spacing w:after="60"/>
      </w:pPr>
      <w:r>
        <w:t xml:space="preserve">5. Why choose H2O as the primary target rather than SnapKV or Scissorhands, given the taxonomy in Section 12 treats them as roughly comparable?</w:t>
      </w:r>
    </w:p>
    <w:p>
      <w:pPr>
        <w:pStyle w:val="ListParagraph"/>
        <w:numPr>
          <w:ilvl w:val="0"/>
          <w:numId w:val="1"/>
        </w:numPr>
        <w:spacing w:after="60"/>
      </w:pPr>
      <w:r>
        <w:t xml:space="preserve">6. How will you ensure the Stage-1 synthetic target is not so trivial that a positive result says nothing about whether a genuinely harmful payload could be implanted the same way?</w:t>
      </w:r>
    </w:p>
    <w:p>
      <w:pPr>
        <w:pStyle w:val="ListParagraph"/>
        <w:numPr>
          <w:ilvl w:val="0"/>
          <w:numId w:val="1"/>
        </w:numPr>
        <w:spacing w:after="60"/>
      </w:pPr>
      <w:r>
        <w:t xml:space="preserve">7. What is your concrete stopping rule if Phase 2 training fails to produce any non-trivial behavioural gap after a reasonable number of attempts — how many is “reasonable” given your compute budget?</w:t>
      </w:r>
    </w:p>
    <w:p>
      <w:pPr>
        <w:pStyle w:val="ListParagraph"/>
        <w:numPr>
          <w:ilvl w:val="0"/>
          <w:numId w:val="1"/>
        </w:numPr>
        <w:spacing w:after="60"/>
      </w:pPr>
      <w:r>
        <w:t xml:space="preserve">8. How do you plan to choose near-miss budgets and near-miss policies in a way that is not gameable by picking an unrepresentative comparison set?</w:t>
      </w:r>
    </w:p>
    <w:p>
      <w:pPr>
        <w:pStyle w:val="ListParagraph"/>
        <w:numPr>
          <w:ilvl w:val="0"/>
          <w:numId w:val="1"/>
        </w:numPr>
        <w:spacing w:after="60"/>
      </w:pPr>
      <w:r>
        <w:t xml:space="preserve">9. Given your minimum-viable matrix uses 1–3B models, what specific evidence would you accept as sufficient for a claim that the mechanism generalises, short of testing much larger models you cannot access?</w:t>
      </w:r>
    </w:p>
    <w:p>
      <w:pPr>
        <w:pStyle w:val="ListParagraph"/>
        <w:numPr>
          <w:ilvl w:val="0"/>
          <w:numId w:val="1"/>
        </w:numPr>
        <w:spacing w:after="60"/>
      </w:pPr>
      <w:r>
        <w:t xml:space="preserve">10. Your defence proposals (differential audit, policy fuzzing, protected slots) all add inference-time cost — do you have a rough sense of the overhead a real serving system would tolerate?</w:t>
      </w:r>
    </w:p>
    <w:p>
      <w:pPr>
        <w:pStyle w:val="ListParagraph"/>
        <w:numPr>
          <w:ilvl w:val="0"/>
          <w:numId w:val="1"/>
        </w:numPr>
        <w:spacing w:after="60"/>
      </w:pPr>
      <w:r>
        <w:t xml:space="preserve">11. If the attack transfers fully across H2O, SnapKV, and Scissorhands, doesn't that undercut the “policy-fingerprinted” part of the name — how would you reframe the contribution in that case?</w:t>
      </w:r>
    </w:p>
    <w:p>
      <w:pPr>
        <w:pStyle w:val="ListParagraph"/>
        <w:numPr>
          <w:ilvl w:val="0"/>
          <w:numId w:val="1"/>
        </w:numPr>
        <w:spacing w:after="60"/>
      </w:pPr>
      <w:r>
        <w:t xml:space="preserve">12. Which specific venue are you actually targeting given the September-2026 start date, and is the timeline in Section 26 realistic for a single B.Tech researcher versus a multi-person lab?</w:t>
      </w:r>
    </w:p>
    <w:p>
      <w:pPr>
        <w:pStyle w:val="Heading1"/>
        <w:spacing w:after="140" w:before="320"/>
      </w:pPr>
      <w:r>
        <w:t xml:space="preserve">B. Appendix B — Potential Reviewer Criticisms</w:t>
      </w:r>
    </w:p>
    <w:p>
      <w:pPr>
        <w:pStyle w:val="ListParagraph"/>
        <w:numPr>
          <w:ilvl w:val="0"/>
          <w:numId w:val="1"/>
        </w:numPr>
        <w:spacing w:after="60"/>
      </w:pPr>
      <w:r>
        <w:t xml:space="preserve">“This is just KECB with extra steps” — pre-empt by foregrounding the rescue/induction causal proof and the differentiable-proxy training methodology as the concrete, falsifiable additions that ordinary KECB framing does not require.</w:t>
      </w:r>
    </w:p>
    <w:p>
      <w:pPr>
        <w:pStyle w:val="ListParagraph"/>
        <w:numPr>
          <w:ilvl w:val="0"/>
          <w:numId w:val="1"/>
        </w:numPr>
        <w:spacing w:after="60"/>
      </w:pPr>
      <w:r>
        <w:t xml:space="preserve">“The differentiable proxy doesn't prove anything about the real algorithm” — pre-empt by validating proxy fidelity against the real, non-differentiable H2O implementation as an explicit Phase 0 deliverable, reported quantitatively, not assumed.</w:t>
      </w:r>
    </w:p>
    <w:p>
      <w:pPr>
        <w:pStyle w:val="ListParagraph"/>
        <w:numPr>
          <w:ilvl w:val="0"/>
          <w:numId w:val="1"/>
        </w:numPr>
        <w:spacing w:after="60"/>
      </w:pPr>
      <w:r>
        <w:t xml:space="preserve">“Any sufficiently aggressive fine-tuning could produce a fragile model that happens to break under some compression condition” — pre-empt with the near-miss policy/budget controls and the random-deletion control, which directly rule out generic fragility.</w:t>
      </w:r>
    </w:p>
    <w:p>
      <w:pPr>
        <w:pStyle w:val="ListParagraph"/>
        <w:numPr>
          <w:ilvl w:val="0"/>
          <w:numId w:val="1"/>
        </w:numPr>
        <w:spacing w:after="60"/>
      </w:pPr>
      <w:r>
        <w:t xml:space="preserve">“The attacker access assumption (fine-tuning + eviction-simulation access) is unrealistic” — pre-empt by grounding it in the same access level used by Sleeper Agents and other accepted trained-backdoor papers, and by naming concrete realistic vectors (open-weight redistribution, compromised fine-tuning pipeline, malicious insider).</w:t>
      </w:r>
    </w:p>
    <w:p>
      <w:pPr>
        <w:pStyle w:val="ListParagraph"/>
        <w:numPr>
          <w:ilvl w:val="0"/>
          <w:numId w:val="1"/>
        </w:numPr>
        <w:spacing w:after="60"/>
      </w:pPr>
      <w:r>
        <w:t xml:space="preserve">“This doesn't generalise beyond a lab prototype” — pre-empt with the cross-policy and cross-model evaluation axes (Section 14), and by reporting negative transfer results honestly rather than only positive ones.</w:t>
      </w:r>
    </w:p>
    <w:p>
      <w:pPr>
        <w:pStyle w:val="Heading1"/>
        <w:spacing w:after="140" w:before="320"/>
      </w:pPr>
      <w:r>
        <w:t xml:space="preserve">C. Appendix C — Research Approval Checklist</w:t>
      </w:r>
    </w:p>
    <w:p>
      <w:pPr>
        <w:pStyle w:val="ListParagraph"/>
        <w:numPr>
          <w:ilvl w:val="0"/>
          <w:numId w:val="1"/>
        </w:numPr>
        <w:spacing w:after="60"/>
      </w:pPr>
      <w:r>
        <w:t xml:space="preserve">Novelty search re-run within one week of submission, with CacheTrap, learned/robustness-aware eviction-policy defences, and any newer KV-cache-manipulation papers explicitly checked (Section 8's novelty checkpoint).</w:t>
      </w:r>
    </w:p>
    <w:p>
      <w:pPr>
        <w:pStyle w:val="ListParagraph"/>
        <w:numPr>
          <w:ilvl w:val="0"/>
          <w:numId w:val="1"/>
        </w:numPr>
        <w:spacing w:after="60"/>
      </w:pPr>
      <w:r>
        <w:t xml:space="preserve">Differentiable eviction-scoring proxy validated against the real, non-differentiable H2O implementation before any attack training begins (Phase 0).</w:t>
      </w:r>
    </w:p>
    <w:p>
      <w:pPr>
        <w:pStyle w:val="ListParagraph"/>
        <w:numPr>
          <w:ilvl w:val="0"/>
          <w:numId w:val="1"/>
        </w:numPr>
        <w:spacing w:after="60"/>
      </w:pPr>
      <w:r>
        <w:t xml:space="preserve">Threat model (Section 11) reviewed for realism by someone outside the immediate project team, with particular attention to the eviction-simulation access requirement (Section 11.1).</w:t>
      </w:r>
    </w:p>
    <w:p>
      <w:pPr>
        <w:pStyle w:val="ListParagraph"/>
        <w:numPr>
          <w:ilvl w:val="0"/>
          <w:numId w:val="1"/>
        </w:numPr>
        <w:spacing w:after="60"/>
      </w:pPr>
      <w:r>
        <w:t xml:space="preserve">Stage 1–2 synthetic-target design (Section 15) reviewed and approved before any training begins.</w:t>
      </w:r>
    </w:p>
    <w:p>
      <w:pPr>
        <w:pStyle w:val="ListParagraph"/>
        <w:numPr>
          <w:ilvl w:val="0"/>
          <w:numId w:val="1"/>
        </w:numPr>
        <w:spacing w:after="60"/>
      </w:pPr>
      <w:r>
        <w:t xml:space="preserve">Institutional/ethics sign-off obtained before any Stage 3 red-team evaluation (Section 23).</w:t>
      </w:r>
    </w:p>
    <w:p>
      <w:pPr>
        <w:pStyle w:val="ListParagraph"/>
        <w:numPr>
          <w:ilvl w:val="0"/>
          <w:numId w:val="1"/>
        </w:numPr>
        <w:spacing w:after="60"/>
      </w:pPr>
      <w:r>
        <w:t xml:space="preserve">Go/No-Go gates (Section 28) explicitly checked at each phase boundary in Section 26's timeline, with outcomes logged regardless of result.</w:t>
      </w:r>
    </w:p>
    <w:p>
      <w:pPr>
        <w:pStyle w:val="ListParagraph"/>
        <w:numPr>
          <w:ilvl w:val="0"/>
          <w:numId w:val="1"/>
        </w:numPr>
        <w:spacing w:after="60"/>
      </w:pPr>
      <w:r>
        <w:t xml:space="preserve">Pre-registration of primary metrics, target policy/budget, and suppressor-identification procedure (Section 18) completed before final ablations.</w:t>
      </w:r>
    </w:p>
    <w:p>
      <w:pPr>
        <w:pStyle w:val="ListParagraph"/>
        <w:numPr>
          <w:ilvl w:val="0"/>
          <w:numId w:val="1"/>
        </w:numPr>
        <w:spacing w:after="60"/>
      </w:pPr>
      <w:r>
        <w:t xml:space="preserve">Compute budget (Section 25) confirmed against actual available GPU access before committing to the stronger-paper experimental matrix.</w:t>
      </w:r>
    </w:p>
    <w:p>
      <w:pPr>
        <w:pStyle w:val="ListParagraph"/>
        <w:numPr>
          <w:ilvl w:val="0"/>
          <w:numId w:val="1"/>
        </w:numPr>
        <w:spacing w:after="60"/>
      </w:pPr>
      <w:r>
        <w:t xml:space="preserve">Code/artifact release plan (Section 23) reviewed, separating the instrumentation harness from any trained attack checkpoints.</w:t>
      </w:r>
    </w:p>
    <w:p>
      <w:pPr>
        <w:pStyle w:val="ListParagraph"/>
        <w:numPr>
          <w:ilvl w:val="0"/>
          <w:numId w:val="1"/>
        </w:numPr>
        <w:spacing w:after="60"/>
      </w:pPr>
      <w:r>
        <w:t xml:space="preserve">Target venue and deadline (Section 26) re-verified against the live call for papers immediately before submission.</w:t>
      </w:r>
    </w:p>
    <w:p>
      <w:pPr>
        <w:spacing w:after="200"/>
      </w:pPr>
      <w:r>
        <w:rPr>
          <w:i/>
          <w:iCs/>
        </w:rPr>
        <w:t xml:space="preserve">End of synopsis. Prepared as a working draft for supervisor review; all novelty and priority claims are to be re-verified against the literature immediately before formal submission.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2026-09-24T09:05:53.207Z</dcterms:created>
  <dcterms:modified xsi:type="dcterms:W3CDTF">2026-09-24T09:05:53.207Z</dcterms:modified>
</cp:coreProperties>
</file>

<file path=docProps/custom.xml><?xml version="1.0" encoding="utf-8"?>
<Properties xmlns="http://schemas.openxmlformats.org/officeDocument/2006/custom-properties" xmlns:vt="http://schemas.openxmlformats.org/officeDocument/2006/docPropsVTypes"/>
</file>