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9C6B1F"/>
          <w:sz w:val="22"/>
          <w:szCs w:val="22"/>
        </w:rPr>
        <w:t xml:space="preserve">B.TECH FINAL-YEAR RESEARCH PROJECT — SYNOPSIS</w:t>
      </w:r>
    </w:p>
    <w:p>
      <w:pPr>
        <w:pBdr>
          <w:bottom w:val="single" w:color="1F3864" w:sz="12" w:space="10"/>
        </w:pBdr>
        <w:spacing w:after="200" w:before="400"/>
        <w:jc w:val="center"/>
      </w:pPr>
      <w:r>
        <w:rPr>
          <w:b/>
          <w:bCs/>
          <w:color w:val="1F3864"/>
          <w:sz w:val="40"/>
          <w:szCs w:val="40"/>
        </w:rPr>
        <w:t xml:space="preserve">Runtime-Conditioned Backdoors in Large Language Models</w:t>
      </w:r>
    </w:p>
    <w:p>
      <w:pPr>
        <w:spacing w:after="600" w:before="100"/>
        <w:jc w:val="center"/>
      </w:pPr>
      <w:r>
        <w:rPr>
          <w:i/>
          <w:iCs/>
          <w:color w:val="2E6E7E"/>
          <w:sz w:val="28"/>
          <w:szCs w:val="28"/>
        </w:rPr>
        <w:t xml:space="preserve">KV-Cache Compression as an Inference-Time Trigger</w:t>
      </w:r>
    </w:p>
    <w:p>
      <w:pPr>
        <w:spacing w:after="80"/>
        <w:jc w:val="center"/>
      </w:pPr>
      <w:r>
        <w:rPr>
          <w:sz w:val="21"/>
          <w:szCs w:val="21"/>
        </w:rPr>
        <w:t xml:space="preserve">Candidate: Kartik</w:t>
      </w:r>
    </w:p>
    <w:p>
      <w:pPr>
        <w:spacing w:after="80"/>
        <w:jc w:val="center"/>
      </w:pPr>
      <w:r>
        <w:rPr>
          <w:sz w:val="21"/>
          <w:szCs w:val="21"/>
        </w:rPr>
        <w:t xml:space="preserve">Domain: AI / LLM Security — Machine Learning Security &amp; Inference Systems</w:t>
      </w:r>
    </w:p>
    <w:p>
      <w:pPr>
        <w:spacing w:after="80"/>
        <w:jc w:val="center"/>
      </w:pPr>
      <w:r>
        <w:rPr>
          <w:color w:val="595959"/>
          <w:sz w:val="21"/>
          <w:szCs w:val="21"/>
        </w:rPr>
        <w:t xml:space="preserve">Document status: Draft synopsis for supervisor review — September 2026</w:t>
      </w:r>
    </w:p>
    <w:p>
      <w:pPr>
        <w:spacing w:after="600"/>
        <w:jc w:val="center"/>
      </w:pPr>
      <w:r>
        <w:rPr>
          <w:i/>
          <w:iCs/>
          <w:color w:val="595959"/>
          <w:sz w:val="19"/>
          <w:szCs w:val="19"/>
        </w:rPr>
        <w:t xml:space="preserve">Evidence snapshot: literature and venue deadlines checked against sources available as of 14 September 2026.</w:t>
      </w:r>
    </w:p>
    <w:tbl>
      <w:tblPr>
        <w:tblW w:type="dxa" w:w="9026"/>
        <w:tblBorders>
          <w:top w:val="single" w:color="9C6B1F" w:sz="8"/>
          <w:left w:val="single" w:color="9C6B1F" w:sz="8"/>
          <w:bottom w:val="single" w:color="9C6B1F" w:sz="8"/>
          <w:right w:val="single" w:color="9C6B1F" w:sz="8"/>
          <w:insideH w:val="none"/>
          <w:insideV w:val="none"/>
        </w:tblBorders>
      </w:tblPr>
      <w:tblGrid>
        <w:gridCol w:w="9026"/>
      </w:tblGrid>
      <w:tr>
        <w:tc>
          <w:tcPr>
            <w:tcW w:type="dxa" w:w="9026"/>
            <w:shd w:fill="F3E9D2" w:val="clear"/>
            <w:tcMar>
              <w:top w:type="dxa" w:w="160"/>
              <w:left w:type="dxa" w:w="200"/>
              <w:bottom w:type="dxa" w:w="160"/>
              <w:right w:type="dxa" w:w="200"/>
            </w:tcMar>
          </w:tcPr>
          <w:p>
            <w:pPr>
              <w:spacing w:after="80"/>
            </w:pPr>
            <w:r>
              <w:rPr>
                <w:b/>
                <w:bCs/>
                <w:color w:val="9C6B1F"/>
                <w:sz w:val="21"/>
                <w:szCs w:val="21"/>
              </w:rPr>
              <w:t xml:space="preserve">ALTERNATIVE TITLES CONSIDERED</w:t>
            </w:r>
          </w:p>
          <w:p>
            <w:pPr>
              <w:spacing w:after="60" w:line="276"/>
            </w:pPr>
            <w:r>
              <w:rPr>
                <w:sz w:val="20"/>
                <w:szCs w:val="20"/>
              </w:rPr>
              <w:t xml:space="preserve">1.  Compression-Conditioned Backdoors: Engineering KV-Cache State as a Trigger Surface for Large Language Models</w:t>
            </w:r>
          </w:p>
          <w:p>
            <w:pPr>
              <w:spacing w:after="60" w:line="276"/>
            </w:pPr>
            <w:r>
              <w:rPr>
                <w:sz w:val="20"/>
                <w:szCs w:val="20"/>
              </w:rPr>
              <w:t xml:space="preserve">2.  Beyond the Prompt: Runtime KV-Cache Transformations as an Inference-Time Backdoor Trigger</w:t>
            </w:r>
          </w:p>
          <w:p>
            <w:pPr>
              <w:spacing w:after="60" w:line="276"/>
            </w:pPr>
            <w:r>
              <w:rPr>
                <w:sz w:val="20"/>
                <w:szCs w:val="20"/>
              </w:rPr>
              <w:t xml:space="preserve">3.  When Compression Becomes the Password: Intentional Cache-Policy-Conditioned Backdoors in LLMs</w:t>
            </w:r>
          </w:p>
        </w:tc>
      </w:tr>
    </w:tbl>
    <w:p>
      <w:r>
        <w:br w:type="page"/>
      </w:r>
    </w:p>
    <w:p>
      <w:pPr>
        <w:pStyle w:val="Heading1"/>
        <w:pBdr>
          <w:bottom w:val="single" w:color="1F3864" w:sz="6" w:space="4"/>
        </w:pBdr>
        <w:spacing w:after="200" w:before="400"/>
      </w:pPr>
      <w:r>
        <w:rPr>
          <w:b/>
          <w:bCs/>
          <w:color w:val="1F3864"/>
          <w:sz w:val="30"/>
          <w:szCs w:val="30"/>
        </w:rPr>
        <w:t xml:space="preserve">Synopsis Overview (One-Page Summary)</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7126"/>
      </w:tblGrid>
      <w:tr>
        <w:trPr>
          <w:tblHeader/>
        </w:trPr>
        <w:tc>
          <w:tcPr>
            <w:tcW w:type="dxa" w:w="19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7126"/>
            <w:shd w:fill="1F3864" w:val="clear"/>
            <w:tcMar>
              <w:top w:type="dxa" w:w="80"/>
              <w:left w:type="dxa" w:w="100"/>
              <w:bottom w:type="dxa" w:w="80"/>
              <w:right w:type="dxa" w:w="100"/>
            </w:tcMar>
            <w:vAlign w:val="center"/>
          </w:tcPr>
          <w:p>
            <w:r>
              <w:rPr>
                <w:b/>
                <w:bCs/>
                <w:color w:val="FFFFFF"/>
                <w:sz w:val="19"/>
                <w:szCs w:val="19"/>
              </w:rPr>
              <w:t xml:space="preserve">Summary</w:t>
            </w:r>
          </w:p>
        </w:tc>
      </w:tr>
      <w:tr>
        <w:tc>
          <w:tcPr>
            <w:tcW w:type="dxa" w:w="1900"/>
            <w:tcMar>
              <w:top w:type="dxa" w:w="80"/>
              <w:left w:type="dxa" w:w="100"/>
              <w:bottom w:type="dxa" w:w="80"/>
              <w:right w:type="dxa" w:w="100"/>
            </w:tcMar>
            <w:vAlign w:val="center"/>
          </w:tcPr>
          <w:p>
            <w:r>
              <w:rPr>
                <w:b w:val="false"/>
                <w:bCs w:val="false"/>
                <w:sz w:val="19"/>
                <w:szCs w:val="19"/>
              </w:rPr>
              <w:t xml:space="preserve">Title</w:t>
            </w:r>
          </w:p>
        </w:tc>
        <w:tc>
          <w:tcPr>
            <w:tcW w:type="dxa" w:w="7126"/>
            <w:tcMar>
              <w:top w:type="dxa" w:w="80"/>
              <w:left w:type="dxa" w:w="100"/>
              <w:bottom w:type="dxa" w:w="80"/>
              <w:right w:type="dxa" w:w="100"/>
            </w:tcMar>
            <w:vAlign w:val="center"/>
          </w:tcPr>
          <w:p>
            <w:r>
              <w:rPr>
                <w:b w:val="false"/>
                <w:bCs w:val="false"/>
                <w:sz w:val="19"/>
                <w:szCs w:val="19"/>
              </w:rPr>
              <w:t xml:space="preserve">Runtime-Conditioned Backdoors in Large Language Models: KV-Cache Compression as an Inference-Time Trigger</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Problem</w:t>
            </w:r>
          </w:p>
        </w:tc>
        <w:tc>
          <w:tcPr>
            <w:tcW w:type="dxa" w:w="7126"/>
            <w:shd w:fill="DCE6F1" w:val="clear"/>
            <w:tcMar>
              <w:top w:type="dxa" w:w="80"/>
              <w:left w:type="dxa" w:w="100"/>
              <w:bottom w:type="dxa" w:w="80"/>
              <w:right w:type="dxa" w:w="100"/>
            </w:tcMar>
            <w:vAlign w:val="center"/>
          </w:tcPr>
          <w:p>
            <w:r>
              <w:rPr>
                <w:b w:val="false"/>
                <w:bCs w:val="false"/>
                <w:sz w:val="19"/>
                <w:szCs w:val="19"/>
              </w:rPr>
              <w:t xml:space="preserve">Existing LLM backdoors are conditioned on input-level triggers. It is not established whether a legitimate, systems-motivated runtime transformation of the KV cache — quantization, token eviction, or state merging — can itself be intentionally engineered as a reliable, selective, and stealthy backdoor trigger, independent of prompt content.</w:t>
            </w:r>
          </w:p>
        </w:tc>
      </w:tr>
      <w:tr>
        <w:tc>
          <w:tcPr>
            <w:tcW w:type="dxa" w:w="1900"/>
            <w:tcMar>
              <w:top w:type="dxa" w:w="80"/>
              <w:left w:type="dxa" w:w="100"/>
              <w:bottom w:type="dxa" w:w="80"/>
              <w:right w:type="dxa" w:w="100"/>
            </w:tcMar>
            <w:vAlign w:val="center"/>
          </w:tcPr>
          <w:p>
            <w:r>
              <w:rPr>
                <w:b w:val="false"/>
                <w:bCs w:val="false"/>
                <w:sz w:val="19"/>
                <w:szCs w:val="19"/>
              </w:rPr>
              <w:t xml:space="preserve">Motivation</w:t>
            </w:r>
          </w:p>
        </w:tc>
        <w:tc>
          <w:tcPr>
            <w:tcW w:type="dxa" w:w="7126"/>
            <w:tcMar>
              <w:top w:type="dxa" w:w="80"/>
              <w:left w:type="dxa" w:w="100"/>
              <w:bottom w:type="dxa" w:w="80"/>
              <w:right w:type="dxa" w:w="100"/>
            </w:tcMar>
            <w:vAlign w:val="center"/>
          </w:tcPr>
          <w:p>
            <w:r>
              <w:rPr>
                <w:b w:val="false"/>
                <w:bCs w:val="false"/>
                <w:sz w:val="19"/>
                <w:szCs w:val="19"/>
              </w:rPr>
              <w:t xml:space="preserve">Long-context assistants, agentic systems, and multi-tenant/edge serving increasingly depend on KV-cache compression for memory and latency. If compression state can be weaponised as a trigger, standard full-cache audits would systematically miss the compromise — a new class of inference-system-level security risk.</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Research gap</w:t>
            </w:r>
          </w:p>
        </w:tc>
        <w:tc>
          <w:tcPr>
            <w:tcW w:type="dxa" w:w="7126"/>
            <w:shd w:fill="DCE6F1" w:val="clear"/>
            <w:tcMar>
              <w:top w:type="dxa" w:w="80"/>
              <w:left w:type="dxa" w:w="100"/>
              <w:bottom w:type="dxa" w:w="80"/>
              <w:right w:type="dxa" w:w="100"/>
            </w:tcMar>
            <w:vAlign w:val="center"/>
          </w:tcPr>
          <w:p>
            <w:r>
              <w:rPr>
                <w:b w:val="false"/>
                <w:bCs w:val="false"/>
                <w:sz w:val="19"/>
                <w:szCs w:val="19"/>
              </w:rPr>
              <w:t xml:space="preserve">KV-cache efficiency, compression-induced safety degradation, cache-level privacy risk, and conditional LLM backdoors are each independently studied (Section 7). No reviewed work combines them into an intentionally trained backdoor whose trigger is a legitimate cache-compression policy; the one closely adjacent paper (CacheTrap, 2026) uses hardware fault injection on an untrained model, not policy-conditioned training (Section 8).</w:t>
            </w:r>
          </w:p>
        </w:tc>
      </w:tr>
      <w:tr>
        <w:tc>
          <w:tcPr>
            <w:tcW w:type="dxa" w:w="1900"/>
            <w:tcMar>
              <w:top w:type="dxa" w:w="80"/>
              <w:left w:type="dxa" w:w="100"/>
              <w:bottom w:type="dxa" w:w="80"/>
              <w:right w:type="dxa" w:w="100"/>
            </w:tcMar>
            <w:vAlign w:val="center"/>
          </w:tcPr>
          <w:p>
            <w:r>
              <w:rPr>
                <w:b w:val="false"/>
                <w:bCs w:val="false"/>
                <w:sz w:val="19"/>
                <w:szCs w:val="19"/>
              </w:rPr>
              <w:t xml:space="preserve">Research questions</w:t>
            </w:r>
          </w:p>
        </w:tc>
        <w:tc>
          <w:tcPr>
            <w:tcW w:type="dxa" w:w="7126"/>
            <w:tcMar>
              <w:top w:type="dxa" w:w="80"/>
              <w:left w:type="dxa" w:w="100"/>
              <w:bottom w:type="dxa" w:w="80"/>
              <w:right w:type="dxa" w:w="100"/>
            </w:tcMar>
            <w:vAlign w:val="center"/>
          </w:tcPr>
          <w:p>
            <w:r>
              <w:rPr>
                <w:b w:val="false"/>
                <w:bCs w:val="false"/>
                <w:sz w:val="19"/>
                <w:szCs w:val="19"/>
              </w:rPr>
              <w:t xml:space="preserve">RQ1 Existence, RQ2 Trigger structure, RQ3 Runtime thresholds, RQ4 Mechanism, RQ5 Defense (Section 9).</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Proposed methodology</w:t>
            </w:r>
          </w:p>
        </w:tc>
        <w:tc>
          <w:tcPr>
            <w:tcW w:type="dxa" w:w="7126"/>
            <w:shd w:fill="DCE6F1" w:val="clear"/>
            <w:tcMar>
              <w:top w:type="dxa" w:w="80"/>
              <w:left w:type="dxa" w:w="100"/>
              <w:bottom w:type="dxa" w:w="80"/>
              <w:right w:type="dxa" w:w="100"/>
            </w:tcMar>
            <w:vAlign w:val="center"/>
          </w:tcPr>
          <w:p>
            <w:r>
              <w:rPr>
                <w:b w:val="false"/>
                <w:bCs w:val="false"/>
                <w:sz w:val="19"/>
                <w:szCs w:val="19"/>
              </w:rPr>
              <w:t xml:space="preserve">Six-phase staged plan: (0) runtime cache instrumentation, (1) non-adversarial baseline, (2) controlled runtime-conditioned training, (3) trigger generalisation, (4) mechanistic analysis, (5) defense design (Section 13).</w:t>
            </w:r>
          </w:p>
        </w:tc>
      </w:tr>
      <w:tr>
        <w:tc>
          <w:tcPr>
            <w:tcW w:type="dxa" w:w="1900"/>
            <w:tcMar>
              <w:top w:type="dxa" w:w="80"/>
              <w:left w:type="dxa" w:w="100"/>
              <w:bottom w:type="dxa" w:w="80"/>
              <w:right w:type="dxa" w:w="100"/>
            </w:tcMar>
            <w:vAlign w:val="center"/>
          </w:tcPr>
          <w:p>
            <w:r>
              <w:rPr>
                <w:b w:val="false"/>
                <w:bCs w:val="false"/>
                <w:sz w:val="19"/>
                <w:szCs w:val="19"/>
              </w:rPr>
              <w:t xml:space="preserve">Expected contributions</w:t>
            </w:r>
          </w:p>
        </w:tc>
        <w:tc>
          <w:tcPr>
            <w:tcW w:type="dxa" w:w="7126"/>
            <w:tcMar>
              <w:top w:type="dxa" w:w="80"/>
              <w:left w:type="dxa" w:w="100"/>
              <w:bottom w:type="dxa" w:w="80"/>
              <w:right w:type="dxa" w:w="100"/>
            </w:tcMar>
            <w:vAlign w:val="center"/>
          </w:tcPr>
          <w:p>
            <w:r>
              <w:rPr>
                <w:b w:val="false"/>
                <w:bCs w:val="false"/>
                <w:sz w:val="19"/>
                <w:szCs w:val="19"/>
              </w:rPr>
              <w:t xml:space="preserve">A formal framework for runtime-conditioned model behaviour; identification of cache-compression policy as a trigger surface; a reproducible instrumentation/evaluation harness; mechanistic account of the transition; cache-aware auditing and defense prototypes (Section 20).</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Expected outcome</w:t>
            </w:r>
          </w:p>
        </w:tc>
        <w:tc>
          <w:tcPr>
            <w:tcW w:type="dxa" w:w="7126"/>
            <w:shd w:fill="DCE6F1" w:val="clear"/>
            <w:tcMar>
              <w:top w:type="dxa" w:w="80"/>
              <w:left w:type="dxa" w:w="100"/>
              <w:bottom w:type="dxa" w:w="80"/>
              <w:right w:type="dxa" w:w="100"/>
            </w:tcMar>
            <w:vAlign w:val="center"/>
          </w:tcPr>
          <w:p>
            <w:r>
              <w:rPr>
                <w:b w:val="false"/>
                <w:bCs w:val="false"/>
                <w:sz w:val="19"/>
                <w:szCs w:val="19"/>
              </w:rPr>
              <w:t xml:space="preserve">Either a demonstrated, measurable runtime-conditioned attack with characterised mechanism and a candidate defense, or a rigorously negative result (e.g., no reliable amplification beyond baseline degradation) that still clarifies the boundary between compression vulnerability and trained backdoor.</w:t>
            </w:r>
          </w:p>
        </w:tc>
      </w:tr>
    </w:tbl>
    <w:p>
      <w:r>
        <w:br w:type="page"/>
      </w:r>
    </w:p>
    <w:p>
      <w:pPr>
        <w:pStyle w:val="Heading1"/>
        <w:pBdr>
          <w:bottom w:val="single" w:color="1F3864" w:sz="6" w:space="4"/>
        </w:pBdr>
        <w:spacing w:after="200" w:before="400"/>
      </w:pPr>
      <w:r>
        <w:rPr>
          <w:b/>
          <w:bCs/>
          <w:color w:val="1F3864"/>
          <w:sz w:val="30"/>
          <w:szCs w:val="30"/>
        </w:rPr>
        <w:t xml:space="preserve">Table of Contents</w:t>
      </w:r>
    </w:p>
    <w:p>
      <w:pPr>
        <w:tabs>
          <w:tab w:val="right" w:pos="9026" w:leader="dot"/>
        </w:tabs>
        <w:spacing w:after="90"/>
      </w:pPr>
      <w:r>
        <w:rPr>
          <w:color w:val="1F3864"/>
          <w:sz w:val="21"/>
          <w:szCs w:val="21"/>
        </w:rPr>
        <w:t xml:space="preserve">1. Title &amp; Alternative Titles</w:t>
      </w:r>
    </w:p>
    <w:p>
      <w:pPr>
        <w:tabs>
          <w:tab w:val="right" w:pos="9026" w:leader="dot"/>
        </w:tabs>
        <w:spacing w:after="90"/>
      </w:pPr>
      <w:r>
        <w:rPr>
          <w:color w:val="1F3864"/>
          <w:sz w:val="21"/>
          <w:szCs w:val="21"/>
        </w:rPr>
        <w:t xml:space="preserve">2. Abstract</w:t>
      </w:r>
    </w:p>
    <w:p>
      <w:pPr>
        <w:tabs>
          <w:tab w:val="right" w:pos="9026" w:leader="dot"/>
        </w:tabs>
        <w:spacing w:after="90"/>
      </w:pPr>
      <w:r>
        <w:rPr>
          <w:color w:val="1F3864"/>
          <w:sz w:val="21"/>
          <w:szCs w:val="21"/>
        </w:rPr>
        <w:t xml:space="preserve">3. Introduction</w:t>
      </w:r>
    </w:p>
    <w:p>
      <w:pPr>
        <w:tabs>
          <w:tab w:val="right" w:pos="9026" w:leader="dot"/>
        </w:tabs>
        <w:spacing w:after="90"/>
      </w:pPr>
      <w:r>
        <w:rPr>
          <w:color w:val="1F3864"/>
          <w:sz w:val="21"/>
          <w:szCs w:val="21"/>
        </w:rPr>
        <w:t xml:space="preserve">4. Background and Technical Foundations</w:t>
      </w:r>
    </w:p>
    <w:p>
      <w:pPr>
        <w:tabs>
          <w:tab w:val="right" w:pos="9026" w:leader="dot"/>
        </w:tabs>
        <w:spacing w:after="90"/>
      </w:pPr>
      <w:r>
        <w:rPr>
          <w:color w:val="1F3864"/>
          <w:sz w:val="21"/>
          <w:szCs w:val="21"/>
        </w:rPr>
        <w:t xml:space="preserve">5. Problem Statement</w:t>
      </w:r>
    </w:p>
    <w:p>
      <w:pPr>
        <w:tabs>
          <w:tab w:val="right" w:pos="9026" w:leader="dot"/>
        </w:tabs>
        <w:spacing w:after="90"/>
      </w:pPr>
      <w:r>
        <w:rPr>
          <w:color w:val="1F3864"/>
          <w:sz w:val="21"/>
          <w:szCs w:val="21"/>
        </w:rPr>
        <w:t xml:space="preserve">6. Motivation</w:t>
      </w:r>
    </w:p>
    <w:p>
      <w:pPr>
        <w:tabs>
          <w:tab w:val="right" w:pos="9026" w:leader="dot"/>
        </w:tabs>
        <w:spacing w:after="90"/>
      </w:pPr>
      <w:r>
        <w:rPr>
          <w:color w:val="1F3864"/>
          <w:sz w:val="21"/>
          <w:szCs w:val="21"/>
        </w:rPr>
        <w:t xml:space="preserve">7. Literature Review (Groups A–D)</w:t>
      </w:r>
    </w:p>
    <w:p>
      <w:pPr>
        <w:tabs>
          <w:tab w:val="right" w:pos="9026" w:leader="dot"/>
        </w:tabs>
        <w:spacing w:after="90"/>
      </w:pPr>
      <w:r>
        <w:rPr>
          <w:color w:val="1F3864"/>
          <w:sz w:val="21"/>
          <w:szCs w:val="21"/>
        </w:rPr>
        <w:t xml:space="preserve">8. Research Gap</w:t>
      </w:r>
    </w:p>
    <w:p>
      <w:pPr>
        <w:tabs>
          <w:tab w:val="right" w:pos="9026" w:leader="dot"/>
        </w:tabs>
        <w:spacing w:after="90"/>
      </w:pPr>
      <w:r>
        <w:rPr>
          <w:color w:val="1F3864"/>
          <w:sz w:val="21"/>
          <w:szCs w:val="21"/>
        </w:rPr>
        <w:t xml:space="preserve">9. Research Questions</w:t>
      </w:r>
    </w:p>
    <w:p>
      <w:pPr>
        <w:tabs>
          <w:tab w:val="right" w:pos="9026" w:leader="dot"/>
        </w:tabs>
        <w:spacing w:after="90"/>
      </w:pPr>
      <w:r>
        <w:rPr>
          <w:color w:val="1F3864"/>
          <w:sz w:val="21"/>
          <w:szCs w:val="21"/>
        </w:rPr>
        <w:t xml:space="preserve">10. Research Objectives</w:t>
      </w:r>
    </w:p>
    <w:p>
      <w:pPr>
        <w:tabs>
          <w:tab w:val="right" w:pos="9026" w:leader="dot"/>
        </w:tabs>
        <w:spacing w:after="90"/>
      </w:pPr>
      <w:r>
        <w:rPr>
          <w:color w:val="1F3864"/>
          <w:sz w:val="21"/>
          <w:szCs w:val="21"/>
        </w:rPr>
        <w:t xml:space="preserve">11. Threat Model</w:t>
      </w:r>
    </w:p>
    <w:p>
      <w:pPr>
        <w:tabs>
          <w:tab w:val="right" w:pos="9026" w:leader="dot"/>
        </w:tabs>
        <w:spacing w:after="90"/>
      </w:pPr>
      <w:r>
        <w:rPr>
          <w:color w:val="1F3864"/>
          <w:sz w:val="21"/>
          <w:szCs w:val="21"/>
        </w:rPr>
        <w:t xml:space="preserve">12. Proposed Attack / Research Taxonomy</w:t>
      </w:r>
    </w:p>
    <w:p>
      <w:pPr>
        <w:tabs>
          <w:tab w:val="right" w:pos="9026" w:leader="dot"/>
        </w:tabs>
        <w:spacing w:after="90"/>
      </w:pPr>
      <w:r>
        <w:rPr>
          <w:color w:val="1F3864"/>
          <w:sz w:val="21"/>
          <w:szCs w:val="21"/>
        </w:rPr>
        <w:t xml:space="preserve">13. Proposed Methodology (Phases 0–5)</w:t>
      </w:r>
    </w:p>
    <w:p>
      <w:pPr>
        <w:tabs>
          <w:tab w:val="right" w:pos="9026" w:leader="dot"/>
        </w:tabs>
        <w:spacing w:after="90"/>
      </w:pPr>
      <w:r>
        <w:rPr>
          <w:color w:val="1F3864"/>
          <w:sz w:val="21"/>
          <w:szCs w:val="21"/>
        </w:rPr>
        <w:t xml:space="preserve">14. Experimental Design</w:t>
      </w:r>
    </w:p>
    <w:p>
      <w:pPr>
        <w:tabs>
          <w:tab w:val="right" w:pos="9026" w:leader="dot"/>
        </w:tabs>
        <w:spacing w:after="90"/>
      </w:pPr>
      <w:r>
        <w:rPr>
          <w:color w:val="1F3864"/>
          <w:sz w:val="21"/>
          <w:szCs w:val="21"/>
        </w:rPr>
        <w:t xml:space="preserve">15. Target Behaviour Design</w:t>
      </w:r>
    </w:p>
    <w:p>
      <w:pPr>
        <w:tabs>
          <w:tab w:val="right" w:pos="9026" w:leader="dot"/>
        </w:tabs>
        <w:spacing w:after="90"/>
      </w:pPr>
      <w:r>
        <w:rPr>
          <w:color w:val="1F3864"/>
          <w:sz w:val="21"/>
          <w:szCs w:val="21"/>
        </w:rPr>
        <w:t xml:space="preserve">16. Baselines and Controls</w:t>
      </w:r>
    </w:p>
    <w:p>
      <w:pPr>
        <w:tabs>
          <w:tab w:val="right" w:pos="9026" w:leader="dot"/>
        </w:tabs>
        <w:spacing w:after="90"/>
      </w:pPr>
      <w:r>
        <w:rPr>
          <w:color w:val="1F3864"/>
          <w:sz w:val="21"/>
          <w:szCs w:val="21"/>
        </w:rPr>
        <w:t xml:space="preserve">17. Evaluation Metrics</w:t>
      </w:r>
    </w:p>
    <w:p>
      <w:pPr>
        <w:tabs>
          <w:tab w:val="right" w:pos="9026" w:leader="dot"/>
        </w:tabs>
        <w:spacing w:after="90"/>
      </w:pPr>
      <w:r>
        <w:rPr>
          <w:color w:val="1F3864"/>
          <w:sz w:val="21"/>
          <w:szCs w:val="21"/>
        </w:rPr>
        <w:t xml:space="preserve">18. Statistical Evaluation</w:t>
      </w:r>
    </w:p>
    <w:p>
      <w:pPr>
        <w:tabs>
          <w:tab w:val="right" w:pos="9026" w:leader="dot"/>
        </w:tabs>
        <w:spacing w:after="90"/>
      </w:pPr>
      <w:r>
        <w:rPr>
          <w:color w:val="1F3864"/>
          <w:sz w:val="21"/>
          <w:szCs w:val="21"/>
        </w:rPr>
        <w:t xml:space="preserve">19. Expected Results</w:t>
      </w:r>
    </w:p>
    <w:p>
      <w:pPr>
        <w:tabs>
          <w:tab w:val="right" w:pos="9026" w:leader="dot"/>
        </w:tabs>
        <w:spacing w:after="90"/>
      </w:pPr>
      <w:r>
        <w:rPr>
          <w:color w:val="1F3864"/>
          <w:sz w:val="21"/>
          <w:szCs w:val="21"/>
        </w:rPr>
        <w:t xml:space="preserve">20. Expected Contributions</w:t>
      </w:r>
    </w:p>
    <w:p>
      <w:pPr>
        <w:tabs>
          <w:tab w:val="right" w:pos="9026" w:leader="dot"/>
        </w:tabs>
        <w:spacing w:after="90"/>
      </w:pPr>
      <w:r>
        <w:rPr>
          <w:color w:val="1F3864"/>
          <w:sz w:val="21"/>
          <w:szCs w:val="21"/>
        </w:rPr>
        <w:t xml:space="preserve">21. Defense and Mitigation</w:t>
      </w:r>
    </w:p>
    <w:p>
      <w:pPr>
        <w:tabs>
          <w:tab w:val="right" w:pos="9026" w:leader="dot"/>
        </w:tabs>
        <w:spacing w:after="90"/>
      </w:pPr>
      <w:r>
        <w:rPr>
          <w:color w:val="1F3864"/>
          <w:sz w:val="21"/>
          <w:szCs w:val="21"/>
        </w:rPr>
        <w:t xml:space="preserve">22. Scope and Limitations</w:t>
      </w:r>
    </w:p>
    <w:p>
      <w:pPr>
        <w:tabs>
          <w:tab w:val="right" w:pos="9026" w:leader="dot"/>
        </w:tabs>
        <w:spacing w:after="90"/>
      </w:pPr>
      <w:r>
        <w:rPr>
          <w:color w:val="1F3864"/>
          <w:sz w:val="21"/>
          <w:szCs w:val="21"/>
        </w:rPr>
        <w:t xml:space="preserve">23. Ethical and Security Considerations</w:t>
      </w:r>
    </w:p>
    <w:p>
      <w:pPr>
        <w:tabs>
          <w:tab w:val="right" w:pos="9026" w:leader="dot"/>
        </w:tabs>
        <w:spacing w:after="90"/>
      </w:pPr>
      <w:r>
        <w:rPr>
          <w:color w:val="1F3864"/>
          <w:sz w:val="21"/>
          <w:szCs w:val="21"/>
        </w:rPr>
        <w:t xml:space="preserve">24. Tools and Technology Stack</w:t>
      </w:r>
    </w:p>
    <w:p>
      <w:pPr>
        <w:tabs>
          <w:tab w:val="right" w:pos="9026" w:leader="dot"/>
        </w:tabs>
        <w:spacing w:after="90"/>
      </w:pPr>
      <w:r>
        <w:rPr>
          <w:color w:val="1F3864"/>
          <w:sz w:val="21"/>
          <w:szCs w:val="21"/>
        </w:rPr>
        <w:t xml:space="preserve">25. Computational Requirements</w:t>
      </w:r>
    </w:p>
    <w:p>
      <w:pPr>
        <w:tabs>
          <w:tab w:val="right" w:pos="9026" w:leader="dot"/>
        </w:tabs>
        <w:spacing w:after="90"/>
      </w:pPr>
      <w:r>
        <w:rPr>
          <w:color w:val="1F3864"/>
          <w:sz w:val="21"/>
          <w:szCs w:val="21"/>
        </w:rPr>
        <w:t xml:space="preserve">26. Project Timeline</w:t>
      </w:r>
    </w:p>
    <w:p>
      <w:pPr>
        <w:tabs>
          <w:tab w:val="right" w:pos="9026" w:leader="dot"/>
        </w:tabs>
        <w:spacing w:after="90"/>
      </w:pPr>
      <w:r>
        <w:rPr>
          <w:color w:val="1F3864"/>
          <w:sz w:val="21"/>
          <w:szCs w:val="21"/>
        </w:rPr>
        <w:t xml:space="preserve">27. Risk Register</w:t>
      </w:r>
    </w:p>
    <w:p>
      <w:pPr>
        <w:tabs>
          <w:tab w:val="right" w:pos="9026" w:leader="dot"/>
        </w:tabs>
        <w:spacing w:after="90"/>
      </w:pPr>
      <w:r>
        <w:rPr>
          <w:color w:val="1F3864"/>
          <w:sz w:val="21"/>
          <w:szCs w:val="21"/>
        </w:rPr>
        <w:t xml:space="preserve">28. Go / No-Go Experimental Gates</w:t>
      </w:r>
    </w:p>
    <w:p>
      <w:pPr>
        <w:tabs>
          <w:tab w:val="right" w:pos="9026" w:leader="dot"/>
        </w:tabs>
        <w:spacing w:after="90"/>
      </w:pPr>
      <w:r>
        <w:rPr>
          <w:color w:val="1F3864"/>
          <w:sz w:val="21"/>
          <w:szCs w:val="21"/>
        </w:rPr>
        <w:t xml:space="preserve">29. Final Synopsis Conclusion</w:t>
      </w:r>
    </w:p>
    <w:p>
      <w:pPr>
        <w:tabs>
          <w:tab w:val="right" w:pos="9026" w:leader="dot"/>
        </w:tabs>
        <w:spacing w:after="90"/>
      </w:pPr>
      <w:r>
        <w:rPr>
          <w:color w:val="1F3864"/>
          <w:sz w:val="21"/>
          <w:szCs w:val="21"/>
        </w:rPr>
        <w:t xml:space="preserve">30. References</w:t>
      </w:r>
    </w:p>
    <w:p>
      <w:pPr>
        <w:tabs>
          <w:tab w:val="right" w:pos="9026" w:leader="dot"/>
        </w:tabs>
        <w:spacing w:after="90"/>
      </w:pPr>
      <w:r>
        <w:rPr>
          <w:color w:val="1F3864"/>
          <w:sz w:val="21"/>
          <w:szCs w:val="21"/>
        </w:rPr>
        <w:t xml:space="preserve">Appendix A — Supervisor Discussion Questions</w:t>
      </w:r>
    </w:p>
    <w:p>
      <w:pPr>
        <w:tabs>
          <w:tab w:val="right" w:pos="9026" w:leader="dot"/>
        </w:tabs>
        <w:spacing w:after="90"/>
      </w:pPr>
      <w:r>
        <w:rPr>
          <w:color w:val="1F3864"/>
          <w:sz w:val="21"/>
          <w:szCs w:val="21"/>
        </w:rPr>
        <w:t xml:space="preserve">Appendix B — Potential Reviewer Criticisms</w:t>
      </w:r>
    </w:p>
    <w:p>
      <w:pPr>
        <w:tabs>
          <w:tab w:val="right" w:pos="9026" w:leader="dot"/>
        </w:tabs>
        <w:spacing w:after="90"/>
      </w:pPr>
      <w:r>
        <w:rPr>
          <w:color w:val="1F3864"/>
          <w:sz w:val="21"/>
          <w:szCs w:val="21"/>
        </w:rPr>
        <w:t xml:space="preserve">Appendix C — Research Approval Checklist</w:t>
      </w:r>
    </w:p>
    <w:p>
      <w:pPr>
        <w:spacing w:before="200"/>
      </w:pPr>
      <w:r>
        <w:rPr>
          <w:i/>
          <w:iCs/>
          <w:color w:val="595959"/>
          <w:sz w:val="17"/>
          <w:szCs w:val="17"/>
        </w:rPr>
        <w:t xml:space="preserve">(Section numbers correspond to the headings used throughout this document; open the navigation/outline pane in Word or Google Docs for clickable jump-to-section links.)</w:t>
      </w:r>
    </w:p>
    <w:p>
      <w:r>
        <w:br w:type="page"/>
      </w:r>
    </w:p>
    <w:p>
      <w:pPr>
        <w:pStyle w:val="Heading1"/>
        <w:pBdr>
          <w:bottom w:val="single" w:color="1F3864" w:sz="6" w:space="4"/>
        </w:pBdr>
        <w:spacing w:after="200" w:before="400"/>
      </w:pPr>
      <w:r>
        <w:rPr>
          <w:b/>
          <w:bCs/>
          <w:color w:val="1F3864"/>
          <w:sz w:val="30"/>
          <w:szCs w:val="30"/>
        </w:rPr>
        <w:t xml:space="preserve">2.  Abstract</w:t>
      </w:r>
    </w:p>
    <w:p>
      <w:pPr>
        <w:spacing w:after="160" w:line="288"/>
        <w:jc w:val="both"/>
      </w:pPr>
      <w:r>
        <w:rPr>
          <w:sz w:val="21"/>
          <w:szCs w:val="21"/>
        </w:rPr>
        <w:t xml:space="preserve">Large language models (LLMs) are increasingly served under aggressive key-value (KV) cache management — quantization, token eviction, and cross-token or cross-layer merging — adopted to control memory, bandwidth, and latency during long-context and high-concurrency inference. A growing body of 2025–2026 work shows that this compression is not behaviourally neutral: it can degrade instruction following, leak system prompts, and in some configurations weaken safety alignment as an emergent, unintentional side effect of an otherwise clean model. Separately, the backdoor-attack literature has established that LLMs can be trained to condition a targeted behavioural change on an input-level trigger, including dynamic and chain-of-thought-mediated triggers, while remaining benign on ordinary inputs.</w:t>
      </w:r>
    </w:p>
    <w:p>
      <w:pPr>
        <w:spacing w:after="160" w:line="288"/>
        <w:jc w:val="both"/>
      </w:pPr>
      <w:r>
        <w:rPr>
          <w:sz w:val="21"/>
          <w:szCs w:val="21"/>
        </w:rPr>
        <w:t xml:space="preserve">This project investigates the space between these two literatures: whether an inference-time runtime transformation of the KV cache can be intentionally engineered, through training, into a reliable, selective, and stealthy backdoor trigger — a runtime-conditioned backdoor — as distinct from both an input-triggered backdoor and an unintentional compression vulnerability. Formally, for input x, reference full cache C0, and transformation T, the objective is a model for which f(x, C0) is benign or policy-compliant while f(x, T(C0)) reliably activates an attacker-chosen behaviour, with the transition attributable to intentional training rather than generic information loss.</w:t>
      </w:r>
    </w:p>
    <w:p>
      <w:pPr>
        <w:spacing w:after="160" w:line="288"/>
        <w:jc w:val="both"/>
      </w:pPr>
      <w:r>
        <w:rPr>
          <w:sz w:val="21"/>
          <w:szCs w:val="21"/>
        </w:rPr>
        <w:t xml:space="preserve">The threat model assumes an attacker who can fine-tune a model (fully or parameter-efficiently) and can reasonably infer a deployment cache policy, but who has no direct control over serving infrastructure and no ability to alter user input or perform hardware-level fault injection. The defender audits the model under a reference (typically full-cache) configuration and separately deploys it under a compression policy chosen for efficiency reasons. The proposed methodology proceeds in six staged phases: building a deterministic, instrumented cache-transformation harness; establishing a non-adversarial baseline that reproduces at least one published compression-safety finding; training a controlled runtime-conditioned behaviour against a synthetic target; generalising the trigger to threshold- and policy-dependent conditions; conducting mechanistic analysis of the layers, heads, and cache events that mediate the transition; and designing and evaluating candidate defenses, including cache-aware differential auditing and security-aware retention.</w:t>
      </w:r>
    </w:p>
    <w:p>
      <w:pPr>
        <w:spacing w:after="160" w:line="288"/>
        <w:jc w:val="both"/>
      </w:pPr>
      <w:r>
        <w:rPr>
          <w:sz w:val="21"/>
          <w:szCs w:val="21"/>
        </w:rPr>
        <w:t xml:space="preserve">Evaluation will combine a runtime-conditioned attack success rate against a full-cache false-activation rate, utility- and safety-retention metrics, trigger-specificity and cross-policy transfer measures, and detection cost, reported with bootstrapped confidence intervals across seeds and, where feasible, multiple model families. The central novelty claim — that no reviewed prior work trains a backdoor whose trigger is a legitimate cache-compression policy rather than an input phrase, a modified computational-graph artifact, or a hardware-induced fault — is treated throughout as a hypothesis to be re-verified immediately before submission, not as an established fact. Expected contributions span a formal framework for runtime-conditioned behaviour, identification of a previously under-examined trigger surface at the systems/security boundary, a reusable instrumentation and evaluation harness, a mechanistic account of the compression-to-behaviour transition, and defense mechanisms that preserve most of the efficiency benefit of cache compression while narrowing this attack surface.</w:t>
      </w:r>
    </w:p>
    <w:p>
      <w:pPr>
        <w:spacing w:after="100"/>
      </w:pPr>
    </w:p>
    <w:p>
      <w:pPr>
        <w:pStyle w:val="Heading1"/>
        <w:pBdr>
          <w:bottom w:val="single" w:color="1F3864" w:sz="6" w:space="4"/>
        </w:pBdr>
        <w:spacing w:after="200" w:before="400"/>
      </w:pPr>
      <w:r>
        <w:rPr>
          <w:b/>
          <w:bCs/>
          <w:color w:val="1F3864"/>
          <w:sz w:val="30"/>
          <w:szCs w:val="30"/>
        </w:rPr>
        <w:t xml:space="preserve">3.  Introduction</w:t>
      </w:r>
    </w:p>
    <w:p>
      <w:pPr>
        <w:pStyle w:val="Heading2"/>
        <w:spacing w:after="140" w:before="280"/>
      </w:pPr>
      <w:r>
        <w:rPr>
          <w:b/>
          <w:bCs/>
          <w:color w:val="2E6E7E"/>
          <w:sz w:val="24"/>
          <w:szCs w:val="24"/>
        </w:rPr>
        <w:t xml:space="preserve">3.1  The growth of LLM deployment</w:t>
      </w:r>
    </w:p>
    <w:p>
      <w:pPr>
        <w:spacing w:after="160" w:line="288"/>
        <w:jc w:val="both"/>
      </w:pPr>
      <w:r>
        <w:rPr>
          <w:sz w:val="21"/>
          <w:szCs w:val="21"/>
        </w:rPr>
        <w:t xml:space="preserve">Instruction-tuned LLMs are now deployed across long-context assistants, autonomous and semi-autonomous agentic systems, and high-concurrency multi-tenant serving stacks. Each of these deployment patterns places sustained pressure on inference-time memory and bandwidth. Long-context assistants must hold tens to hundreds of thousands of tokens of conversational or document state; agentic systems accumulate tool calls, observations, and intermediate reasoning across many turns; and multi-tenant serving must admit as many concurrent requests as GPU memory allows. Serving frameworks respond to this pressure with runtime cache management rather than by simply provisioning unbounded memory, because unbounded provisioning does not scale economically or physically with context length and concurrency.</w:t>
      </w:r>
    </w:p>
    <w:p>
      <w:pPr>
        <w:pStyle w:val="Heading2"/>
        <w:spacing w:after="140" w:before="280"/>
      </w:pPr>
      <w:r>
        <w:rPr>
          <w:b/>
          <w:bCs/>
          <w:color w:val="2E6E7E"/>
          <w:sz w:val="24"/>
          <w:szCs w:val="24"/>
        </w:rPr>
        <w:t xml:space="preserve">3.2  The KV cache</w:t>
      </w:r>
    </w:p>
    <w:p>
      <w:pPr>
        <w:spacing w:after="160" w:line="288"/>
        <w:jc w:val="both"/>
      </w:pPr>
      <w:r>
        <w:rPr>
          <w:sz w:val="21"/>
          <w:szCs w:val="21"/>
        </w:rPr>
        <w:t xml:space="preserve">Autoregressive Transformer decoding recomputes attention at every step; to avoid recomputing key and value projections for tokens already processed, inference systems retain them in a key-value (KV) cache that grows linearly with sequence length, and with the number of layers, attention heads, and batch size. For long contexts or high concurrency this cache becomes the dominant memory and bandwidth cost of serving, exceeding the memory footprint of the model weights themselves at sufficient context length or batch size. Modern serving systems therefore compress, evict, or reuse cache state as a routine, load-driven operational behaviour rather than an exceptional one.</w:t>
      </w:r>
    </w:p>
    <w:p>
      <w:pPr>
        <w:pStyle w:val="Heading2"/>
        <w:spacing w:after="140" w:before="280"/>
      </w:pPr>
      <w:r>
        <w:rPr>
          <w:b/>
          <w:bCs/>
          <w:color w:val="2E6E7E"/>
          <w:sz w:val="24"/>
          <w:szCs w:val="24"/>
        </w:rPr>
        <w:t xml:space="preserve">3.3  KV-cache transformations are not interchangeable</w:t>
      </w:r>
    </w:p>
    <w:p>
      <w:pPr>
        <w:spacing w:after="160" w:line="288"/>
        <w:jc w:val="both"/>
      </w:pPr>
      <w:r>
        <w:rPr>
          <w:sz w:val="21"/>
          <w:szCs w:val="21"/>
        </w:rPr>
        <w:t xml:space="preserve">The plan distinguishes five related but mechanistically distinct runtime operations that a serving system may apply to the cache:</w:t>
      </w:r>
    </w:p>
    <w:p>
      <w:pPr>
        <w:pStyle w:val="ListParagraph"/>
        <w:numPr>
          <w:ilvl w:val="0"/>
          <w:numId w:val="2"/>
        </w:numPr>
        <w:spacing w:after="90" w:line="276"/>
      </w:pPr>
      <w:r>
        <w:rPr>
          <w:b/>
          <w:bCs/>
          <w:sz w:val="21"/>
          <w:szCs w:val="21"/>
        </w:rPr>
        <w:t xml:space="preserve">KV quantization</w:t>
      </w:r>
      <w:r>
        <w:rPr>
          <w:sz w:val="21"/>
          <w:szCs w:val="21"/>
        </w:rPr>
        <w:t xml:space="preserve"> — lowering the numerical precision of stored keys/values (e.g., FP16 → FP8/INT8/2-bit) to shrink memory and bandwidth while preserving the retained token set.</w:t>
      </w:r>
    </w:p>
    <w:p>
      <w:pPr>
        <w:pStyle w:val="ListParagraph"/>
        <w:numPr>
          <w:ilvl w:val="0"/>
          <w:numId w:val="2"/>
        </w:numPr>
        <w:spacing w:after="90" w:line="276"/>
      </w:pPr>
      <w:r>
        <w:rPr>
          <w:b/>
          <w:bCs/>
          <w:sz w:val="21"/>
          <w:szCs w:val="21"/>
        </w:rPr>
        <w:t xml:space="preserve">Token eviction</w:t>
      </w:r>
      <w:r>
        <w:rPr>
          <w:sz w:val="21"/>
          <w:szCs w:val="21"/>
        </w:rPr>
        <w:t xml:space="preserve"> — discarding selected historical token states under a fixed or adaptive cache budget, changing which tokens remain attendable.</w:t>
      </w:r>
    </w:p>
    <w:p>
      <w:pPr>
        <w:pStyle w:val="ListParagraph"/>
        <w:numPr>
          <w:ilvl w:val="0"/>
          <w:numId w:val="2"/>
        </w:numPr>
        <w:spacing w:after="90" w:line="276"/>
      </w:pPr>
      <w:r>
        <w:rPr>
          <w:b/>
          <w:bCs/>
          <w:sz w:val="21"/>
          <w:szCs w:val="21"/>
        </w:rPr>
        <w:t xml:space="preserve">Token/state merging</w:t>
      </w:r>
      <w:r>
        <w:rPr>
          <w:sz w:val="21"/>
          <w:szCs w:val="21"/>
        </w:rPr>
        <w:t xml:space="preserve"> — collapsing multiple token or layer representations into a shared, lower-cardinality representation, exploiting redundancy.</w:t>
      </w:r>
    </w:p>
    <w:p>
      <w:pPr>
        <w:pStyle w:val="ListParagraph"/>
        <w:numPr>
          <w:ilvl w:val="0"/>
          <w:numId w:val="2"/>
        </w:numPr>
        <w:spacing w:after="90" w:line="276"/>
      </w:pPr>
      <w:r>
        <w:rPr>
          <w:b/>
          <w:bCs/>
          <w:sz w:val="21"/>
          <w:szCs w:val="21"/>
        </w:rPr>
        <w:t xml:space="preserve">Adaptive cache policy</w:t>
      </w:r>
      <w:r>
        <w:rPr>
          <w:sz w:val="21"/>
          <w:szCs w:val="21"/>
        </w:rPr>
        <w:t xml:space="preserve"> — varying the compression level or retention rule with context length, memory pressure, or bandwidth at runtime.</w:t>
      </w:r>
    </w:p>
    <w:p>
      <w:pPr>
        <w:pStyle w:val="ListParagraph"/>
        <w:numPr>
          <w:ilvl w:val="0"/>
          <w:numId w:val="2"/>
        </w:numPr>
        <w:spacing w:after="90" w:line="276"/>
      </w:pPr>
      <w:r>
        <w:rPr>
          <w:b/>
          <w:bCs/>
          <w:sz w:val="21"/>
          <w:szCs w:val="21"/>
        </w:rPr>
        <w:t xml:space="preserve">Context/budget-dependent compression</w:t>
      </w:r>
      <w:r>
        <w:rPr>
          <w:sz w:val="21"/>
          <w:szCs w:val="21"/>
        </w:rPr>
        <w:t xml:space="preserve"> — compression whose strength is itself a function of a measurable runtime quantity, such as conversation length or available KV budget.</w:t>
      </w:r>
    </w:p>
    <w:p>
      <w:pPr>
        <w:spacing w:after="160" w:line="288"/>
        <w:jc w:val="both"/>
      </w:pPr>
      <w:r>
        <w:rPr>
          <w:sz w:val="21"/>
          <w:szCs w:val="21"/>
        </w:rPr>
        <w:t xml:space="preserve">Quantization perturbs values while leaving the token set intact; eviction changes which historical states are available at all; merging changes how many distinct states are represented and can induce cross-token or cross-layer collisions. Because the mechanisms differ, their security consequences are not expected to be identical, and a research design that studies only one (most commonly quantization) risks understating — or overstating — the generality of any observed effect.</w:t>
      </w:r>
    </w:p>
    <w:p>
      <w:pPr>
        <w:pStyle w:val="Heading2"/>
        <w:spacing w:after="140" w:before="280"/>
      </w:pPr>
      <w:r>
        <w:rPr>
          <w:b/>
          <w:bCs/>
          <w:color w:val="2E6E7E"/>
          <w:sz w:val="24"/>
          <w:szCs w:val="24"/>
        </w:rPr>
        <w:t xml:space="preserve">3.4  Why an intermediate inference state is a plausible security variable</w:t>
      </w:r>
    </w:p>
    <w:p>
      <w:pPr>
        <w:spacing w:after="160" w:line="288"/>
        <w:jc w:val="both"/>
      </w:pPr>
      <w:r>
        <w:rPr>
          <w:sz w:val="21"/>
          <w:szCs w:val="21"/>
        </w:rPr>
        <w:t xml:space="preserve">A model's behaviour is standardly treated as a function of its weights and its input. The KV cache is neither: it is a mutable, per-deployment, per-request intermediate state that sits between the two. Recent 2026 evaluations reviewed in Section 7 report that compressing this state can measurably shift instruction-following fidelity, system-prompt retention, and — in some configurations — safety-alignment behaviour, as an emergent property of ordinary compression on a clean, non-adversarial model. If an unmodified model's behaviour is already sensitive to how the cache is transformed, it is a reasonable and testable hypothesis that this sensitivity could be deliberately amplified and targeted through training, in the same way that ordinary numerical sensitivity in quantized weights was shown to be exploitable as a deployment-conditioned backdoor trigger in prior (non-KV-cache) work.</w:t>
      </w:r>
    </w:p>
    <w:p>
      <w:pPr>
        <w:pStyle w:val="Heading2"/>
        <w:spacing w:after="140" w:before="280"/>
      </w:pPr>
      <w:r>
        <w:rPr>
          <w:b/>
          <w:bCs/>
          <w:color w:val="2E6E7E"/>
          <w:sz w:val="24"/>
          <w:szCs w:val="24"/>
        </w:rPr>
        <w:t xml:space="preserve">3.5  From input triggers to runtime triggers</w:t>
      </w:r>
    </w:p>
    <w:p>
      <w:pPr>
        <w:spacing w:after="160" w:line="288"/>
        <w:jc w:val="both"/>
      </w:pPr>
      <w:r>
        <w:rPr>
          <w:sz w:val="21"/>
          <w:szCs w:val="21"/>
        </w:rPr>
        <w:t xml:space="preserve">A conventional neural backdoor is described as a function that behaves normally on clean inputs and switches to attacker-chosen behaviour when an input-level trigger is present: f(x) → y_clean for ordinary x, and f(x) → y_bad when x contains a trigger pattern t. This formulation places the entire trigger condition inside x. The present work studies a generalisation in which the trigger condition includes a runtime state variable, s_runtime, external to the literal input content: f(x, s_runtime) → y_clean or y_bad depending on s_runtime, specialised here to the KV-cache case as f(x, C0) → benign and f(x, T(C0)) → attacker-targeted behaviour for the same x. This reframing is the central conceptual move of the project: it relocates part of the trigger definition from something the user writes to something the serving infrastructure does for entirely ordinary operational reasons.</w:t>
      </w:r>
    </w:p>
    <w:tbl>
      <w:tblPr>
        <w:tblW w:type="dxa" w:w="9026"/>
        <w:tblBorders>
          <w:top w:val="single" w:color="1F3864" w:sz="8"/>
          <w:left w:val="single" w:color="1F3864" w:sz="8"/>
          <w:bottom w:val="single" w:color="1F3864" w:sz="8"/>
          <w:right w:val="single" w:color="1F3864" w:sz="8"/>
          <w:insideH w:val="none"/>
          <w:insideV w:val="none"/>
        </w:tblBorders>
      </w:tblPr>
      <w:tblGrid>
        <w:gridCol w:w="9026"/>
      </w:tblGrid>
      <w:tr>
        <w:tc>
          <w:tcPr>
            <w:tcW w:type="dxa" w:w="9026"/>
            <w:shd w:fill="DCE6F1" w:val="clear"/>
            <w:tcMar>
              <w:top w:type="dxa" w:w="160"/>
              <w:left w:type="dxa" w:w="200"/>
              <w:bottom w:type="dxa" w:w="160"/>
              <w:right w:type="dxa" w:w="200"/>
            </w:tcMar>
          </w:tcPr>
          <w:p>
            <w:pPr>
              <w:spacing w:after="80"/>
            </w:pPr>
            <w:r>
              <w:rPr>
                <w:b/>
                <w:bCs/>
                <w:color w:val="1F3864"/>
                <w:sz w:val="21"/>
                <w:szCs w:val="21"/>
              </w:rPr>
              <w:t xml:space="preserve">CENTRAL RESEARCH QUESTION</w:t>
            </w:r>
          </w:p>
          <w:p>
            <w:pPr>
              <w:spacing w:after="60" w:line="276"/>
            </w:pPr>
            <w:r>
              <w:rPr>
                <w:sz w:val="20"/>
                <w:szCs w:val="20"/>
              </w:rPr>
              <w:t xml:space="preserve">Can a legitimate, systems-motivated runtime transformation of the KV cache — rather than an input phrase, a modified model artifact, or a hardware fault — be intentionally trained into an LLM as a reliable, selective, and stealthy backdoor trigger, while the model remains benign under ordinary full-cache audit?</w:t>
            </w:r>
          </w:p>
        </w:tc>
      </w:tr>
    </w:tbl>
    <w:p>
      <w:pPr>
        <w:spacing w:after="100"/>
      </w:pPr>
    </w:p>
    <w:p>
      <w:pPr>
        <w:pStyle w:val="Heading1"/>
        <w:pBdr>
          <w:bottom w:val="single" w:color="1F3864" w:sz="6" w:space="4"/>
        </w:pBdr>
        <w:spacing w:after="200" w:before="400"/>
      </w:pPr>
      <w:r>
        <w:rPr>
          <w:b/>
          <w:bCs/>
          <w:color w:val="1F3864"/>
          <w:sz w:val="30"/>
          <w:szCs w:val="30"/>
        </w:rPr>
        <w:t xml:space="preserve">4.  Background and Technical Foundations</w:t>
      </w:r>
    </w:p>
    <w:p>
      <w:pPr>
        <w:pStyle w:val="Heading2"/>
        <w:spacing w:after="140" w:before="280"/>
      </w:pPr>
      <w:r>
        <w:rPr>
          <w:b/>
          <w:bCs/>
          <w:color w:val="2E6E7E"/>
          <w:sz w:val="24"/>
          <w:szCs w:val="24"/>
        </w:rPr>
        <w:t xml:space="preserve">4.1  Transformer inference and autoregressive decoding</w:t>
      </w:r>
    </w:p>
    <w:p>
      <w:pPr>
        <w:spacing w:after="160" w:line="288"/>
        <w:jc w:val="both"/>
      </w:pPr>
      <w:r>
        <w:rPr>
          <w:sz w:val="21"/>
          <w:szCs w:val="21"/>
        </w:rPr>
        <w:t xml:space="preserve">In a Transformer decoder layer, each token position t produces a query, key, and value vector via learned linear projections of the layer's input. Self-attention computes, for a query at position t, a weighted combination of the value vectors at all attendable positions, with weights derived from the scaled dot product of the query against the corresponding keys, followed by a softmax normalisation. Autoregressive decoding generates one token at a time: at each step, the model attends over all previously generated keys and values plus the newly produced ones, then samples or selects the next token, appends it to the sequence, and repeats. Because the key and value projections of already-processed tokens do not change on subsequent steps, recomputing them at every step would be wasteful; caching them is the standard optimisation.</w:t>
      </w:r>
    </w:p>
    <w:p>
      <w:pPr>
        <w:pStyle w:val="Heading2"/>
        <w:spacing w:after="140" w:before="280"/>
      </w:pPr>
      <w:r>
        <w:rPr>
          <w:b/>
          <w:bCs/>
          <w:color w:val="2E6E7E"/>
          <w:sz w:val="24"/>
          <w:szCs w:val="24"/>
        </w:rPr>
        <w:t xml:space="preserve">4.2  The KV cache, formally</w:t>
      </w:r>
    </w:p>
    <w:p>
      <w:pPr>
        <w:spacing w:after="160" w:line="288"/>
        <w:jc w:val="both"/>
      </w:pPr>
      <w:r>
        <w:rPr>
          <w:sz w:val="21"/>
          <w:szCs w:val="21"/>
        </w:rPr>
        <w:t xml:space="preserve">For a given layer and attention head, let K_t = [K_1, K_2, …, K_t] and V_t = [V_1, V_2, …, V_t] denote the sequence of cached key and value vectors for the t tokens processed so far. Generating token t+1 computes a new query Q_{t+1}, attends over K_t and V_t (together with the newly produced K_{t+1}, V_{t+1}), and appends the new key/value pair to the cache for reuse at step t+2. The memory footprint of the cache scales approximately as O(L · H · d · t · b · p), where L is the number of layers, H the number of attention heads, d the per-head dimension, t the sequence length, b the batch size, and p the bytes per stored value under the active numerical precision. Doubling context length, batch size, or precision each roughly doubles cache memory and the bandwidth required to move it, which is why serving systems treat the cache — not only the weights — as a primary target for compression.</w:t>
      </w:r>
    </w:p>
    <w:p>
      <w:pPr>
        <w:pStyle w:val="Heading2"/>
        <w:spacing w:after="140" w:before="280"/>
      </w:pPr>
      <w:r>
        <w:rPr>
          <w:b/>
          <w:bCs/>
          <w:color w:val="2E6E7E"/>
          <w:sz w:val="24"/>
          <w:szCs w:val="24"/>
        </w:rPr>
        <w:t xml:space="preserve">4.3  KV-cache compression, intuitively and mathematically</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3663"/>
        <w:gridCol w:w="3663"/>
      </w:tblGrid>
      <w:tr>
        <w:trPr>
          <w:tblHeader/>
        </w:trPr>
        <w:tc>
          <w:tcPr>
            <w:tcW w:type="dxa" w:w="1700"/>
            <w:shd w:fill="1F3864" w:val="clear"/>
            <w:tcMar>
              <w:top w:type="dxa" w:w="80"/>
              <w:left w:type="dxa" w:w="100"/>
              <w:bottom w:type="dxa" w:w="80"/>
              <w:right w:type="dxa" w:w="100"/>
            </w:tcMar>
            <w:vAlign w:val="center"/>
          </w:tcPr>
          <w:p>
            <w:r>
              <w:rPr>
                <w:b/>
                <w:bCs/>
                <w:color w:val="FFFFFF"/>
                <w:sz w:val="19"/>
                <w:szCs w:val="19"/>
              </w:rPr>
              <w:t xml:space="preserve">Operation</w:t>
            </w:r>
          </w:p>
        </w:tc>
        <w:tc>
          <w:tcPr>
            <w:tcW w:type="dxa" w:w="3663"/>
            <w:shd w:fill="1F3864" w:val="clear"/>
            <w:tcMar>
              <w:top w:type="dxa" w:w="80"/>
              <w:left w:type="dxa" w:w="100"/>
              <w:bottom w:type="dxa" w:w="80"/>
              <w:right w:type="dxa" w:w="100"/>
            </w:tcMar>
            <w:vAlign w:val="center"/>
          </w:tcPr>
          <w:p>
            <w:r>
              <w:rPr>
                <w:b/>
                <w:bCs/>
                <w:color w:val="FFFFFF"/>
                <w:sz w:val="19"/>
                <w:szCs w:val="19"/>
              </w:rPr>
              <w:t xml:space="preserve">Effect on cache tensor</w:t>
            </w:r>
          </w:p>
        </w:tc>
        <w:tc>
          <w:tcPr>
            <w:tcW w:type="dxa" w:w="3663"/>
            <w:shd w:fill="1F3864" w:val="clear"/>
            <w:tcMar>
              <w:top w:type="dxa" w:w="80"/>
              <w:left w:type="dxa" w:w="100"/>
              <w:bottom w:type="dxa" w:w="80"/>
              <w:right w:type="dxa" w:w="100"/>
            </w:tcMar>
            <w:vAlign w:val="center"/>
          </w:tcPr>
          <w:p>
            <w:r>
              <w:rPr>
                <w:b/>
                <w:bCs/>
                <w:color w:val="FFFFFF"/>
                <w:sz w:val="19"/>
                <w:szCs w:val="19"/>
              </w:rPr>
              <w:t xml:space="preserve">What is preserved / lost</w:t>
            </w:r>
          </w:p>
        </w:tc>
      </w:tr>
      <w:tr>
        <w:tc>
          <w:tcPr>
            <w:tcW w:type="dxa" w:w="1700"/>
            <w:tcMar>
              <w:top w:type="dxa" w:w="80"/>
              <w:left w:type="dxa" w:w="100"/>
              <w:bottom w:type="dxa" w:w="80"/>
              <w:right w:type="dxa" w:w="100"/>
            </w:tcMar>
            <w:vAlign w:val="center"/>
          </w:tcPr>
          <w:p>
            <w:r>
              <w:rPr>
                <w:b w:val="false"/>
                <w:bCs w:val="false"/>
                <w:sz w:val="19"/>
                <w:szCs w:val="19"/>
              </w:rPr>
              <w:t xml:space="preserve">Quantization</w:t>
            </w:r>
          </w:p>
        </w:tc>
        <w:tc>
          <w:tcPr>
            <w:tcW w:type="dxa" w:w="3663"/>
            <w:tcMar>
              <w:top w:type="dxa" w:w="80"/>
              <w:left w:type="dxa" w:w="100"/>
              <w:bottom w:type="dxa" w:w="80"/>
              <w:right w:type="dxa" w:w="100"/>
            </w:tcMar>
            <w:vAlign w:val="center"/>
          </w:tcPr>
          <w:p>
            <w:r>
              <w:rPr>
                <w:b w:val="false"/>
                <w:bCs w:val="false"/>
                <w:sz w:val="19"/>
                <w:szCs w:val="19"/>
              </w:rPr>
              <w:t xml:space="preserve">K_t, V_t mapped to a lower-bit representation via a scale/zero-point (or vector) quantizer; the token index set is unchanged.</w:t>
            </w:r>
          </w:p>
        </w:tc>
        <w:tc>
          <w:tcPr>
            <w:tcW w:type="dxa" w:w="3663"/>
            <w:tcMar>
              <w:top w:type="dxa" w:w="80"/>
              <w:left w:type="dxa" w:w="100"/>
              <w:bottom w:type="dxa" w:w="80"/>
              <w:right w:type="dxa" w:w="100"/>
            </w:tcMar>
            <w:vAlign w:val="center"/>
          </w:tcPr>
          <w:p>
            <w:r>
              <w:rPr>
                <w:b w:val="false"/>
                <w:bCs w:val="false"/>
                <w:sz w:val="19"/>
                <w:szCs w:val="19"/>
              </w:rPr>
              <w:t xml:space="preserve">Token set preserved; numerical precision of each entry reduced, introducing bounded quantization noise per element.</w:t>
            </w:r>
          </w:p>
        </w:tc>
      </w:tr>
      <w:tr>
        <w:tc>
          <w:tcPr>
            <w:tcW w:type="dxa" w:w="1700"/>
            <w:shd w:fill="DCE6F1" w:val="clear"/>
            <w:tcMar>
              <w:top w:type="dxa" w:w="80"/>
              <w:left w:type="dxa" w:w="100"/>
              <w:bottom w:type="dxa" w:w="80"/>
              <w:right w:type="dxa" w:w="100"/>
            </w:tcMar>
            <w:vAlign w:val="center"/>
          </w:tcPr>
          <w:p>
            <w:r>
              <w:rPr>
                <w:b w:val="false"/>
                <w:bCs w:val="false"/>
                <w:sz w:val="19"/>
                <w:szCs w:val="19"/>
              </w:rPr>
              <w:t xml:space="preserve">Eviction</w:t>
            </w:r>
          </w:p>
        </w:tc>
        <w:tc>
          <w:tcPr>
            <w:tcW w:type="dxa" w:w="3663"/>
            <w:shd w:fill="DCE6F1" w:val="clear"/>
            <w:tcMar>
              <w:top w:type="dxa" w:w="80"/>
              <w:left w:type="dxa" w:w="100"/>
              <w:bottom w:type="dxa" w:w="80"/>
              <w:right w:type="dxa" w:w="100"/>
            </w:tcMar>
            <w:vAlign w:val="center"/>
          </w:tcPr>
          <w:p>
            <w:r>
              <w:rPr>
                <w:b w:val="false"/>
                <w:bCs w:val="false"/>
                <w:sz w:val="19"/>
                <w:szCs w:val="19"/>
              </w:rPr>
              <w:t xml:space="preserve">A subset of indices is removed from K_t, V_t according to a retention policy (e.g., recency window, attention-score heavy-hitters).</w:t>
            </w:r>
          </w:p>
        </w:tc>
        <w:tc>
          <w:tcPr>
            <w:tcW w:type="dxa" w:w="3663"/>
            <w:shd w:fill="DCE6F1" w:val="clear"/>
            <w:tcMar>
              <w:top w:type="dxa" w:w="80"/>
              <w:left w:type="dxa" w:w="100"/>
              <w:bottom w:type="dxa" w:w="80"/>
              <w:right w:type="dxa" w:w="100"/>
            </w:tcMar>
            <w:vAlign w:val="center"/>
          </w:tcPr>
          <w:p>
            <w:r>
              <w:rPr>
                <w:b w:val="false"/>
                <w:bCs w:val="false"/>
                <w:sz w:val="19"/>
                <w:szCs w:val="19"/>
              </w:rPr>
              <w:t xml:space="preserve">Precision of retained entries preserved; historical tokens outside the retained set become permanently unattendable.</w:t>
            </w:r>
          </w:p>
        </w:tc>
      </w:tr>
      <w:tr>
        <w:tc>
          <w:tcPr>
            <w:tcW w:type="dxa" w:w="1700"/>
            <w:tcMar>
              <w:top w:type="dxa" w:w="80"/>
              <w:left w:type="dxa" w:w="100"/>
              <w:bottom w:type="dxa" w:w="80"/>
              <w:right w:type="dxa" w:w="100"/>
            </w:tcMar>
            <w:vAlign w:val="center"/>
          </w:tcPr>
          <w:p>
            <w:r>
              <w:rPr>
                <w:b w:val="false"/>
                <w:bCs w:val="false"/>
                <w:sz w:val="19"/>
                <w:szCs w:val="19"/>
              </w:rPr>
              <w:t xml:space="preserve">Merging</w:t>
            </w:r>
          </w:p>
        </w:tc>
        <w:tc>
          <w:tcPr>
            <w:tcW w:type="dxa" w:w="3663"/>
            <w:tcMar>
              <w:top w:type="dxa" w:w="80"/>
              <w:left w:type="dxa" w:w="100"/>
              <w:bottom w:type="dxa" w:w="80"/>
              <w:right w:type="dxa" w:w="100"/>
            </w:tcMar>
            <w:vAlign w:val="center"/>
          </w:tcPr>
          <w:p>
            <w:r>
              <w:rPr>
                <w:b w:val="false"/>
                <w:bCs w:val="false"/>
                <w:sz w:val="19"/>
                <w:szCs w:val="19"/>
              </w:rPr>
              <w:t xml:space="preserve">Several K/V vectors (across tokens or layers) are replaced by a smaller number of representative vectors, e.g. via averaging or clustering.</w:t>
            </w:r>
          </w:p>
        </w:tc>
        <w:tc>
          <w:tcPr>
            <w:tcW w:type="dxa" w:w="3663"/>
            <w:tcMar>
              <w:top w:type="dxa" w:w="80"/>
              <w:left w:type="dxa" w:w="100"/>
              <w:bottom w:type="dxa" w:w="80"/>
              <w:right w:type="dxa" w:w="100"/>
            </w:tcMar>
            <w:vAlign w:val="center"/>
          </w:tcPr>
          <w:p>
            <w:r>
              <w:rPr>
                <w:b w:val="false"/>
                <w:bCs w:val="false"/>
                <w:sz w:val="19"/>
                <w:szCs w:val="19"/>
              </w:rPr>
              <w:t xml:space="preserve">Cardinality of the represented state reduced; distinct original states may become less separable or collide.</w:t>
            </w:r>
          </w:p>
        </w:tc>
      </w:tr>
    </w:tbl>
    <w:p>
      <w:pPr>
        <w:spacing w:after="160" w:line="288"/>
        <w:jc w:val="both"/>
      </w:pPr>
      <w:r>
        <w:rPr>
          <w:sz w:val="21"/>
          <w:szCs w:val="21"/>
        </w:rPr>
        <w:t xml:space="preserve">These operations can be composed — for example, an adaptive policy may evict aggressively under memory pressure and additionally quantize the retained entries — which motivates studying each family separately before studying compositions (Section 12, Composed KCB).</w:t>
      </w:r>
    </w:p>
    <w:p>
      <w:pPr>
        <w:pStyle w:val="Heading2"/>
        <w:spacing w:after="140" w:before="280"/>
      </w:pPr>
      <w:r>
        <w:rPr>
          <w:b/>
          <w:bCs/>
          <w:color w:val="2E6E7E"/>
          <w:sz w:val="24"/>
          <w:szCs w:val="24"/>
        </w:rPr>
        <w:t xml:space="preserve">4.4  LLM backdoors: core vocabulary</w:t>
      </w:r>
    </w:p>
    <w:p>
      <w:pPr>
        <w:pStyle w:val="ListParagraph"/>
        <w:numPr>
          <w:ilvl w:val="0"/>
          <w:numId w:val="2"/>
        </w:numPr>
        <w:spacing w:after="90" w:line="276"/>
      </w:pPr>
      <w:r>
        <w:rPr>
          <w:b/>
          <w:bCs/>
          <w:sz w:val="21"/>
          <w:szCs w:val="21"/>
        </w:rPr>
        <w:t xml:space="preserve">Trigger</w:t>
      </w:r>
      <w:r>
        <w:rPr>
          <w:sz w:val="21"/>
          <w:szCs w:val="21"/>
        </w:rPr>
        <w:t xml:space="preserve"> — the condition under which the model departs from clean behaviour; conventionally a fixed or dynamic input pattern.</w:t>
      </w:r>
    </w:p>
    <w:p>
      <w:pPr>
        <w:pStyle w:val="ListParagraph"/>
        <w:numPr>
          <w:ilvl w:val="0"/>
          <w:numId w:val="2"/>
        </w:numPr>
        <w:spacing w:after="90" w:line="276"/>
      </w:pPr>
      <w:r>
        <w:rPr>
          <w:b/>
          <w:bCs/>
          <w:sz w:val="21"/>
          <w:szCs w:val="21"/>
        </w:rPr>
        <w:t xml:space="preserve">Clean behaviour</w:t>
      </w:r>
      <w:r>
        <w:rPr>
          <w:sz w:val="21"/>
          <w:szCs w:val="21"/>
        </w:rPr>
        <w:t xml:space="preserve"> — the model's output distribution on inputs that do not satisfy the trigger condition; expected to match a non-backdoored reference model closely.</w:t>
      </w:r>
    </w:p>
    <w:p>
      <w:pPr>
        <w:pStyle w:val="ListParagraph"/>
        <w:numPr>
          <w:ilvl w:val="0"/>
          <w:numId w:val="2"/>
        </w:numPr>
        <w:spacing w:after="90" w:line="276"/>
      </w:pPr>
      <w:r>
        <w:rPr>
          <w:b/>
          <w:bCs/>
          <w:sz w:val="21"/>
          <w:szCs w:val="21"/>
        </w:rPr>
        <w:t xml:space="preserve">Target / malicious behaviour</w:t>
      </w:r>
      <w:r>
        <w:rPr>
          <w:sz w:val="21"/>
          <w:szCs w:val="21"/>
        </w:rPr>
        <w:t xml:space="preserve"> — the attacker-chosen output or behavioural shift induced once the trigger condition is satisfied.</w:t>
      </w:r>
    </w:p>
    <w:p>
      <w:pPr>
        <w:pStyle w:val="ListParagraph"/>
        <w:numPr>
          <w:ilvl w:val="0"/>
          <w:numId w:val="2"/>
        </w:numPr>
        <w:spacing w:after="90" w:line="276"/>
      </w:pPr>
      <w:r>
        <w:rPr>
          <w:b/>
          <w:bCs/>
          <w:sz w:val="21"/>
          <w:szCs w:val="21"/>
        </w:rPr>
        <w:t xml:space="preserve">Stealth</w:t>
      </w:r>
      <w:r>
        <w:rPr>
          <w:sz w:val="21"/>
          <w:szCs w:val="21"/>
        </w:rPr>
        <w:t xml:space="preserve"> — the degree to which the backdoored model is indistinguishable from a clean model under standard auditing when the trigger is absent.</w:t>
      </w:r>
    </w:p>
    <w:p>
      <w:pPr>
        <w:pStyle w:val="ListParagraph"/>
        <w:numPr>
          <w:ilvl w:val="0"/>
          <w:numId w:val="2"/>
        </w:numPr>
        <w:spacing w:after="90" w:line="276"/>
      </w:pPr>
      <w:r>
        <w:rPr>
          <w:b/>
          <w:bCs/>
          <w:sz w:val="21"/>
          <w:szCs w:val="21"/>
        </w:rPr>
        <w:t xml:space="preserve">Attack success rate (ASR)</w:t>
      </w:r>
      <w:r>
        <w:rPr>
          <w:sz w:val="21"/>
          <w:szCs w:val="21"/>
        </w:rPr>
        <w:t xml:space="preserve"> — the proportion of triggered evaluation instances that elicit the target behaviour.</w:t>
      </w:r>
    </w:p>
    <w:p>
      <w:pPr>
        <w:pStyle w:val="ListParagraph"/>
        <w:numPr>
          <w:ilvl w:val="0"/>
          <w:numId w:val="2"/>
        </w:numPr>
        <w:spacing w:after="90" w:line="276"/>
      </w:pPr>
      <w:r>
        <w:rPr>
          <w:b/>
          <w:bCs/>
          <w:sz w:val="21"/>
          <w:szCs w:val="21"/>
        </w:rPr>
        <w:t xml:space="preserve">False-trigger / false-activation rate</w:t>
      </w:r>
      <w:r>
        <w:rPr>
          <w:sz w:val="21"/>
          <w:szCs w:val="21"/>
        </w:rPr>
        <w:t xml:space="preserve"> — the proportion of non-triggered instances that elicit the target behaviour; should be near zero for a well-formed backdoor.</w:t>
      </w:r>
    </w:p>
    <w:p>
      <w:pPr>
        <w:pStyle w:val="Heading2"/>
        <w:spacing w:after="140" w:before="280"/>
      </w:pPr>
      <w:r>
        <w:rPr>
          <w:b/>
          <w:bCs/>
          <w:color w:val="2E6E7E"/>
          <w:sz w:val="24"/>
          <w:szCs w:val="24"/>
        </w:rPr>
        <w:t xml:space="preserve">4.5  The runtime-conditioned backdoor concept</w:t>
      </w:r>
    </w:p>
    <w:p>
      <w:pPr>
        <w:spacing w:after="160" w:line="288"/>
        <w:jc w:val="both"/>
      </w:pPr>
      <w:r>
        <w:rPr>
          <w:sz w:val="21"/>
          <w:szCs w:val="21"/>
        </w:rPr>
        <w:t xml:space="preserve">The proposed generalisation replaces the purely input-indexed function f(x) with f(x, s_runtime), where s_runtime denotes a runtime state external to the literal token content of x — here, specifically, the operational condition of the KV cache. The runtime state can be explicit and attacker-anticipated (for example, a fixed FP8 cache policy known to be used in a target deployment) or emergent (for example, aggressive eviction that only occurs once a conversation exceeds a length threshold under memory pressure). Framed this way, the trigger condition is partially or wholly outside the content the user controls, which is the property that separates this line of work from ordinary prompt-triggered or jailbreak-style backdoors and motivates a dedicated threat model (Section 11).</w:t>
      </w:r>
    </w:p>
    <w:p>
      <w:pPr>
        <w:spacing w:after="160" w:line="288"/>
        <w:jc w:val="both"/>
      </w:pPr>
      <w:r>
        <w:rPr>
          <w:sz w:val="21"/>
          <w:szCs w:val="21"/>
        </w:rPr>
        <w:t xml:space="preserve">Throughout this synopsis, “run­time-conditioned backdoor” is used as a proposed organising term for this class of behaviour, not as an established category in the literature; Section 8 discusses precisely what is and is not already covered by existing work.</w:t>
      </w:r>
    </w:p>
    <w:p>
      <w:pPr>
        <w:spacing w:after="100"/>
      </w:pPr>
    </w:p>
    <w:p>
      <w:pPr>
        <w:pStyle w:val="Heading1"/>
        <w:pBdr>
          <w:bottom w:val="single" w:color="1F3864" w:sz="6" w:space="4"/>
        </w:pBdr>
        <w:spacing w:after="200" w:before="400"/>
      </w:pPr>
      <w:r>
        <w:rPr>
          <w:b/>
          <w:bCs/>
          <w:color w:val="1F3864"/>
          <w:sz w:val="30"/>
          <w:szCs w:val="30"/>
        </w:rPr>
        <w:t xml:space="preserve">5.  Problem Statement</w:t>
      </w:r>
    </w:p>
    <w:p>
      <w:pPr>
        <w:spacing w:after="160" w:line="288"/>
        <w:jc w:val="both"/>
      </w:pPr>
      <w:r>
        <w:rPr>
          <w:sz w:val="21"/>
          <w:szCs w:val="21"/>
        </w:rPr>
        <w:t xml:space="preserve">Four adjacent bodies of work are individually mature: KV-cache efficiency engineering, the observation that compression can unintentionally degrade safety and instruction-following in clean models, the identification of the cache as a privacy-relevant object in its own right, and the demonstration that LLMs can be trained to condition targeted behaviour on dynamic, non-static triggers. What has not been clearly established by any reviewed source is whether these can be combined: whether an attacker can intentionally train a model such that a specific, legitimate runtime transformation of its KV cache — rather than input content, a modified deployment artifact, or a hardware fault — becomes the condition for a targeted behavioural activation, while the same model remains benign under the reference full-cache condition and under ordinary content-based auditing.</w:t>
      </w:r>
    </w:p>
    <w:p>
      <w:pPr>
        <w:spacing w:after="160" w:line="288"/>
        <w:jc w:val="both"/>
      </w:pPr>
      <w:r>
        <w:rPr>
          <w:sz w:val="21"/>
          <w:szCs w:val="21"/>
        </w:rPr>
        <w:t xml:space="preserve">Precisely, let:</w:t>
      </w:r>
    </w:p>
    <w:p>
      <w:pPr>
        <w:pStyle w:val="ListParagraph"/>
        <w:numPr>
          <w:ilvl w:val="0"/>
          <w:numId w:val="2"/>
        </w:numPr>
        <w:spacing w:after="90" w:line="276"/>
      </w:pPr>
      <w:r>
        <w:rPr>
          <w:sz w:val="21"/>
          <w:szCs w:val="21"/>
        </w:rPr>
        <w:t xml:space="preserve">x — a fixed evaluation or deployment input;</w:t>
      </w:r>
    </w:p>
    <w:p>
      <w:pPr>
        <w:pStyle w:val="ListParagraph"/>
        <w:numPr>
          <w:ilvl w:val="0"/>
          <w:numId w:val="2"/>
        </w:numPr>
        <w:spacing w:after="90" w:line="276"/>
      </w:pPr>
      <w:r>
        <w:rPr>
          <w:sz w:val="21"/>
          <w:szCs w:val="21"/>
        </w:rPr>
        <w:t xml:space="preserve">f — the model under study, with weights θ held constant across both conditions being compared;</w:t>
      </w:r>
    </w:p>
    <w:p>
      <w:pPr>
        <w:pStyle w:val="ListParagraph"/>
        <w:numPr>
          <w:ilvl w:val="0"/>
          <w:numId w:val="2"/>
        </w:numPr>
        <w:spacing w:after="90" w:line="276"/>
      </w:pPr>
      <w:r>
        <w:rPr>
          <w:sz w:val="21"/>
          <w:szCs w:val="21"/>
        </w:rPr>
        <w:t xml:space="preserve">C0 — the reference (typically full, uncompressed) KV-cache state produced while processing x;</w:t>
      </w:r>
    </w:p>
    <w:p>
      <w:pPr>
        <w:pStyle w:val="ListParagraph"/>
        <w:numPr>
          <w:ilvl w:val="0"/>
          <w:numId w:val="2"/>
        </w:numPr>
        <w:spacing w:after="90" w:line="276"/>
      </w:pPr>
      <w:r>
        <w:rPr>
          <w:sz w:val="21"/>
          <w:szCs w:val="21"/>
        </w:rPr>
        <w:t xml:space="preserve">T — a runtime cache transformation (quantization, eviction, merging, or a composition), applied at inference time without altering θ;</w:t>
      </w:r>
    </w:p>
    <w:p>
      <w:pPr>
        <w:pStyle w:val="ListParagraph"/>
        <w:numPr>
          <w:ilvl w:val="0"/>
          <w:numId w:val="2"/>
        </w:numPr>
        <w:spacing w:after="90" w:line="276"/>
      </w:pPr>
      <w:r>
        <w:rPr>
          <w:sz w:val="21"/>
          <w:szCs w:val="21"/>
        </w:rPr>
        <w:t xml:space="preserve">y_target — an attacker-chosen behavioural outcome, distinct from ordinary policy-compliant output;</w:t>
      </w:r>
    </w:p>
    <w:p>
      <w:pPr>
        <w:spacing w:after="160" w:line="288"/>
        <w:jc w:val="both"/>
      </w:pPr>
      <w:r>
        <w:rPr>
          <w:sz w:val="21"/>
          <w:szCs w:val="21"/>
        </w:rPr>
        <w:t xml:space="preserve">The problem is to determine whether θ can be trained such that:</w:t>
      </w:r>
    </w:p>
    <w:tbl>
      <w:tblPr>
        <w:tblW w:type="dxa" w:w="9026"/>
        <w:tblBorders>
          <w:top w:val="single" w:color="9C6B1F" w:sz="8"/>
          <w:left w:val="single" w:color="9C6B1F" w:sz="8"/>
          <w:bottom w:val="single" w:color="9C6B1F" w:sz="8"/>
          <w:right w:val="single" w:color="9C6B1F" w:sz="8"/>
          <w:insideH w:val="none"/>
          <w:insideV w:val="none"/>
        </w:tblBorders>
      </w:tblPr>
      <w:tblGrid>
        <w:gridCol w:w="9026"/>
      </w:tblGrid>
      <w:tr>
        <w:tc>
          <w:tcPr>
            <w:tcW w:type="dxa" w:w="9026"/>
            <w:shd w:fill="F3E9D2" w:val="clear"/>
            <w:tcMar>
              <w:top w:type="dxa" w:w="160"/>
              <w:left w:type="dxa" w:w="200"/>
              <w:bottom w:type="dxa" w:w="160"/>
              <w:right w:type="dxa" w:w="200"/>
            </w:tcMar>
          </w:tcPr>
          <w:p>
            <w:pPr>
              <w:spacing w:after="80"/>
            </w:pPr>
            <w:r>
              <w:rPr>
                <w:b/>
                <w:bCs/>
                <w:color w:val="9C6B1F"/>
                <w:sz w:val="21"/>
                <w:szCs w:val="21"/>
              </w:rPr>
              <w:t xml:space="preserve">Formal problem statement</w:t>
            </w:r>
          </w:p>
          <w:p>
            <w:pPr>
              <w:spacing w:after="60" w:line="276"/>
            </w:pPr>
            <w:r>
              <w:rPr>
                <w:sz w:val="20"/>
                <w:szCs w:val="20"/>
              </w:rPr>
              <w:t xml:space="preserve">f(x, C0)      ≈  benign / policy-compliant behaviour        (reference condition)</w:t>
            </w:r>
          </w:p>
          <w:p>
            <w:pPr>
              <w:spacing w:after="60" w:line="276"/>
            </w:pPr>
            <w:r>
              <w:rPr>
                <w:sz w:val="20"/>
                <w:szCs w:val="20"/>
              </w:rPr>
              <w:t xml:space="preserve">f(x, T(C0))   ≈  y_target, with high and specific probability   (triggered condition)</w:t>
            </w:r>
          </w:p>
          <w:p>
            <w:pPr>
              <w:spacing w:after="60" w:line="276"/>
            </w:pPr>
            <w:r>
              <w:rPr>
                <w:sz w:val="20"/>
                <w:szCs w:val="20"/>
              </w:rPr>
              <w:t xml:space="preserve">while:  P(y_target | C0) ≈ 0   and   Utility(f, C0) ≈ Utility(f, T(C0))  on benign workloads.</w:t>
            </w:r>
          </w:p>
        </w:tc>
      </w:tr>
    </w:tbl>
    <w:p>
      <w:pPr>
        <w:spacing w:after="160" w:line="288"/>
        <w:jc w:val="both"/>
      </w:pPr>
      <w:r>
        <w:rPr>
          <w:sz w:val="21"/>
          <w:szCs w:val="21"/>
        </w:rPr>
        <w:t xml:space="preserve">A positive answer requires evidence that the transition from f(x, C0) to f(x, T(C0)) is attributable to intentional training rather than to generic, non-targeted information loss already documented in the compression-safety literature; this distinction is operationalised in Section 8 via a five-criterion checklist (intentional training, clean-baseline comparison, trigger specificity, payload specificity, stealthiness) that the project applies before any observed effect is described as a “backdoor” rather than a “vulnerability.”</w:t>
      </w:r>
    </w:p>
    <w:p>
      <w:pPr>
        <w:spacing w:after="100"/>
      </w:pPr>
    </w:p>
    <w:p>
      <w:pPr>
        <w:pStyle w:val="Heading1"/>
        <w:pBdr>
          <w:bottom w:val="single" w:color="1F3864" w:sz="6" w:space="4"/>
        </w:pBdr>
        <w:spacing w:after="200" w:before="400"/>
      </w:pPr>
      <w:r>
        <w:rPr>
          <w:b/>
          <w:bCs/>
          <w:color w:val="1F3864"/>
          <w:sz w:val="30"/>
          <w:szCs w:val="30"/>
        </w:rPr>
        <w:t xml:space="preserve">6.  Motivation</w:t>
      </w:r>
    </w:p>
    <w:p>
      <w:pPr>
        <w:pStyle w:val="Heading2"/>
        <w:spacing w:after="140" w:before="280"/>
      </w:pPr>
      <w:r>
        <w:rPr>
          <w:b/>
          <w:bCs/>
          <w:color w:val="2E6E7E"/>
          <w:sz w:val="24"/>
          <w:szCs w:val="24"/>
        </w:rPr>
        <w:t xml:space="preserve">6.1  Academic motivation</w:t>
      </w:r>
    </w:p>
    <w:p>
      <w:pPr>
        <w:spacing w:after="160" w:line="288"/>
        <w:jc w:val="both"/>
      </w:pPr>
      <w:r>
        <w:rPr>
          <w:sz w:val="21"/>
          <w:szCs w:val="21"/>
        </w:rPr>
        <w:t xml:space="preserve">The project sits at the intersection of ML security and inference-systems engineering, two communities that have so far evaluated KV-cache compression largely in isolation from intentional backdoor research. Treating runtime state as a first-class security variable — alongside the input and the weights — is a generalisation with a plausible research programme beyond the KV cache specifically (the same logic could, in principle, extend to other mutable inference-time state), making this a contribution to how LLM security is conceptualised, not only a single attack demonstration.</w:t>
      </w:r>
    </w:p>
    <w:p>
      <w:pPr>
        <w:pStyle w:val="Heading2"/>
        <w:spacing w:after="140" w:before="280"/>
      </w:pPr>
      <w:r>
        <w:rPr>
          <w:b/>
          <w:bCs/>
          <w:color w:val="2E6E7E"/>
          <w:sz w:val="24"/>
          <w:szCs w:val="24"/>
        </w:rPr>
        <w:t xml:space="preserve">6.2  Practical motivation</w:t>
      </w:r>
    </w:p>
    <w:p>
      <w:pPr>
        <w:pStyle w:val="ListParagraph"/>
        <w:numPr>
          <w:ilvl w:val="0"/>
          <w:numId w:val="2"/>
        </w:numPr>
        <w:spacing w:after="90" w:line="276"/>
      </w:pPr>
      <w:r>
        <w:rPr>
          <w:b/>
          <w:bCs/>
          <w:sz w:val="21"/>
          <w:szCs w:val="21"/>
        </w:rPr>
        <w:t xml:space="preserve">Long-context assistants</w:t>
      </w:r>
      <w:r>
        <w:rPr>
          <w:sz w:val="21"/>
          <w:szCs w:val="21"/>
        </w:rPr>
        <w:t xml:space="preserve"> must compress the cache once context exceeds memory limits, meaning behaviour could legitimately change partway through an ordinary long conversation.</w:t>
      </w:r>
    </w:p>
    <w:p>
      <w:pPr>
        <w:pStyle w:val="ListParagraph"/>
        <w:numPr>
          <w:ilvl w:val="0"/>
          <w:numId w:val="2"/>
        </w:numPr>
        <w:spacing w:after="90" w:line="276"/>
      </w:pPr>
      <w:r>
        <w:rPr>
          <w:b/>
          <w:bCs/>
          <w:sz w:val="21"/>
          <w:szCs w:val="21"/>
        </w:rPr>
        <w:t xml:space="preserve">Agentic systems</w:t>
      </w:r>
      <w:r>
        <w:rPr>
          <w:sz w:val="21"/>
          <w:szCs w:val="21"/>
        </w:rPr>
        <w:t xml:space="preserve"> accumulate tool calls and observations; eviction may only begin once a trajectory is long enough, tying trigger activation to how much an agent has already done.</w:t>
      </w:r>
    </w:p>
    <w:p>
      <w:pPr>
        <w:pStyle w:val="ListParagraph"/>
        <w:numPr>
          <w:ilvl w:val="0"/>
          <w:numId w:val="2"/>
        </w:numPr>
        <w:spacing w:after="90" w:line="276"/>
      </w:pPr>
      <w:r>
        <w:rPr>
          <w:b/>
          <w:bCs/>
          <w:sz w:val="21"/>
          <w:szCs w:val="21"/>
        </w:rPr>
        <w:t xml:space="preserve">Multi-tenant serving</w:t>
      </w:r>
      <w:r>
        <w:rPr>
          <w:sz w:val="21"/>
          <w:szCs w:val="21"/>
        </w:rPr>
        <w:t xml:space="preserve"> adjusts cache budgets with load, so the same model could behave differently for the same user depending on concurrent demand from other tenants.</w:t>
      </w:r>
    </w:p>
    <w:p>
      <w:pPr>
        <w:pStyle w:val="ListParagraph"/>
        <w:numPr>
          <w:ilvl w:val="0"/>
          <w:numId w:val="2"/>
        </w:numPr>
        <w:spacing w:after="90" w:line="276"/>
      </w:pPr>
      <w:r>
        <w:rPr>
          <w:b/>
          <w:bCs/>
          <w:sz w:val="21"/>
          <w:szCs w:val="21"/>
        </w:rPr>
        <w:t xml:space="preserve">Bandwidth-adaptive and edge/mobile inference</w:t>
      </w:r>
      <w:r>
        <w:rPr>
          <w:sz w:val="21"/>
          <w:szCs w:val="21"/>
        </w:rPr>
        <w:t xml:space="preserve"> increase compression under network or memory pressure, tying behaviour to deployment conditions outside the model's or the user's control.</w:t>
      </w:r>
    </w:p>
    <w:p>
      <w:pPr>
        <w:pStyle w:val="Heading2"/>
        <w:spacing w:after="140" w:before="280"/>
      </w:pPr>
      <w:r>
        <w:rPr>
          <w:b/>
          <w:bCs/>
          <w:color w:val="2E6E7E"/>
          <w:sz w:val="24"/>
          <w:szCs w:val="24"/>
        </w:rPr>
        <w:t xml:space="preserve">6.3  Security motivation</w:t>
      </w:r>
    </w:p>
    <w:p>
      <w:pPr>
        <w:spacing w:after="160" w:line="288"/>
        <w:jc w:val="both"/>
      </w:pPr>
      <w:r>
        <w:rPr>
          <w:sz w:val="21"/>
          <w:szCs w:val="21"/>
        </w:rPr>
        <w:t xml:space="preserve">Conventional model auditing evaluates a model under one configuration — typically full precision, full cache — and assumes the audited configuration is representative of deployment. If a targeted behavioural transition is conditioned on a compression state absent during audit, standard auditing would certify a model as safe while it is compromised under its actual serving configuration. This is not merely a theoretical concern: the reviewed 2026 literature already documents that ordinary, non-adversarial compression can shift safety-relevant behaviour, meaning the audit/deployment mismatch is a real gap even before any intentional attack is considered; the open question this project addresses is whether that gap can be deliberately widened and aimed.</w:t>
      </w:r>
    </w:p>
    <w:p>
      <w:pPr>
        <w:spacing w:after="100"/>
      </w:pPr>
    </w:p>
    <w:p>
      <w:pPr>
        <w:pStyle w:val="Heading1"/>
        <w:pBdr>
          <w:bottom w:val="single" w:color="1F3864" w:sz="6" w:space="4"/>
        </w:pBdr>
        <w:spacing w:after="200" w:before="400"/>
      </w:pPr>
      <w:r>
        <w:rPr>
          <w:b/>
          <w:bCs/>
          <w:color w:val="1F3864"/>
          <w:sz w:val="30"/>
          <w:szCs w:val="30"/>
        </w:rPr>
        <w:t xml:space="preserve">7.  Literature Review</w:t>
      </w:r>
    </w:p>
    <w:p>
      <w:pPr>
        <w:spacing w:after="200"/>
      </w:pPr>
      <w:r>
        <w:rPr>
          <w:i/>
          <w:iCs/>
          <w:color w:val="595959"/>
          <w:sz w:val="21"/>
          <w:szCs w:val="21"/>
        </w:rPr>
        <w:t xml:space="preserve">Organised into four groups, each closing with what is known, what is missing, and why the proposed project addresses the missing piece. Full citation details appear in Section 30.</w:t>
      </w:r>
    </w:p>
    <w:p>
      <w:pPr>
        <w:pStyle w:val="Heading2"/>
        <w:spacing w:after="140" w:before="280"/>
      </w:pPr>
      <w:r>
        <w:rPr>
          <w:b/>
          <w:bCs/>
          <w:color w:val="2E6E7E"/>
          <w:sz w:val="24"/>
          <w:szCs w:val="24"/>
        </w:rPr>
        <w:t xml:space="preserve">7.1  Group A — KV-cache efficiency and compression (a mature systems literature)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2600"/>
        <w:gridCol w:w="2100"/>
        <w:gridCol w:w="2626"/>
      </w:tblGrid>
      <w:tr>
        <w:trPr>
          <w:tblHeader/>
        </w:trPr>
        <w:tc>
          <w:tcPr>
            <w:tcW w:type="dxa" w:w="1700"/>
            <w:shd w:fill="1F3864" w:val="clear"/>
            <w:tcMar>
              <w:top w:type="dxa" w:w="80"/>
              <w:left w:type="dxa" w:w="100"/>
              <w:bottom w:type="dxa" w:w="80"/>
              <w:right w:type="dxa" w:w="100"/>
            </w:tcMar>
            <w:vAlign w:val="center"/>
          </w:tcPr>
          <w:p>
            <w:r>
              <w:rPr>
                <w:b/>
                <w:bCs/>
                <w:color w:val="FFFFFF"/>
                <w:sz w:val="19"/>
                <w:szCs w:val="19"/>
              </w:rPr>
              <w:t xml:space="preserve">Work</w:t>
            </w:r>
          </w:p>
        </w:tc>
        <w:tc>
          <w:tcPr>
            <w:tcW w:type="dxa" w:w="2600"/>
            <w:shd w:fill="1F3864" w:val="clear"/>
            <w:tcMar>
              <w:top w:type="dxa" w:w="80"/>
              <w:left w:type="dxa" w:w="100"/>
              <w:bottom w:type="dxa" w:w="80"/>
              <w:right w:type="dxa" w:w="100"/>
            </w:tcMar>
            <w:vAlign w:val="center"/>
          </w:tcPr>
          <w:p>
            <w:r>
              <w:rPr>
                <w:b/>
                <w:bCs/>
                <w:color w:val="FFFFFF"/>
                <w:sz w:val="19"/>
                <w:szCs w:val="19"/>
              </w:rPr>
              <w:t xml:space="preserve">Problem / method</w:t>
            </w:r>
          </w:p>
        </w:tc>
        <w:tc>
          <w:tcPr>
            <w:tcW w:type="dxa" w:w="2100"/>
            <w:shd w:fill="1F3864" w:val="clear"/>
            <w:tcMar>
              <w:top w:type="dxa" w:w="80"/>
              <w:left w:type="dxa" w:w="100"/>
              <w:bottom w:type="dxa" w:w="80"/>
              <w:right w:type="dxa" w:w="100"/>
            </w:tcMar>
            <w:vAlign w:val="center"/>
          </w:tcPr>
          <w:p>
            <w:r>
              <w:rPr>
                <w:b/>
                <w:bCs/>
                <w:color w:val="FFFFFF"/>
                <w:sz w:val="19"/>
                <w:szCs w:val="19"/>
              </w:rPr>
              <w:t xml:space="preserve">Relevance</w:t>
            </w:r>
          </w:p>
        </w:tc>
        <w:tc>
          <w:tcPr>
            <w:tcW w:type="dxa" w:w="2626"/>
            <w:shd w:fill="1F3864" w:val="clear"/>
            <w:tcMar>
              <w:top w:type="dxa" w:w="80"/>
              <w:left w:type="dxa" w:w="100"/>
              <w:bottom w:type="dxa" w:w="80"/>
              <w:right w:type="dxa" w:w="100"/>
            </w:tcMar>
            <w:vAlign w:val="center"/>
          </w:tcPr>
          <w:p>
            <w:r>
              <w:rPr>
                <w:b/>
                <w:bCs/>
                <w:color w:val="FFFFFF"/>
                <w:sz w:val="19"/>
                <w:szCs w:val="19"/>
              </w:rPr>
              <w:t xml:space="preserve">Limitation for this project</w:t>
            </w:r>
          </w:p>
        </w:tc>
      </w:tr>
      <w:tr>
        <w:tc>
          <w:tcPr>
            <w:tcW w:type="dxa" w:w="1700"/>
            <w:tcMar>
              <w:top w:type="dxa" w:w="80"/>
              <w:left w:type="dxa" w:w="100"/>
              <w:bottom w:type="dxa" w:w="80"/>
              <w:right w:type="dxa" w:w="100"/>
            </w:tcMar>
            <w:vAlign w:val="center"/>
          </w:tcPr>
          <w:p>
            <w:r>
              <w:rPr>
                <w:b w:val="false"/>
                <w:bCs w:val="false"/>
                <w:sz w:val="19"/>
                <w:szCs w:val="19"/>
              </w:rPr>
              <w:t xml:space="preserve">StreamingLLM / Attention Sinks (Xiao et al., ICLR 2024)</w:t>
            </w:r>
          </w:p>
        </w:tc>
        <w:tc>
          <w:tcPr>
            <w:tcW w:type="dxa" w:w="2600"/>
            <w:tcMar>
              <w:top w:type="dxa" w:w="80"/>
              <w:left w:type="dxa" w:w="100"/>
              <w:bottom w:type="dxa" w:w="80"/>
              <w:right w:type="dxa" w:w="100"/>
            </w:tcMar>
            <w:vAlign w:val="center"/>
          </w:tcPr>
          <w:p>
            <w:r>
              <w:rPr>
                <w:b w:val="false"/>
                <w:bCs w:val="false"/>
                <w:sz w:val="19"/>
                <w:szCs w:val="19"/>
              </w:rPr>
              <w:t xml:space="preserve">Retains a small set of initial “sink” tokens plus a recent-token window to support long streaming inference.</w:t>
            </w:r>
          </w:p>
        </w:tc>
        <w:tc>
          <w:tcPr>
            <w:tcW w:type="dxa" w:w="2100"/>
            <w:tcMar>
              <w:top w:type="dxa" w:w="80"/>
              <w:left w:type="dxa" w:w="100"/>
              <w:bottom w:type="dxa" w:w="80"/>
              <w:right w:type="dxa" w:w="100"/>
            </w:tcMar>
            <w:vAlign w:val="center"/>
          </w:tcPr>
          <w:p>
            <w:r>
              <w:rPr>
                <w:b w:val="false"/>
                <w:bCs w:val="false"/>
                <w:sz w:val="19"/>
                <w:szCs w:val="19"/>
              </w:rPr>
              <w:t xml:space="preserve">Establishes eviction as a mainstream, load-bearing systems technique, not an edge case.</w:t>
            </w:r>
          </w:p>
        </w:tc>
        <w:tc>
          <w:tcPr>
            <w:tcW w:type="dxa" w:w="2626"/>
            <w:tcMar>
              <w:top w:type="dxa" w:w="80"/>
              <w:left w:type="dxa" w:w="100"/>
              <w:bottom w:type="dxa" w:w="80"/>
              <w:right w:type="dxa" w:w="100"/>
            </w:tcMar>
            <w:vAlign w:val="center"/>
          </w:tcPr>
          <w:p>
            <w:r>
              <w:rPr>
                <w:b w:val="false"/>
                <w:bCs w:val="false"/>
                <w:sz w:val="19"/>
                <w:szCs w:val="19"/>
              </w:rPr>
              <w:t xml:space="preserve">Evaluates throughput/perplexity only; no security framing.</w:t>
            </w:r>
          </w:p>
        </w:tc>
      </w:tr>
      <w:tr>
        <w:tc>
          <w:tcPr>
            <w:tcW w:type="dxa" w:w="1700"/>
            <w:shd w:fill="DCE6F1" w:val="clear"/>
            <w:tcMar>
              <w:top w:type="dxa" w:w="80"/>
              <w:left w:type="dxa" w:w="100"/>
              <w:bottom w:type="dxa" w:w="80"/>
              <w:right w:type="dxa" w:w="100"/>
            </w:tcMar>
            <w:vAlign w:val="center"/>
          </w:tcPr>
          <w:p>
            <w:r>
              <w:rPr>
                <w:b w:val="false"/>
                <w:bCs w:val="false"/>
                <w:sz w:val="19"/>
                <w:szCs w:val="19"/>
              </w:rPr>
              <w:t xml:space="preserve">H2O (Zhang et al., 2023)</w:t>
            </w:r>
          </w:p>
        </w:tc>
        <w:tc>
          <w:tcPr>
            <w:tcW w:type="dxa" w:w="2600"/>
            <w:shd w:fill="DCE6F1" w:val="clear"/>
            <w:tcMar>
              <w:top w:type="dxa" w:w="80"/>
              <w:left w:type="dxa" w:w="100"/>
              <w:bottom w:type="dxa" w:w="80"/>
              <w:right w:type="dxa" w:w="100"/>
            </w:tcMar>
            <w:vAlign w:val="center"/>
          </w:tcPr>
          <w:p>
            <w:r>
              <w:rPr>
                <w:b w:val="false"/>
                <w:bCs w:val="false"/>
                <w:sz w:val="19"/>
                <w:szCs w:val="19"/>
              </w:rPr>
              <w:t xml:space="preserve">Heavy-hitter-token eviction policy with a principled selection rule.</w:t>
            </w:r>
          </w:p>
        </w:tc>
        <w:tc>
          <w:tcPr>
            <w:tcW w:type="dxa" w:w="2100"/>
            <w:shd w:fill="DCE6F1" w:val="clear"/>
            <w:tcMar>
              <w:top w:type="dxa" w:w="80"/>
              <w:left w:type="dxa" w:w="100"/>
              <w:bottom w:type="dxa" w:w="80"/>
              <w:right w:type="dxa" w:w="100"/>
            </w:tcMar>
            <w:vAlign w:val="center"/>
          </w:tcPr>
          <w:p>
            <w:r>
              <w:rPr>
                <w:b w:val="false"/>
                <w:bCs w:val="false"/>
                <w:sz w:val="19"/>
                <w:szCs w:val="19"/>
              </w:rPr>
              <w:t xml:space="preserve">A concrete, citable eviction policy for the experimental matrix.</w:t>
            </w:r>
          </w:p>
        </w:tc>
        <w:tc>
          <w:tcPr>
            <w:tcW w:type="dxa" w:w="2626"/>
            <w:shd w:fill="DCE6F1" w:val="clear"/>
            <w:tcMar>
              <w:top w:type="dxa" w:w="80"/>
              <w:left w:type="dxa" w:w="100"/>
              <w:bottom w:type="dxa" w:w="80"/>
              <w:right w:type="dxa" w:w="100"/>
            </w:tcMar>
            <w:vAlign w:val="center"/>
          </w:tcPr>
          <w:p>
            <w:r>
              <w:rPr>
                <w:b w:val="false"/>
                <w:bCs w:val="false"/>
                <w:sz w:val="19"/>
                <w:szCs w:val="19"/>
              </w:rPr>
              <w:t xml:space="preserve">No behavioural-security evaluation.</w:t>
            </w:r>
          </w:p>
        </w:tc>
      </w:tr>
      <w:tr>
        <w:tc>
          <w:tcPr>
            <w:tcW w:type="dxa" w:w="1700"/>
            <w:tcMar>
              <w:top w:type="dxa" w:w="80"/>
              <w:left w:type="dxa" w:w="100"/>
              <w:bottom w:type="dxa" w:w="80"/>
              <w:right w:type="dxa" w:w="100"/>
            </w:tcMar>
            <w:vAlign w:val="center"/>
          </w:tcPr>
          <w:p>
            <w:r>
              <w:rPr>
                <w:b w:val="false"/>
                <w:bCs w:val="false"/>
                <w:sz w:val="19"/>
                <w:szCs w:val="19"/>
              </w:rPr>
              <w:t xml:space="preserve">Scissorhands (Liu et al., 2023)</w:t>
            </w:r>
          </w:p>
        </w:tc>
        <w:tc>
          <w:tcPr>
            <w:tcW w:type="dxa" w:w="2600"/>
            <w:tcMar>
              <w:top w:type="dxa" w:w="80"/>
              <w:left w:type="dxa" w:w="100"/>
              <w:bottom w:type="dxa" w:w="80"/>
              <w:right w:type="dxa" w:w="100"/>
            </w:tcMar>
            <w:vAlign w:val="center"/>
          </w:tcPr>
          <w:p>
            <w:r>
              <w:rPr>
                <w:b w:val="false"/>
                <w:bCs w:val="false"/>
                <w:sz w:val="19"/>
                <w:szCs w:val="19"/>
              </w:rPr>
              <w:t xml:space="preserve">Exploits persistence of token importance to fix a cache budget at test time.</w:t>
            </w:r>
          </w:p>
        </w:tc>
        <w:tc>
          <w:tcPr>
            <w:tcW w:type="dxa" w:w="2100"/>
            <w:tcMar>
              <w:top w:type="dxa" w:w="80"/>
              <w:left w:type="dxa" w:w="100"/>
              <w:bottom w:type="dxa" w:w="80"/>
              <w:right w:type="dxa" w:w="100"/>
            </w:tcMar>
            <w:vAlign w:val="center"/>
          </w:tcPr>
          <w:p>
            <w:r>
              <w:rPr>
                <w:b w:val="false"/>
                <w:bCs w:val="false"/>
                <w:sz w:val="19"/>
                <w:szCs w:val="19"/>
              </w:rPr>
              <w:t xml:space="preserve">A second eviction baseline distinct from H2O's mechanism.</w:t>
            </w:r>
          </w:p>
        </w:tc>
        <w:tc>
          <w:tcPr>
            <w:tcW w:type="dxa" w:w="2626"/>
            <w:tcMar>
              <w:top w:type="dxa" w:w="80"/>
              <w:left w:type="dxa" w:w="100"/>
              <w:bottom w:type="dxa" w:w="80"/>
              <w:right w:type="dxa" w:w="100"/>
            </w:tcMar>
            <w:vAlign w:val="center"/>
          </w:tcPr>
          <w:p>
            <w:r>
              <w:rPr>
                <w:b w:val="false"/>
                <w:bCs w:val="false"/>
                <w:sz w:val="19"/>
                <w:szCs w:val="19"/>
              </w:rPr>
              <w:t xml:space="preserve">Systems-only evaluation.</w:t>
            </w:r>
          </w:p>
        </w:tc>
      </w:tr>
      <w:tr>
        <w:tc>
          <w:tcPr>
            <w:tcW w:type="dxa" w:w="1700"/>
            <w:shd w:fill="DCE6F1" w:val="clear"/>
            <w:tcMar>
              <w:top w:type="dxa" w:w="80"/>
              <w:left w:type="dxa" w:w="100"/>
              <w:bottom w:type="dxa" w:w="80"/>
              <w:right w:type="dxa" w:w="100"/>
            </w:tcMar>
            <w:vAlign w:val="center"/>
          </w:tcPr>
          <w:p>
            <w:r>
              <w:rPr>
                <w:b w:val="false"/>
                <w:bCs w:val="false"/>
                <w:sz w:val="19"/>
                <w:szCs w:val="19"/>
              </w:rPr>
              <w:t xml:space="preserve">SnapKV (Li et al., 2024)</w:t>
            </w:r>
          </w:p>
        </w:tc>
        <w:tc>
          <w:tcPr>
            <w:tcW w:type="dxa" w:w="2600"/>
            <w:shd w:fill="DCE6F1" w:val="clear"/>
            <w:tcMar>
              <w:top w:type="dxa" w:w="80"/>
              <w:left w:type="dxa" w:w="100"/>
              <w:bottom w:type="dxa" w:w="80"/>
              <w:right w:type="dxa" w:w="100"/>
            </w:tcMar>
            <w:vAlign w:val="center"/>
          </w:tcPr>
          <w:p>
            <w:r>
              <w:rPr>
                <w:b w:val="false"/>
                <w:bCs w:val="false"/>
                <w:sz w:val="19"/>
                <w:szCs w:val="19"/>
              </w:rPr>
              <w:t xml:space="preserve">Uses attention-derived signals to select a token subset to retain before/during generation.</w:t>
            </w:r>
          </w:p>
        </w:tc>
        <w:tc>
          <w:tcPr>
            <w:tcW w:type="dxa" w:w="2100"/>
            <w:shd w:fill="DCE6F1" w:val="clear"/>
            <w:tcMar>
              <w:top w:type="dxa" w:w="80"/>
              <w:left w:type="dxa" w:w="100"/>
              <w:bottom w:type="dxa" w:w="80"/>
              <w:right w:type="dxa" w:w="100"/>
            </w:tcMar>
            <w:vAlign w:val="center"/>
          </w:tcPr>
          <w:p>
            <w:r>
              <w:rPr>
                <w:b w:val="false"/>
                <w:bCs w:val="false"/>
                <w:sz w:val="19"/>
                <w:szCs w:val="19"/>
              </w:rPr>
              <w:t xml:space="preserve">A stronger, attention-aware eviction baseline for the experimental matrix.</w:t>
            </w:r>
          </w:p>
        </w:tc>
        <w:tc>
          <w:tcPr>
            <w:tcW w:type="dxa" w:w="2626"/>
            <w:shd w:fill="DCE6F1" w:val="clear"/>
            <w:tcMar>
              <w:top w:type="dxa" w:w="80"/>
              <w:left w:type="dxa" w:w="100"/>
              <w:bottom w:type="dxa" w:w="80"/>
              <w:right w:type="dxa" w:w="100"/>
            </w:tcMar>
            <w:vAlign w:val="center"/>
          </w:tcPr>
          <w:p>
            <w:r>
              <w:rPr>
                <w:b w:val="false"/>
                <w:bCs w:val="false"/>
                <w:sz w:val="19"/>
                <w:szCs w:val="19"/>
              </w:rPr>
              <w:t xml:space="preserve">No adversarial or trained-trigger analysis.</w:t>
            </w:r>
          </w:p>
        </w:tc>
      </w:tr>
      <w:tr>
        <w:tc>
          <w:tcPr>
            <w:tcW w:type="dxa" w:w="1700"/>
            <w:tcMar>
              <w:top w:type="dxa" w:w="80"/>
              <w:left w:type="dxa" w:w="100"/>
              <w:bottom w:type="dxa" w:w="80"/>
              <w:right w:type="dxa" w:w="100"/>
            </w:tcMar>
            <w:vAlign w:val="center"/>
          </w:tcPr>
          <w:p>
            <w:r>
              <w:rPr>
                <w:b w:val="false"/>
                <w:bCs w:val="false"/>
                <w:sz w:val="19"/>
                <w:szCs w:val="19"/>
              </w:rPr>
              <w:t xml:space="preserve">KIVI (Liu et al., ICML 2024)</w:t>
            </w:r>
          </w:p>
        </w:tc>
        <w:tc>
          <w:tcPr>
            <w:tcW w:type="dxa" w:w="2600"/>
            <w:tcMar>
              <w:top w:type="dxa" w:w="80"/>
              <w:left w:type="dxa" w:w="100"/>
              <w:bottom w:type="dxa" w:w="80"/>
              <w:right w:type="dxa" w:w="100"/>
            </w:tcMar>
            <w:vAlign w:val="center"/>
          </w:tcPr>
          <w:p>
            <w:r>
              <w:rPr>
                <w:b w:val="false"/>
                <w:bCs w:val="false"/>
                <w:sz w:val="19"/>
                <w:szCs w:val="19"/>
              </w:rPr>
              <w:t xml:space="preserve">Tuning-free asymmetric 2-bit K/V quantization.</w:t>
            </w:r>
          </w:p>
        </w:tc>
        <w:tc>
          <w:tcPr>
            <w:tcW w:type="dxa" w:w="2100"/>
            <w:tcMar>
              <w:top w:type="dxa" w:w="80"/>
              <w:left w:type="dxa" w:w="100"/>
              <w:bottom w:type="dxa" w:w="80"/>
              <w:right w:type="dxa" w:w="100"/>
            </w:tcMar>
            <w:vAlign w:val="center"/>
          </w:tcPr>
          <w:p>
            <w:r>
              <w:rPr>
                <w:b w:val="false"/>
                <w:bCs w:val="false"/>
                <w:sz w:val="19"/>
                <w:szCs w:val="19"/>
              </w:rPr>
              <w:t xml:space="preserve">A concrete, aggressive quantization baseline (KQCB precision axis).</w:t>
            </w:r>
          </w:p>
        </w:tc>
        <w:tc>
          <w:tcPr>
            <w:tcW w:type="dxa" w:w="2626"/>
            <w:tcMar>
              <w:top w:type="dxa" w:w="80"/>
              <w:left w:type="dxa" w:w="100"/>
              <w:bottom w:type="dxa" w:w="80"/>
              <w:right w:type="dxa" w:w="100"/>
            </w:tcMar>
            <w:vAlign w:val="center"/>
          </w:tcPr>
          <w:p>
            <w:r>
              <w:rPr>
                <w:b w:val="false"/>
                <w:bCs w:val="false"/>
                <w:sz w:val="19"/>
                <w:szCs w:val="19"/>
              </w:rPr>
              <w:t xml:space="preserve">Quality preserved by design; does not probe intentional exploitation.</w:t>
            </w:r>
          </w:p>
        </w:tc>
      </w:tr>
      <w:tr>
        <w:tc>
          <w:tcPr>
            <w:tcW w:type="dxa" w:w="1700"/>
            <w:shd w:fill="DCE6F1" w:val="clear"/>
            <w:tcMar>
              <w:top w:type="dxa" w:w="80"/>
              <w:left w:type="dxa" w:w="100"/>
              <w:bottom w:type="dxa" w:w="80"/>
              <w:right w:type="dxa" w:w="100"/>
            </w:tcMar>
            <w:vAlign w:val="center"/>
          </w:tcPr>
          <w:p>
            <w:r>
              <w:rPr>
                <w:b w:val="false"/>
                <w:bCs w:val="false"/>
                <w:sz w:val="19"/>
                <w:szCs w:val="19"/>
              </w:rPr>
              <w:t xml:space="preserve">MiniCache (Liu et al., 2024)</w:t>
            </w:r>
          </w:p>
        </w:tc>
        <w:tc>
          <w:tcPr>
            <w:tcW w:type="dxa" w:w="2600"/>
            <w:shd w:fill="DCE6F1" w:val="clear"/>
            <w:tcMar>
              <w:top w:type="dxa" w:w="80"/>
              <w:left w:type="dxa" w:w="100"/>
              <w:bottom w:type="dxa" w:w="80"/>
              <w:right w:type="dxa" w:w="100"/>
            </w:tcMar>
            <w:vAlign w:val="center"/>
          </w:tcPr>
          <w:p>
            <w:r>
              <w:rPr>
                <w:b w:val="false"/>
                <w:bCs w:val="false"/>
                <w:sz w:val="19"/>
                <w:szCs w:val="19"/>
              </w:rPr>
              <w:t xml:space="preserve">Depth-dimension merging exploiting cross-layer redundancy.</w:t>
            </w:r>
          </w:p>
        </w:tc>
        <w:tc>
          <w:tcPr>
            <w:tcW w:type="dxa" w:w="2100"/>
            <w:shd w:fill="DCE6F1" w:val="clear"/>
            <w:tcMar>
              <w:top w:type="dxa" w:w="80"/>
              <w:left w:type="dxa" w:w="100"/>
              <w:bottom w:type="dxa" w:w="80"/>
              <w:right w:type="dxa" w:w="100"/>
            </w:tcMar>
            <w:vAlign w:val="center"/>
          </w:tcPr>
          <w:p>
            <w:r>
              <w:rPr>
                <w:b w:val="false"/>
                <w:bCs w:val="false"/>
                <w:sz w:val="19"/>
                <w:szCs w:val="19"/>
              </w:rPr>
              <w:t xml:space="preserve">A concrete merging baseline (KMCB axis).</w:t>
            </w:r>
          </w:p>
        </w:tc>
        <w:tc>
          <w:tcPr>
            <w:tcW w:type="dxa" w:w="2626"/>
            <w:shd w:fill="DCE6F1" w:val="clear"/>
            <w:tcMar>
              <w:top w:type="dxa" w:w="80"/>
              <w:left w:type="dxa" w:w="100"/>
              <w:bottom w:type="dxa" w:w="80"/>
              <w:right w:type="dxa" w:w="100"/>
            </w:tcMar>
            <w:vAlign w:val="center"/>
          </w:tcPr>
          <w:p>
            <w:r>
              <w:rPr>
                <w:b w:val="false"/>
                <w:bCs w:val="false"/>
                <w:sz w:val="19"/>
                <w:szCs w:val="19"/>
              </w:rPr>
              <w:t xml:space="preserve">Merging security consequences not studied.</w:t>
            </w:r>
          </w:p>
        </w:tc>
      </w:tr>
      <w:tr>
        <w:tc>
          <w:tcPr>
            <w:tcW w:type="dxa" w:w="1700"/>
            <w:tcMar>
              <w:top w:type="dxa" w:w="80"/>
              <w:left w:type="dxa" w:w="100"/>
              <w:bottom w:type="dxa" w:w="80"/>
              <w:right w:type="dxa" w:w="100"/>
            </w:tcMar>
            <w:vAlign w:val="center"/>
          </w:tcPr>
          <w:p>
            <w:r>
              <w:rPr>
                <w:b w:val="false"/>
                <w:bCs w:val="false"/>
                <w:sz w:val="19"/>
                <w:szCs w:val="19"/>
              </w:rPr>
              <w:t xml:space="preserve">CacheGen (Liu et al., SIGCOMM 2024)</w:t>
            </w:r>
          </w:p>
        </w:tc>
        <w:tc>
          <w:tcPr>
            <w:tcW w:type="dxa" w:w="2600"/>
            <w:tcMar>
              <w:top w:type="dxa" w:w="80"/>
              <w:left w:type="dxa" w:w="100"/>
              <w:bottom w:type="dxa" w:w="80"/>
              <w:right w:type="dxa" w:w="100"/>
            </w:tcMar>
            <w:vAlign w:val="center"/>
          </w:tcPr>
          <w:p>
            <w:r>
              <w:rPr>
                <w:b w:val="false"/>
                <w:bCs w:val="false"/>
                <w:sz w:val="19"/>
                <w:szCs w:val="19"/>
              </w:rPr>
              <w:t xml:space="preserve">Compresses/streams KV cache and adapts compression level to bandwidth.</w:t>
            </w:r>
          </w:p>
        </w:tc>
        <w:tc>
          <w:tcPr>
            <w:tcW w:type="dxa" w:w="2100"/>
            <w:tcMar>
              <w:top w:type="dxa" w:w="80"/>
              <w:left w:type="dxa" w:w="100"/>
              <w:bottom w:type="dxa" w:w="80"/>
              <w:right w:type="dxa" w:w="100"/>
            </w:tcMar>
            <w:vAlign w:val="center"/>
          </w:tcPr>
          <w:p>
            <w:r>
              <w:rPr>
                <w:b w:val="false"/>
                <w:bCs w:val="false"/>
                <w:sz w:val="19"/>
                <w:szCs w:val="19"/>
              </w:rPr>
              <w:t xml:space="preserve">Directly demonstrates that runtime conditions (bandwidth) already modulate cache representation in deployed systems, supporting the load-conditioned-trigger scenario.</w:t>
            </w:r>
          </w:p>
        </w:tc>
        <w:tc>
          <w:tcPr>
            <w:tcW w:type="dxa" w:w="2626"/>
            <w:tcMar>
              <w:top w:type="dxa" w:w="80"/>
              <w:left w:type="dxa" w:w="100"/>
              <w:bottom w:type="dxa" w:w="80"/>
              <w:right w:type="dxa" w:w="100"/>
            </w:tcMar>
            <w:vAlign w:val="center"/>
          </w:tcPr>
          <w:p>
            <w:r>
              <w:rPr>
                <w:b w:val="false"/>
                <w:bCs w:val="false"/>
                <w:sz w:val="19"/>
                <w:szCs w:val="19"/>
              </w:rPr>
              <w:t xml:space="preserve">Purely a systems-efficiency paper.</w:t>
            </w:r>
          </w:p>
        </w:tc>
      </w:tr>
    </w:tbl>
    <w:p>
      <w:pPr>
        <w:pStyle w:val="Heading2"/>
        <w:spacing w:after="140" w:before="280"/>
      </w:pPr>
      <w:r>
        <w:rPr>
          <w:b/>
          <w:bCs/>
          <w:color w:val="2E6E7E"/>
          <w:sz w:val="24"/>
          <w:szCs w:val="24"/>
        </w:rPr>
        <w:t xml:space="preserve">7.2  Group B — Security consequences of KV-cache manipulation (emerging, 2025–2026)</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3626"/>
        <w:gridCol w:w="30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Work</w:t>
            </w:r>
          </w:p>
        </w:tc>
        <w:tc>
          <w:tcPr>
            <w:tcW w:type="dxa" w:w="3626"/>
            <w:shd w:fill="1F3864" w:val="clear"/>
            <w:tcMar>
              <w:top w:type="dxa" w:w="80"/>
              <w:left w:type="dxa" w:w="100"/>
              <w:bottom w:type="dxa" w:w="80"/>
              <w:right w:type="dxa" w:w="100"/>
            </w:tcMar>
            <w:vAlign w:val="center"/>
          </w:tcPr>
          <w:p>
            <w:r>
              <w:rPr>
                <w:b/>
                <w:bCs/>
                <w:color w:val="FFFFFF"/>
                <w:sz w:val="19"/>
                <w:szCs w:val="19"/>
              </w:rPr>
              <w:t xml:space="preserve">What it establishes</w:t>
            </w:r>
          </w:p>
        </w:tc>
        <w:tc>
          <w:tcPr>
            <w:tcW w:type="dxa" w:w="3000"/>
            <w:shd w:fill="1F3864" w:val="clear"/>
            <w:tcMar>
              <w:top w:type="dxa" w:w="80"/>
              <w:left w:type="dxa" w:w="100"/>
              <w:bottom w:type="dxa" w:w="80"/>
              <w:right w:type="dxa" w:w="100"/>
            </w:tcMar>
            <w:vAlign w:val="center"/>
          </w:tcPr>
          <w:p>
            <w:r>
              <w:rPr>
                <w:b/>
                <w:bCs/>
                <w:color w:val="FFFFFF"/>
                <w:sz w:val="19"/>
                <w:szCs w:val="19"/>
              </w:rPr>
              <w:t xml:space="preserve">What it does NOT establish</w:t>
            </w:r>
          </w:p>
        </w:tc>
      </w:tr>
      <w:tr>
        <w:tc>
          <w:tcPr>
            <w:tcW w:type="dxa" w:w="2400"/>
            <w:tcMar>
              <w:top w:type="dxa" w:w="80"/>
              <w:left w:type="dxa" w:w="100"/>
              <w:bottom w:type="dxa" w:w="80"/>
              <w:right w:type="dxa" w:w="100"/>
            </w:tcMar>
            <w:vAlign w:val="center"/>
          </w:tcPr>
          <w:p>
            <w:r>
              <w:rPr>
                <w:b w:val="false"/>
                <w:bCs w:val="false"/>
                <w:sz w:val="19"/>
                <w:szCs w:val="19"/>
              </w:rPr>
              <w:t xml:space="preserve">The Pitfalls of KV Cache Compression (Chen et al., ACL 2026)</w:t>
            </w:r>
          </w:p>
        </w:tc>
        <w:tc>
          <w:tcPr>
            <w:tcW w:type="dxa" w:w="3626"/>
            <w:tcMar>
              <w:top w:type="dxa" w:w="80"/>
              <w:left w:type="dxa" w:w="100"/>
              <w:bottom w:type="dxa" w:w="80"/>
              <w:right w:type="dxa" w:w="100"/>
            </w:tcMar>
            <w:vAlign w:val="center"/>
          </w:tcPr>
          <w:p>
            <w:r>
              <w:rPr>
                <w:b w:val="false"/>
                <w:bCs w:val="false"/>
                <w:sz w:val="19"/>
                <w:szCs w:val="19"/>
              </w:rPr>
              <w:t xml:space="preserve">Some instructions degrade faster than others under eviction-style methods; system-prompt leakage is influenced by compression method, instruction order, and eviction bias.</w:t>
            </w:r>
          </w:p>
        </w:tc>
        <w:tc>
          <w:tcPr>
            <w:tcW w:type="dxa" w:w="3000"/>
            <w:tcMar>
              <w:top w:type="dxa" w:w="80"/>
              <w:left w:type="dxa" w:w="100"/>
              <w:bottom w:type="dxa" w:w="80"/>
              <w:right w:type="dxa" w:w="100"/>
            </w:tcMar>
            <w:vAlign w:val="center"/>
          </w:tcPr>
          <w:p>
            <w:r>
              <w:rPr>
                <w:b w:val="false"/>
                <w:bCs w:val="false"/>
                <w:sz w:val="19"/>
                <w:szCs w:val="19"/>
              </w:rPr>
              <w:t xml:space="preserve">Whether this sensitivity can be intentionally trained and targeted, rather than an emergent property of clean models.</w:t>
            </w:r>
          </w:p>
        </w:tc>
      </w:tr>
      <w:tr>
        <w:tc>
          <w:tcPr>
            <w:tcW w:type="dxa" w:w="2400"/>
            <w:shd w:fill="DCE6F1" w:val="clear"/>
            <w:tcMar>
              <w:top w:type="dxa" w:w="80"/>
              <w:left w:type="dxa" w:w="100"/>
              <w:bottom w:type="dxa" w:w="80"/>
              <w:right w:type="dxa" w:w="100"/>
            </w:tcMar>
            <w:vAlign w:val="center"/>
          </w:tcPr>
          <w:p>
            <w:r>
              <w:rPr>
                <w:b w:val="false"/>
                <w:bCs w:val="false"/>
                <w:sz w:val="19"/>
                <w:szCs w:val="19"/>
              </w:rPr>
              <w:t xml:space="preserve">When Efficiency Meets Safety (Ma et al., ACL 2026)</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Reports “Accidental Robustness” and a “Vulnerability Paradox” under jailbreak evaluation; merging-based compression can increase attack success via functional head collapse.</w:t>
            </w:r>
          </w:p>
        </w:tc>
        <w:tc>
          <w:tcPr>
            <w:tcW w:type="dxa" w:w="3000"/>
            <w:shd w:fill="DCE6F1" w:val="clear"/>
            <w:tcMar>
              <w:top w:type="dxa" w:w="80"/>
              <w:left w:type="dxa" w:w="100"/>
              <w:bottom w:type="dxa" w:w="80"/>
              <w:right w:type="dxa" w:w="100"/>
            </w:tcMar>
            <w:vAlign w:val="center"/>
          </w:tcPr>
          <w:p>
            <w:r>
              <w:rPr>
                <w:b w:val="false"/>
                <w:bCs w:val="false"/>
                <w:sz w:val="19"/>
                <w:szCs w:val="19"/>
              </w:rPr>
              <w:t xml:space="preserve">An intentionally implanted, compression-conditioned backdoor; the effects studied are properties of unmodified, non-backdoored models.</w:t>
            </w:r>
          </w:p>
        </w:tc>
      </w:tr>
      <w:tr>
        <w:tc>
          <w:tcPr>
            <w:tcW w:type="dxa" w:w="2400"/>
            <w:tcMar>
              <w:top w:type="dxa" w:w="80"/>
              <w:left w:type="dxa" w:w="100"/>
              <w:bottom w:type="dxa" w:w="80"/>
              <w:right w:type="dxa" w:w="100"/>
            </w:tcMar>
            <w:vAlign w:val="center"/>
          </w:tcPr>
          <w:p>
            <w:r>
              <w:rPr>
                <w:b w:val="false"/>
                <w:bCs w:val="false"/>
                <w:sz w:val="19"/>
                <w:szCs w:val="19"/>
              </w:rPr>
              <w:t xml:space="preserve">Alignment Collapse Under KV Cache Quantization (Xu et al., 2026 preprint)</w:t>
            </w:r>
          </w:p>
        </w:tc>
        <w:tc>
          <w:tcPr>
            <w:tcW w:type="dxa" w:w="3626"/>
            <w:tcMar>
              <w:top w:type="dxa" w:w="80"/>
              <w:left w:type="dxa" w:w="100"/>
              <w:bottom w:type="dxa" w:w="80"/>
              <w:right w:type="dxa" w:w="100"/>
            </w:tcMar>
            <w:vAlign w:val="center"/>
          </w:tcPr>
          <w:p>
            <w:r>
              <w:rPr>
                <w:b w:val="false"/>
                <w:bCs w:val="false"/>
                <w:sz w:val="19"/>
                <w:szCs w:val="19"/>
              </w:rPr>
              <w:t xml:space="preserve">Low-bit KV quantization can silently remove safety alignment, with sharp model-specific transitions invisible to perplexity; proposes a diagnostic tied to safety-subspace geometry.</w:t>
            </w:r>
          </w:p>
        </w:tc>
        <w:tc>
          <w:tcPr>
            <w:tcW w:type="dxa" w:w="3000"/>
            <w:tcMar>
              <w:top w:type="dxa" w:w="80"/>
              <w:left w:type="dxa" w:w="100"/>
              <w:bottom w:type="dxa" w:w="80"/>
              <w:right w:type="dxa" w:w="100"/>
            </w:tcMar>
            <w:vAlign w:val="center"/>
          </w:tcPr>
          <w:p>
            <w:r>
              <w:rPr>
                <w:b w:val="false"/>
                <w:bCs w:val="false"/>
                <w:sz w:val="19"/>
                <w:szCs w:val="19"/>
              </w:rPr>
              <w:t xml:space="preserve">Selectivity to a chosen target behaviour, or robustness of the effect against a defender who is aware of it and probes near-miss policies.</w:t>
            </w:r>
          </w:p>
        </w:tc>
      </w:tr>
      <w:tr>
        <w:tc>
          <w:tcPr>
            <w:tcW w:type="dxa" w:w="2400"/>
            <w:shd w:fill="DCE6F1" w:val="clear"/>
            <w:tcMar>
              <w:top w:type="dxa" w:w="80"/>
              <w:left w:type="dxa" w:w="100"/>
              <w:bottom w:type="dxa" w:w="80"/>
              <w:right w:type="dxa" w:w="100"/>
            </w:tcMar>
            <w:vAlign w:val="center"/>
          </w:tcPr>
          <w:p>
            <w:r>
              <w:rPr>
                <w:b w:val="false"/>
                <w:bCs w:val="false"/>
                <w:sz w:val="19"/>
                <w:szCs w:val="19"/>
              </w:rPr>
              <w:t xml:space="preserve">Shadow in the Cache (Luo et al.; NDSS 2026)</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Establishes the KV cache itself as a security/privacy object: cache states can leak sensitive input information via inversion, collision, and semantic-injection mechanisms; a defense (KV-CLOAK) is proposed.</w:t>
            </w:r>
          </w:p>
        </w:tc>
        <w:tc>
          <w:tcPr>
            <w:tcW w:type="dxa" w:w="3000"/>
            <w:shd w:fill="DCE6F1" w:val="clear"/>
            <w:tcMar>
              <w:top w:type="dxa" w:w="80"/>
              <w:left w:type="dxa" w:w="100"/>
              <w:bottom w:type="dxa" w:w="80"/>
              <w:right w:type="dxa" w:w="100"/>
            </w:tcMar>
            <w:vAlign w:val="center"/>
          </w:tcPr>
          <w:p>
            <w:r>
              <w:rPr>
                <w:b w:val="false"/>
                <w:bCs w:val="false"/>
                <w:sz w:val="19"/>
                <w:szCs w:val="19"/>
              </w:rPr>
              <w:t xml:space="preserve">A backdoor trigger mechanism; this line concerns information leakage from the cache, not behaviour conditioned on how the cache was transformed.</w:t>
            </w:r>
          </w:p>
        </w:tc>
      </w:tr>
    </w:tbl>
    <w:p>
      <w:pPr>
        <w:spacing w:after="160" w:line="288"/>
        <w:jc w:val="both"/>
      </w:pPr>
      <w:r>
        <w:rPr>
          <w:sz w:val="21"/>
          <w:szCs w:val="21"/>
        </w:rPr>
        <w:t xml:space="preserve">Collectively, Group B establishes that compression already changes safety-relevant behaviour and that the cache is a legitimate security object — but every study evaluates a clean model's emergent sensitivity, not an attacker's intentional exploitation of it.</w:t>
      </w:r>
    </w:p>
    <w:p>
      <w:pPr>
        <w:pStyle w:val="Heading2"/>
        <w:spacing w:after="140" w:before="280"/>
      </w:pPr>
      <w:r>
        <w:rPr>
          <w:b/>
          <w:bCs/>
          <w:color w:val="2E6E7E"/>
          <w:sz w:val="24"/>
          <w:szCs w:val="24"/>
        </w:rPr>
        <w:t xml:space="preserve">7.3  Group C — LLM backdoors and conditional behaviour</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300"/>
        <w:gridCol w:w="3200"/>
        <w:gridCol w:w="3526"/>
      </w:tblGrid>
      <w:tr>
        <w:trPr>
          <w:tblHeader/>
        </w:trPr>
        <w:tc>
          <w:tcPr>
            <w:tcW w:type="dxa" w:w="2300"/>
            <w:shd w:fill="1F3864" w:val="clear"/>
            <w:tcMar>
              <w:top w:type="dxa" w:w="80"/>
              <w:left w:type="dxa" w:w="100"/>
              <w:bottom w:type="dxa" w:w="80"/>
              <w:right w:type="dxa" w:w="100"/>
            </w:tcMar>
            <w:vAlign w:val="center"/>
          </w:tcPr>
          <w:p>
            <w:r>
              <w:rPr>
                <w:b/>
                <w:bCs/>
                <w:color w:val="FFFFFF"/>
                <w:sz w:val="19"/>
                <w:szCs w:val="19"/>
              </w:rPr>
              <w:t xml:space="preserve">Work</w:t>
            </w:r>
          </w:p>
        </w:tc>
        <w:tc>
          <w:tcPr>
            <w:tcW w:type="dxa" w:w="3200"/>
            <w:shd w:fill="1F3864" w:val="clear"/>
            <w:tcMar>
              <w:top w:type="dxa" w:w="80"/>
              <w:left w:type="dxa" w:w="100"/>
              <w:bottom w:type="dxa" w:w="80"/>
              <w:right w:type="dxa" w:w="100"/>
            </w:tcMar>
            <w:vAlign w:val="center"/>
          </w:tcPr>
          <w:p>
            <w:r>
              <w:rPr>
                <w:b/>
                <w:bCs/>
                <w:color w:val="FFFFFF"/>
                <w:sz w:val="19"/>
                <w:szCs w:val="19"/>
              </w:rPr>
              <w:t xml:space="preserve">Contribution</w:t>
            </w:r>
          </w:p>
        </w:tc>
        <w:tc>
          <w:tcPr>
            <w:tcW w:type="dxa" w:w="3526"/>
            <w:shd w:fill="1F3864" w:val="clear"/>
            <w:tcMar>
              <w:top w:type="dxa" w:w="80"/>
              <w:left w:type="dxa" w:w="100"/>
              <w:bottom w:type="dxa" w:w="80"/>
              <w:right w:type="dxa" w:w="100"/>
            </w:tcMar>
            <w:vAlign w:val="center"/>
          </w:tcPr>
          <w:p>
            <w:r>
              <w:rPr>
                <w:b/>
                <w:bCs/>
                <w:color w:val="FFFFFF"/>
                <w:sz w:val="19"/>
                <w:szCs w:val="19"/>
              </w:rPr>
              <w:t xml:space="preserve">Relevance to runtime-conditioned triggers</w:t>
            </w:r>
          </w:p>
        </w:tc>
      </w:tr>
      <w:tr>
        <w:tc>
          <w:tcPr>
            <w:tcW w:type="dxa" w:w="2300"/>
            <w:tcMar>
              <w:top w:type="dxa" w:w="80"/>
              <w:left w:type="dxa" w:w="100"/>
              <w:bottom w:type="dxa" w:w="80"/>
              <w:right w:type="dxa" w:w="100"/>
            </w:tcMar>
            <w:vAlign w:val="center"/>
          </w:tcPr>
          <w:p>
            <w:r>
              <w:rPr>
                <w:b w:val="false"/>
                <w:bCs w:val="false"/>
                <w:sz w:val="19"/>
                <w:szCs w:val="19"/>
              </w:rPr>
              <w:t xml:space="preserve">BadChain (Xiang et al., ICLR 2024)</w:t>
            </w:r>
          </w:p>
        </w:tc>
        <w:tc>
          <w:tcPr>
            <w:tcW w:type="dxa" w:w="3200"/>
            <w:tcMar>
              <w:top w:type="dxa" w:w="80"/>
              <w:left w:type="dxa" w:w="100"/>
              <w:bottom w:type="dxa" w:w="80"/>
              <w:right w:type="dxa" w:w="100"/>
            </w:tcMar>
            <w:vAlign w:val="center"/>
          </w:tcPr>
          <w:p>
            <w:r>
              <w:rPr>
                <w:b w:val="false"/>
                <w:bCs w:val="false"/>
                <w:sz w:val="19"/>
                <w:szCs w:val="19"/>
              </w:rPr>
              <w:t xml:space="preserve">Induces behavioural change via a prompt-level backdoor exploiting chain-of-thought structure.</w:t>
            </w:r>
          </w:p>
        </w:tc>
        <w:tc>
          <w:tcPr>
            <w:tcW w:type="dxa" w:w="3526"/>
            <w:tcMar>
              <w:top w:type="dxa" w:w="80"/>
              <w:left w:type="dxa" w:w="100"/>
              <w:bottom w:type="dxa" w:w="80"/>
              <w:right w:type="dxa" w:w="100"/>
            </w:tcMar>
            <w:vAlign w:val="center"/>
          </w:tcPr>
          <w:p>
            <w:r>
              <w:rPr>
                <w:b w:val="false"/>
                <w:bCs w:val="false"/>
                <w:sz w:val="19"/>
                <w:szCs w:val="19"/>
              </w:rPr>
              <w:t xml:space="preserve">Shows LLM backdoor triggers need not resemble static image-style patterns — an early step away from purely lexical triggers.</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Sleeper Agents (Hubinger et al., 2024)</w:t>
            </w:r>
          </w:p>
        </w:tc>
        <w:tc>
          <w:tcPr>
            <w:tcW w:type="dxa" w:w="3200"/>
            <w:shd w:fill="DCE6F1" w:val="clear"/>
            <w:tcMar>
              <w:top w:type="dxa" w:w="80"/>
              <w:left w:type="dxa" w:w="100"/>
              <w:bottom w:type="dxa" w:w="80"/>
              <w:right w:type="dxa" w:w="100"/>
            </w:tcMar>
            <w:vAlign w:val="center"/>
          </w:tcPr>
          <w:p>
            <w:r>
              <w:rPr>
                <w:b w:val="false"/>
                <w:bCs w:val="false"/>
                <w:sz w:val="19"/>
                <w:szCs w:val="19"/>
              </w:rPr>
              <w:t xml:space="preserve">Demonstrates persistent conditional behaviour that can survive safety fine-tuning.</w:t>
            </w:r>
          </w:p>
        </w:tc>
        <w:tc>
          <w:tcPr>
            <w:tcW w:type="dxa" w:w="3526"/>
            <w:shd w:fill="DCE6F1" w:val="clear"/>
            <w:tcMar>
              <w:top w:type="dxa" w:w="80"/>
              <w:left w:type="dxa" w:w="100"/>
              <w:bottom w:type="dxa" w:w="80"/>
              <w:right w:type="dxa" w:w="100"/>
            </w:tcMar>
            <w:vAlign w:val="center"/>
          </w:tcPr>
          <w:p>
            <w:r>
              <w:rPr>
                <w:b w:val="false"/>
                <w:bCs w:val="false"/>
                <w:sz w:val="19"/>
                <w:szCs w:val="19"/>
              </w:rPr>
              <w:t xml:space="preserve">Establishes that safety training does not reliably remove an underlying conditional capability once trained in — directly relevant to whether a runtime-conditioned trigger could survive downstream alignment passes.</w:t>
            </w:r>
          </w:p>
        </w:tc>
      </w:tr>
      <w:tr>
        <w:tc>
          <w:tcPr>
            <w:tcW w:type="dxa" w:w="2300"/>
            <w:tcMar>
              <w:top w:type="dxa" w:w="80"/>
              <w:left w:type="dxa" w:w="100"/>
              <w:bottom w:type="dxa" w:w="80"/>
              <w:right w:type="dxa" w:w="100"/>
            </w:tcMar>
            <w:vAlign w:val="center"/>
          </w:tcPr>
          <w:p>
            <w:r>
              <w:rPr>
                <w:b w:val="false"/>
                <w:bCs w:val="false"/>
                <w:sz w:val="19"/>
                <w:szCs w:val="19"/>
              </w:rPr>
              <w:t xml:space="preserve">Dynamic-trigger backdoor literature (e.g., Chen et al., 2026)</w:t>
            </w:r>
          </w:p>
        </w:tc>
        <w:tc>
          <w:tcPr>
            <w:tcW w:type="dxa" w:w="3200"/>
            <w:tcMar>
              <w:top w:type="dxa" w:w="80"/>
              <w:left w:type="dxa" w:w="100"/>
              <w:bottom w:type="dxa" w:w="80"/>
              <w:right w:type="dxa" w:w="100"/>
            </w:tcMar>
            <w:vAlign w:val="center"/>
          </w:tcPr>
          <w:p>
            <w:r>
              <w:rPr>
                <w:b w:val="false"/>
                <w:bCs w:val="false"/>
                <w:sz w:val="19"/>
                <w:szCs w:val="19"/>
              </w:rPr>
              <w:t xml:space="preserve">Triggers conditioned on input features or varying dynamically rather than a fixed string.</w:t>
            </w:r>
          </w:p>
        </w:tc>
        <w:tc>
          <w:tcPr>
            <w:tcW w:type="dxa" w:w="3526"/>
            <w:tcMar>
              <w:top w:type="dxa" w:w="80"/>
              <w:left w:type="dxa" w:w="100"/>
              <w:bottom w:type="dxa" w:w="80"/>
              <w:right w:type="dxa" w:w="100"/>
            </w:tcMar>
            <w:vAlign w:val="center"/>
          </w:tcPr>
          <w:p>
            <w:r>
              <w:rPr>
                <w:b w:val="false"/>
                <w:bCs w:val="false"/>
                <w:sz w:val="19"/>
                <w:szCs w:val="19"/>
              </w:rPr>
              <w:t xml:space="preserve">Conceptual precedent for treating the trigger as a condition generated/evaluated at inference time rather than a fixed token — the same conceptual move this project applies to the cache instead of the input.</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BackdoorBench (Wu et al., 2024)</w:t>
            </w:r>
          </w:p>
        </w:tc>
        <w:tc>
          <w:tcPr>
            <w:tcW w:type="dxa" w:w="3200"/>
            <w:shd w:fill="DCE6F1" w:val="clear"/>
            <w:tcMar>
              <w:top w:type="dxa" w:w="80"/>
              <w:left w:type="dxa" w:w="100"/>
              <w:bottom w:type="dxa" w:w="80"/>
              <w:right w:type="dxa" w:w="100"/>
            </w:tcMar>
            <w:vAlign w:val="center"/>
          </w:tcPr>
          <w:p>
            <w:r>
              <w:rPr>
                <w:b w:val="false"/>
                <w:bCs w:val="false"/>
                <w:sz w:val="19"/>
                <w:szCs w:val="19"/>
              </w:rPr>
              <w:t xml:space="preserve">Unified benchmark and standardised metrics for attack/defense evaluation.</w:t>
            </w:r>
          </w:p>
        </w:tc>
        <w:tc>
          <w:tcPr>
            <w:tcW w:type="dxa" w:w="3526"/>
            <w:shd w:fill="DCE6F1" w:val="clear"/>
            <w:tcMar>
              <w:top w:type="dxa" w:w="80"/>
              <w:left w:type="dxa" w:w="100"/>
              <w:bottom w:type="dxa" w:w="80"/>
              <w:right w:type="dxa" w:w="100"/>
            </w:tcMar>
            <w:vAlign w:val="center"/>
          </w:tcPr>
          <w:p>
            <w:r>
              <w:rPr>
                <w:b w:val="false"/>
                <w:bCs w:val="false"/>
                <w:sz w:val="19"/>
                <w:szCs w:val="19"/>
              </w:rPr>
              <w:t xml:space="preserve">Motivates building a comparable, reproducible evaluation harness for runtime-conditioned attacks (Section 14).</w:t>
            </w:r>
          </w:p>
        </w:tc>
      </w:tr>
      <w:tr>
        <w:tc>
          <w:tcPr>
            <w:tcW w:type="dxa" w:w="2300"/>
            <w:tcMar>
              <w:top w:type="dxa" w:w="80"/>
              <w:left w:type="dxa" w:w="100"/>
              <w:bottom w:type="dxa" w:w="80"/>
              <w:right w:type="dxa" w:w="100"/>
            </w:tcMar>
            <w:vAlign w:val="center"/>
          </w:tcPr>
          <w:p>
            <w:r>
              <w:rPr>
                <w:b w:val="false"/>
                <w:bCs w:val="false"/>
                <w:sz w:val="19"/>
                <w:szCs w:val="19"/>
              </w:rPr>
              <w:t xml:space="preserve">ShadowLogic (Schulz, Kawasaki &amp; Ring; CAMLIS 2025 / arXiv 2511.00664)</w:t>
            </w:r>
          </w:p>
        </w:tc>
        <w:tc>
          <w:tcPr>
            <w:tcW w:type="dxa" w:w="3200"/>
            <w:tcMar>
              <w:top w:type="dxa" w:w="80"/>
              <w:left w:type="dxa" w:w="100"/>
              <w:bottom w:type="dxa" w:w="80"/>
              <w:right w:type="dxa" w:w="100"/>
            </w:tcMar>
            <w:vAlign w:val="center"/>
          </w:tcPr>
          <w:p>
            <w:r>
              <w:rPr>
                <w:b w:val="false"/>
                <w:bCs w:val="false"/>
                <w:sz w:val="19"/>
                <w:szCs w:val="19"/>
              </w:rPr>
              <w:t xml:space="preserve">Backdoors a white-box LLM by injecting an “uncensoring vector” directly into its exported computational graph (ONNX); activated by a trigger phrase detected by logic embedded in the graph itself, evading weight- and prompt-level detection.</w:t>
            </w:r>
          </w:p>
        </w:tc>
        <w:tc>
          <w:tcPr>
            <w:tcW w:type="dxa" w:w="3526"/>
            <w:tcMar>
              <w:top w:type="dxa" w:w="80"/>
              <w:left w:type="dxa" w:w="100"/>
              <w:bottom w:type="dxa" w:w="80"/>
              <w:right w:type="dxa" w:w="100"/>
            </w:tcMar>
            <w:vAlign w:val="center"/>
          </w:tcPr>
          <w:p>
            <w:r>
              <w:rPr>
                <w:b w:val="false"/>
                <w:bCs w:val="false"/>
                <w:sz w:val="19"/>
                <w:szCs w:val="19"/>
              </w:rPr>
              <w:t xml:space="preserve">Establishes that the deployment artifact / inference pipeline — not only the weights — is an exploitable attack surface, and that the KV cache mechanism is already referenced in this literature as background context. The trigger, however, remains an input phrase; the covert channel is the graph, not the cache's runtime compression state (see Section 8).</w:t>
            </w:r>
          </w:p>
        </w:tc>
      </w:tr>
    </w:tbl>
    <w:p>
      <w:pPr>
        <w:pStyle w:val="Heading2"/>
        <w:spacing w:after="140" w:before="280"/>
      </w:pPr>
      <w:r>
        <w:rPr>
          <w:b/>
          <w:bCs/>
          <w:color w:val="2E6E7E"/>
          <w:sz w:val="24"/>
          <w:szCs w:val="24"/>
        </w:rPr>
        <w:t xml:space="preserve">7.4  Group D — Runtime / deployment-conditioned security (the closest adjacent work)</w:t>
      </w:r>
    </w:p>
    <w:p>
      <w:pPr>
        <w:spacing w:after="160" w:line="288"/>
        <w:jc w:val="both"/>
      </w:pPr>
      <w:r>
        <w:rPr>
          <w:sz w:val="21"/>
          <w:szCs w:val="21"/>
        </w:rPr>
        <w:t xml:space="preserve">This group required the most careful search, since it is the group most likely to contain direct prior art for the proposed contribution.</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3600"/>
        <w:gridCol w:w="3026"/>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Work</w:t>
            </w:r>
          </w:p>
        </w:tc>
        <w:tc>
          <w:tcPr>
            <w:tcW w:type="dxa" w:w="3600"/>
            <w:shd w:fill="1F3864" w:val="clear"/>
            <w:tcMar>
              <w:top w:type="dxa" w:w="80"/>
              <w:left w:type="dxa" w:w="100"/>
              <w:bottom w:type="dxa" w:w="80"/>
              <w:right w:type="dxa" w:w="100"/>
            </w:tcMar>
            <w:vAlign w:val="center"/>
          </w:tcPr>
          <w:p>
            <w:r>
              <w:rPr>
                <w:b/>
                <w:bCs/>
                <w:color w:val="FFFFFF"/>
                <w:sz w:val="19"/>
                <w:szCs w:val="19"/>
              </w:rPr>
              <w:t xml:space="preserve">What it does</w:t>
            </w:r>
          </w:p>
        </w:tc>
        <w:tc>
          <w:tcPr>
            <w:tcW w:type="dxa" w:w="3026"/>
            <w:shd w:fill="1F3864" w:val="clear"/>
            <w:tcMar>
              <w:top w:type="dxa" w:w="80"/>
              <w:left w:type="dxa" w:w="100"/>
              <w:bottom w:type="dxa" w:w="80"/>
              <w:right w:type="dxa" w:w="100"/>
            </w:tcMar>
            <w:vAlign w:val="center"/>
          </w:tcPr>
          <w:p>
            <w:r>
              <w:rPr>
                <w:b/>
                <w:bCs/>
                <w:color w:val="FFFFFF"/>
                <w:sz w:val="19"/>
                <w:szCs w:val="19"/>
              </w:rPr>
              <w:t xml:space="preserve">Why it is close but distinct</w:t>
            </w:r>
          </w:p>
        </w:tc>
      </w:tr>
      <w:tr>
        <w:tc>
          <w:tcPr>
            <w:tcW w:type="dxa" w:w="2400"/>
            <w:tcMar>
              <w:top w:type="dxa" w:w="80"/>
              <w:left w:type="dxa" w:w="100"/>
              <w:bottom w:type="dxa" w:w="80"/>
              <w:right w:type="dxa" w:w="100"/>
            </w:tcMar>
            <w:vAlign w:val="center"/>
          </w:tcPr>
          <w:p>
            <w:r>
              <w:rPr>
                <w:b w:val="false"/>
                <w:bCs w:val="false"/>
                <w:sz w:val="19"/>
                <w:szCs w:val="19"/>
              </w:rPr>
              <w:t xml:space="preserve">CacheTrap (2026 preprint, arXiv 2511.22681)</w:t>
            </w:r>
          </w:p>
        </w:tc>
        <w:tc>
          <w:tcPr>
            <w:tcW w:type="dxa" w:w="3600"/>
            <w:tcMar>
              <w:top w:type="dxa" w:w="80"/>
              <w:left w:type="dxa" w:w="100"/>
              <w:bottom w:type="dxa" w:w="80"/>
              <w:right w:type="dxa" w:w="100"/>
            </w:tcMar>
            <w:vAlign w:val="center"/>
          </w:tcPr>
          <w:p>
            <w:r>
              <w:rPr>
                <w:b w:val="false"/>
                <w:bCs w:val="false"/>
                <w:sz w:val="19"/>
                <w:szCs w:val="19"/>
              </w:rPr>
              <w:t xml:space="preserve">The first published gray-box Trojan that uses the KV cache itself as the trigger: an attacker with GPU-adjacent hardware access (Rowhammer/GPUHammer-style fault injection) flips a single, offline-identified bit in a value vector at inference time, reliably steering an otherwise unmodified model to a target output; requires no training, no data, and no weight access.</w:t>
            </w:r>
          </w:p>
        </w:tc>
        <w:tc>
          <w:tcPr>
            <w:tcW w:type="dxa" w:w="3026"/>
            <w:tcMar>
              <w:top w:type="dxa" w:w="80"/>
              <w:left w:type="dxa" w:w="100"/>
              <w:bottom w:type="dxa" w:w="80"/>
              <w:right w:type="dxa" w:w="100"/>
            </w:tcMar>
            <w:vAlign w:val="center"/>
          </w:tcPr>
          <w:p>
            <w:r>
              <w:rPr>
                <w:b w:val="false"/>
                <w:bCs w:val="false"/>
                <w:sz w:val="19"/>
                <w:szCs w:val="19"/>
              </w:rPr>
              <w:t xml:space="preserve">Closest known prior art for “KV cache as backdoor trigger,” but fails several of this project's defining criteria (Section 8): the trigger is a hardware fault, not a legitimate compression policy; there is no training-time implantation and no clean-vs-backdoored model comparison, since the same unmodified model is attacked via memory corruption; and the required attacker capability (physical/adjacent GPU access, ECC-bypassing fault injection) is far stronger and less general than fine-tuning access.</w:t>
            </w:r>
          </w:p>
        </w:tc>
      </w:tr>
      <w:tr>
        <w:tc>
          <w:tcPr>
            <w:tcW w:type="dxa" w:w="2400"/>
            <w:shd w:fill="DCE6F1" w:val="clear"/>
            <w:tcMar>
              <w:top w:type="dxa" w:w="80"/>
              <w:left w:type="dxa" w:w="100"/>
              <w:bottom w:type="dxa" w:w="80"/>
              <w:right w:type="dxa" w:w="100"/>
            </w:tcMar>
            <w:vAlign w:val="center"/>
          </w:tcPr>
          <w:p>
            <w:r>
              <w:rPr>
                <w:b w:val="false"/>
                <w:bCs w:val="false"/>
                <w:sz w:val="19"/>
                <w:szCs w:val="19"/>
              </w:rPr>
              <w:t xml:space="preserve">Governing the KV Cache (2026 preprint, arXiv 2608.09225) and related timing-side-channel work (PROMPTPEEK, EarlyBird, InputSnatch; Chu et al. 2025)</w:t>
            </w:r>
          </w:p>
        </w:tc>
        <w:tc>
          <w:tcPr>
            <w:tcW w:type="dxa" w:w="3600"/>
            <w:shd w:fill="DCE6F1" w:val="clear"/>
            <w:tcMar>
              <w:top w:type="dxa" w:w="80"/>
              <w:left w:type="dxa" w:w="100"/>
              <w:bottom w:type="dxa" w:w="80"/>
              <w:right w:type="dxa" w:w="100"/>
            </w:tcMar>
            <w:vAlign w:val="center"/>
          </w:tcPr>
          <w:p>
            <w:r>
              <w:rPr>
                <w:b w:val="false"/>
                <w:bCs w:val="false"/>
                <w:sz w:val="19"/>
                <w:szCs w:val="19"/>
              </w:rPr>
              <w:t xml:space="preserve">Studies timing side channels created by KV-cache reuse/sharing across tenants and proposes governance/salting defenses.</w:t>
            </w:r>
          </w:p>
        </w:tc>
        <w:tc>
          <w:tcPr>
            <w:tcW w:type="dxa" w:w="3026"/>
            <w:shd w:fill="DCE6F1" w:val="clear"/>
            <w:tcMar>
              <w:top w:type="dxa" w:w="80"/>
              <w:left w:type="dxa" w:w="100"/>
              <w:bottom w:type="dxa" w:w="80"/>
              <w:right w:type="dxa" w:w="100"/>
            </w:tcMar>
            <w:vAlign w:val="center"/>
          </w:tcPr>
          <w:p>
            <w:r>
              <w:rPr>
                <w:b w:val="false"/>
                <w:bCs w:val="false"/>
                <w:sz w:val="19"/>
                <w:szCs w:val="19"/>
              </w:rPr>
              <w:t xml:space="preserve">Establishes the cache as a shared, observable runtime resource with security consequences in multi-tenant serving, reinforcing the “runtime state as attack surface” framing, but the exploited signal is cache-hit timing, not a trained behavioural trigger.</w:t>
            </w:r>
          </w:p>
        </w:tc>
      </w:tr>
      <w:tr>
        <w:tc>
          <w:tcPr>
            <w:tcW w:type="dxa" w:w="2400"/>
            <w:tcMar>
              <w:top w:type="dxa" w:w="80"/>
              <w:left w:type="dxa" w:w="100"/>
              <w:bottom w:type="dxa" w:w="80"/>
              <w:right w:type="dxa" w:w="100"/>
            </w:tcMar>
            <w:vAlign w:val="center"/>
          </w:tcPr>
          <w:p>
            <w:r>
              <w:rPr>
                <w:b w:val="false"/>
                <w:bCs w:val="false"/>
                <w:sz w:val="19"/>
                <w:szCs w:val="19"/>
              </w:rPr>
              <w:t xml:space="preserve">Inference-Time Backdoors via Chat Templates (CCS 2026)</w:t>
            </w:r>
          </w:p>
        </w:tc>
        <w:tc>
          <w:tcPr>
            <w:tcW w:type="dxa" w:w="3600"/>
            <w:tcMar>
              <w:top w:type="dxa" w:w="80"/>
              <w:left w:type="dxa" w:w="100"/>
              <w:bottom w:type="dxa" w:w="80"/>
              <w:right w:type="dxa" w:w="100"/>
            </w:tcMar>
            <w:vAlign w:val="center"/>
          </w:tcPr>
          <w:p>
            <w:r>
              <w:rPr>
                <w:b w:val="false"/>
                <w:bCs w:val="false"/>
                <w:sz w:val="19"/>
                <w:szCs w:val="19"/>
              </w:rPr>
              <w:t xml:space="preserve">A poisoned chat-template artifact injects attacker-controlled directives at inference time without weight or training-data modification, evaluated across many open models and inference engines.</w:t>
            </w:r>
          </w:p>
        </w:tc>
        <w:tc>
          <w:tcPr>
            <w:tcW w:type="dxa" w:w="3026"/>
            <w:tcMar>
              <w:top w:type="dxa" w:w="80"/>
              <w:left w:type="dxa" w:w="100"/>
              <w:bottom w:type="dxa" w:w="80"/>
              <w:right w:type="dxa" w:w="100"/>
            </w:tcMar>
            <w:vAlign w:val="center"/>
          </w:tcPr>
          <w:p>
            <w:r>
              <w:rPr>
                <w:b w:val="false"/>
                <w:bCs w:val="false"/>
                <w:sz w:val="19"/>
                <w:szCs w:val="19"/>
              </w:rPr>
              <w:t xml:space="preserve">Reinforces that 2026 research is actively generalising backdoors beyond weights and prompts to other inference-pipeline artifacts, supporting this project's timeliness, but the artifact exploited is the chat template, not the cache's compression state.</w:t>
            </w:r>
          </w:p>
        </w:tc>
      </w:tr>
    </w:tbl>
    <w:tbl>
      <w:tblPr>
        <w:tblW w:type="dxa" w:w="9026"/>
        <w:tblBorders>
          <w:top w:val="single" w:color="9C6B1F" w:sz="8"/>
          <w:left w:val="single" w:color="9C6B1F" w:sz="8"/>
          <w:bottom w:val="single" w:color="9C6B1F" w:sz="8"/>
          <w:right w:val="single" w:color="9C6B1F" w:sz="8"/>
          <w:insideH w:val="none"/>
          <w:insideV w:val="none"/>
        </w:tblBorders>
      </w:tblPr>
      <w:tblGrid>
        <w:gridCol w:w="9026"/>
      </w:tblGrid>
      <w:tr>
        <w:tc>
          <w:tcPr>
            <w:tcW w:type="dxa" w:w="9026"/>
            <w:shd w:fill="F3E9D2" w:val="clear"/>
            <w:tcMar>
              <w:top w:type="dxa" w:w="160"/>
              <w:left w:type="dxa" w:w="200"/>
              <w:bottom w:type="dxa" w:w="160"/>
              <w:right w:type="dxa" w:w="200"/>
            </w:tcMar>
          </w:tcPr>
          <w:p>
            <w:pPr>
              <w:spacing w:after="80"/>
            </w:pPr>
            <w:r>
              <w:rPr>
                <w:b/>
                <w:bCs/>
                <w:color w:val="9C6B1F"/>
                <w:sz w:val="21"/>
                <w:szCs w:val="21"/>
              </w:rPr>
              <w:t xml:space="preserve">Novelty checkpoint — read before proceeding</w:t>
            </w:r>
          </w:p>
          <w:p>
            <w:pPr>
              <w:spacing w:after="60" w:line="276"/>
            </w:pPr>
            <w:r>
              <w:rPr>
                <w:sz w:val="20"/>
                <w:szCs w:val="20"/>
              </w:rPr>
              <w:t xml:space="preserve">CacheTrap (Section 7.4) is the nearest published work and must be cited and differentiated explicitly in any submission. The differentiation is principled, not cosmetic: CacheTrap is a hardware fault-injection attack on an unmodified model (fails criteria 1 and 3 of the checklist in Section 8.1), whereas this project studies a trained backdoor whose trigger is a legitimate, systems-motivated compression policy requiring no runtime or hardware access at all. This also gives the project a stronger threat-model story: a weaker, more realistic attacker assumption (fine-tuning access only) yields a comparable trigger surface.</w:t>
            </w:r>
          </w:p>
          <w:p>
            <w:pPr>
              <w:spacing w:after="60" w:line="276"/>
            </w:pPr>
            <w:r>
              <w:rPr>
                <w:sz w:val="20"/>
                <w:szCs w:val="20"/>
              </w:rPr>
              <w:t xml:space="preserve">This checkpoint should be re-run as a live search immediately before submission, per Section 31.</w:t>
            </w:r>
          </w:p>
        </w:tc>
      </w:tr>
    </w:tbl>
    <w:p>
      <w:pPr>
        <w:spacing w:after="100"/>
      </w:pPr>
    </w:p>
    <w:p>
      <w:pPr>
        <w:pStyle w:val="Heading1"/>
        <w:pBdr>
          <w:bottom w:val="single" w:color="1F3864" w:sz="6" w:space="4"/>
        </w:pBdr>
        <w:spacing w:after="200" w:before="400"/>
      </w:pPr>
      <w:r>
        <w:rPr>
          <w:b/>
          <w:bCs/>
          <w:color w:val="1F3864"/>
          <w:sz w:val="30"/>
          <w:szCs w:val="30"/>
        </w:rPr>
        <w:t xml:space="preserve">8.  Research Gap</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550"/>
        <w:gridCol w:w="2350"/>
        <w:gridCol w:w="2350"/>
        <w:gridCol w:w="2776"/>
      </w:tblGrid>
      <w:tr>
        <w:trPr>
          <w:tblHeader/>
        </w:trPr>
        <w:tc>
          <w:tcPr>
            <w:tcW w:type="dxa" w:w="1550"/>
            <w:shd w:fill="1F3864" w:val="clear"/>
            <w:tcMar>
              <w:top w:type="dxa" w:w="80"/>
              <w:left w:type="dxa" w:w="100"/>
              <w:bottom w:type="dxa" w:w="80"/>
              <w:right w:type="dxa" w:w="100"/>
            </w:tcMar>
            <w:vAlign w:val="center"/>
          </w:tcPr>
          <w:p>
            <w:r>
              <w:rPr>
                <w:b/>
                <w:bCs/>
                <w:color w:val="FFFFFF"/>
                <w:sz w:val="19"/>
                <w:szCs w:val="19"/>
              </w:rPr>
              <w:t xml:space="preserve">Dimension</w:t>
            </w:r>
          </w:p>
        </w:tc>
        <w:tc>
          <w:tcPr>
            <w:tcW w:type="dxa" w:w="2350"/>
            <w:shd w:fill="1F3864" w:val="clear"/>
            <w:tcMar>
              <w:top w:type="dxa" w:w="80"/>
              <w:left w:type="dxa" w:w="100"/>
              <w:bottom w:type="dxa" w:w="80"/>
              <w:right w:type="dxa" w:w="100"/>
            </w:tcMar>
            <w:vAlign w:val="center"/>
          </w:tcPr>
          <w:p>
            <w:r>
              <w:rPr>
                <w:b/>
                <w:bCs/>
                <w:color w:val="FFFFFF"/>
                <w:sz w:val="19"/>
                <w:szCs w:val="19"/>
              </w:rPr>
              <w:t xml:space="preserve">Existing knowledge</w:t>
            </w:r>
          </w:p>
        </w:tc>
        <w:tc>
          <w:tcPr>
            <w:tcW w:type="dxa" w:w="2350"/>
            <w:shd w:fill="1F3864" w:val="clear"/>
            <w:tcMar>
              <w:top w:type="dxa" w:w="80"/>
              <w:left w:type="dxa" w:w="100"/>
              <w:bottom w:type="dxa" w:w="80"/>
              <w:right w:type="dxa" w:w="100"/>
            </w:tcMar>
            <w:vAlign w:val="center"/>
          </w:tcPr>
          <w:p>
            <w:r>
              <w:rPr>
                <w:b/>
                <w:bCs/>
                <w:color w:val="FFFFFF"/>
                <w:sz w:val="19"/>
                <w:szCs w:val="19"/>
              </w:rPr>
              <w:t xml:space="preserve">Limitation</w:t>
            </w:r>
          </w:p>
        </w:tc>
        <w:tc>
          <w:tcPr>
            <w:tcW w:type="dxa" w:w="2776"/>
            <w:shd w:fill="1F3864" w:val="clear"/>
            <w:tcMar>
              <w:top w:type="dxa" w:w="80"/>
              <w:left w:type="dxa" w:w="100"/>
              <w:bottom w:type="dxa" w:w="80"/>
              <w:right w:type="dxa" w:w="100"/>
            </w:tcMar>
            <w:vAlign w:val="center"/>
          </w:tcPr>
          <w:p>
            <w:r>
              <w:rPr>
                <w:b/>
                <w:bCs/>
                <w:color w:val="FFFFFF"/>
                <w:sz w:val="19"/>
                <w:szCs w:val="19"/>
              </w:rPr>
              <w:t xml:space="preserve">Proposed investigation</w:t>
            </w:r>
          </w:p>
        </w:tc>
      </w:tr>
      <w:tr>
        <w:tc>
          <w:tcPr>
            <w:tcW w:type="dxa" w:w="1550"/>
            <w:tcMar>
              <w:top w:type="dxa" w:w="80"/>
              <w:left w:type="dxa" w:w="100"/>
              <w:bottom w:type="dxa" w:w="80"/>
              <w:right w:type="dxa" w:w="100"/>
            </w:tcMar>
            <w:vAlign w:val="center"/>
          </w:tcPr>
          <w:p>
            <w:r>
              <w:rPr>
                <w:b w:val="false"/>
                <w:bCs w:val="false"/>
                <w:sz w:val="19"/>
                <w:szCs w:val="19"/>
              </w:rPr>
              <w:t xml:space="preserve">Causality</w:t>
            </w:r>
          </w:p>
        </w:tc>
        <w:tc>
          <w:tcPr>
            <w:tcW w:type="dxa" w:w="2350"/>
            <w:tcMar>
              <w:top w:type="dxa" w:w="80"/>
              <w:left w:type="dxa" w:w="100"/>
              <w:bottom w:type="dxa" w:w="80"/>
              <w:right w:type="dxa" w:w="100"/>
            </w:tcMar>
            <w:vAlign w:val="center"/>
          </w:tcPr>
          <w:p>
            <w:r>
              <w:rPr>
                <w:b w:val="false"/>
                <w:bCs w:val="false"/>
                <w:sz w:val="19"/>
                <w:szCs w:val="19"/>
              </w:rPr>
              <w:t xml:space="preserve">Compression correlates with safety/behaviour changes in clean models (Group B).</w:t>
            </w:r>
          </w:p>
        </w:tc>
        <w:tc>
          <w:tcPr>
            <w:tcW w:type="dxa" w:w="2350"/>
            <w:tcMar>
              <w:top w:type="dxa" w:w="80"/>
              <w:left w:type="dxa" w:w="100"/>
              <w:bottom w:type="dxa" w:w="80"/>
              <w:right w:type="dxa" w:w="100"/>
            </w:tcMar>
            <w:vAlign w:val="center"/>
          </w:tcPr>
          <w:p>
            <w:r>
              <w:rPr>
                <w:b w:val="false"/>
                <w:bCs w:val="false"/>
                <w:sz w:val="19"/>
                <w:szCs w:val="19"/>
              </w:rPr>
              <w:t xml:space="preserve">Correlation only; no demonstration that an attacker can make compression causally trigger a chosen behaviour.</w:t>
            </w:r>
          </w:p>
        </w:tc>
        <w:tc>
          <w:tcPr>
            <w:tcW w:type="dxa" w:w="2776"/>
            <w:tcMar>
              <w:top w:type="dxa" w:w="80"/>
              <w:left w:type="dxa" w:w="100"/>
              <w:bottom w:type="dxa" w:w="80"/>
              <w:right w:type="dxa" w:w="100"/>
            </w:tcMar>
            <w:vAlign w:val="center"/>
          </w:tcPr>
          <w:p>
            <w:r>
              <w:rPr>
                <w:b w:val="false"/>
                <w:bCs w:val="false"/>
                <w:sz w:val="19"/>
                <w:szCs w:val="19"/>
              </w:rPr>
              <w:t xml:space="preserve">Train against paired full/compressed regimes and measure whether the gap is amplifiable beyond baseline (RQ1).</w:t>
            </w:r>
          </w:p>
        </w:tc>
      </w:tr>
      <w:tr>
        <w:tc>
          <w:tcPr>
            <w:tcW w:type="dxa" w:w="1550"/>
            <w:shd w:fill="DCE6F1" w:val="clear"/>
            <w:tcMar>
              <w:top w:type="dxa" w:w="80"/>
              <w:left w:type="dxa" w:w="100"/>
              <w:bottom w:type="dxa" w:w="80"/>
              <w:right w:type="dxa" w:w="100"/>
            </w:tcMar>
            <w:vAlign w:val="center"/>
          </w:tcPr>
          <w:p>
            <w:r>
              <w:rPr>
                <w:b w:val="false"/>
                <w:bCs w:val="false"/>
                <w:sz w:val="19"/>
                <w:szCs w:val="19"/>
              </w:rPr>
              <w:t xml:space="preserve">Selectivity</w:t>
            </w:r>
          </w:p>
        </w:tc>
        <w:tc>
          <w:tcPr>
            <w:tcW w:type="dxa" w:w="2350"/>
            <w:shd w:fill="DCE6F1" w:val="clear"/>
            <w:tcMar>
              <w:top w:type="dxa" w:w="80"/>
              <w:left w:type="dxa" w:w="100"/>
              <w:bottom w:type="dxa" w:w="80"/>
              <w:right w:type="dxa" w:w="100"/>
            </w:tcMar>
            <w:vAlign w:val="center"/>
          </w:tcPr>
          <w:p>
            <w:r>
              <w:rPr>
                <w:b w:val="false"/>
                <w:bCs w:val="false"/>
                <w:sz w:val="19"/>
                <w:szCs w:val="19"/>
              </w:rPr>
              <w:t xml:space="preserve">Broad, often uniform quality/safety degradation is reported under compression.</w:t>
            </w:r>
          </w:p>
        </w:tc>
        <w:tc>
          <w:tcPr>
            <w:tcW w:type="dxa" w:w="2350"/>
            <w:shd w:fill="DCE6F1" w:val="clear"/>
            <w:tcMar>
              <w:top w:type="dxa" w:w="80"/>
              <w:left w:type="dxa" w:w="100"/>
              <w:bottom w:type="dxa" w:w="80"/>
              <w:right w:type="dxa" w:w="100"/>
            </w:tcMar>
            <w:vAlign w:val="center"/>
          </w:tcPr>
          <w:p>
            <w:r>
              <w:rPr>
                <w:b w:val="false"/>
                <w:bCs w:val="false"/>
                <w:sz w:val="19"/>
                <w:szCs w:val="19"/>
              </w:rPr>
              <w:t xml:space="preserve">Not shown to be targetable to a specific semantic behaviour or task while sparing others.</w:t>
            </w:r>
          </w:p>
        </w:tc>
        <w:tc>
          <w:tcPr>
            <w:tcW w:type="dxa" w:w="2776"/>
            <w:shd w:fill="DCE6F1" w:val="clear"/>
            <w:tcMar>
              <w:top w:type="dxa" w:w="80"/>
              <w:left w:type="dxa" w:w="100"/>
              <w:bottom w:type="dxa" w:w="80"/>
              <w:right w:type="dxa" w:w="100"/>
            </w:tcMar>
            <w:vAlign w:val="center"/>
          </w:tcPr>
          <w:p>
            <w:r>
              <w:rPr>
                <w:b w:val="false"/>
                <w:bCs w:val="false"/>
                <w:sz w:val="19"/>
                <w:szCs w:val="19"/>
              </w:rPr>
              <w:t xml:space="preserve">Evaluate whether a chosen payload can be isolated from general degradation (RQ1, RQ2).</w:t>
            </w:r>
          </w:p>
        </w:tc>
      </w:tr>
      <w:tr>
        <w:tc>
          <w:tcPr>
            <w:tcW w:type="dxa" w:w="1550"/>
            <w:tcMar>
              <w:top w:type="dxa" w:w="80"/>
              <w:left w:type="dxa" w:w="100"/>
              <w:bottom w:type="dxa" w:w="80"/>
              <w:right w:type="dxa" w:w="100"/>
            </w:tcMar>
            <w:vAlign w:val="center"/>
          </w:tcPr>
          <w:p>
            <w:r>
              <w:rPr>
                <w:b w:val="false"/>
                <w:bCs w:val="false"/>
                <w:sz w:val="19"/>
                <w:szCs w:val="19"/>
              </w:rPr>
              <w:t xml:space="preserve">Stealth</w:t>
            </w:r>
          </w:p>
        </w:tc>
        <w:tc>
          <w:tcPr>
            <w:tcW w:type="dxa" w:w="2350"/>
            <w:tcMar>
              <w:top w:type="dxa" w:w="80"/>
              <w:left w:type="dxa" w:w="100"/>
              <w:bottom w:type="dxa" w:w="80"/>
              <w:right w:type="dxa" w:w="100"/>
            </w:tcMar>
            <w:vAlign w:val="center"/>
          </w:tcPr>
          <w:p>
            <w:r>
              <w:rPr>
                <w:b w:val="false"/>
                <w:bCs w:val="false"/>
                <w:sz w:val="19"/>
                <w:szCs w:val="19"/>
              </w:rPr>
              <w:t xml:space="preserve">Full-cache behaviour is typically treated as the audit baseline in Group B studies.</w:t>
            </w:r>
          </w:p>
        </w:tc>
        <w:tc>
          <w:tcPr>
            <w:tcW w:type="dxa" w:w="2350"/>
            <w:tcMar>
              <w:top w:type="dxa" w:w="80"/>
              <w:left w:type="dxa" w:w="100"/>
              <w:bottom w:type="dxa" w:w="80"/>
              <w:right w:type="dxa" w:w="100"/>
            </w:tcMar>
            <w:vAlign w:val="center"/>
          </w:tcPr>
          <w:p>
            <w:r>
              <w:rPr>
                <w:b w:val="false"/>
                <w:bCs w:val="false"/>
                <w:sz w:val="19"/>
                <w:szCs w:val="19"/>
              </w:rPr>
              <w:t xml:space="preserve">Not evaluated against an attacker deliberately minimising full-cache activation.</w:t>
            </w:r>
          </w:p>
        </w:tc>
        <w:tc>
          <w:tcPr>
            <w:tcW w:type="dxa" w:w="2776"/>
            <w:tcMar>
              <w:top w:type="dxa" w:w="80"/>
              <w:left w:type="dxa" w:w="100"/>
              <w:bottom w:type="dxa" w:w="80"/>
              <w:right w:type="dxa" w:w="100"/>
            </w:tcMar>
            <w:vAlign w:val="center"/>
          </w:tcPr>
          <w:p>
            <w:r>
              <w:rPr>
                <w:b w:val="false"/>
                <w:bCs w:val="false"/>
                <w:sz w:val="19"/>
                <w:szCs w:val="19"/>
              </w:rPr>
              <w:t xml:space="preserve">Explicit stealth objective and false-activation-rate metric during training (Section 13, Phase 2).</w:t>
            </w:r>
          </w:p>
        </w:tc>
      </w:tr>
      <w:tr>
        <w:tc>
          <w:tcPr>
            <w:tcW w:type="dxa" w:w="1550"/>
            <w:shd w:fill="DCE6F1" w:val="clear"/>
            <w:tcMar>
              <w:top w:type="dxa" w:w="80"/>
              <w:left w:type="dxa" w:w="100"/>
              <w:bottom w:type="dxa" w:w="80"/>
              <w:right w:type="dxa" w:w="100"/>
            </w:tcMar>
            <w:vAlign w:val="center"/>
          </w:tcPr>
          <w:p>
            <w:r>
              <w:rPr>
                <w:b w:val="false"/>
                <w:bCs w:val="false"/>
                <w:sz w:val="19"/>
                <w:szCs w:val="19"/>
              </w:rPr>
              <w:t xml:space="preserve">Runtime dependence</w:t>
            </w:r>
          </w:p>
        </w:tc>
        <w:tc>
          <w:tcPr>
            <w:tcW w:type="dxa" w:w="2350"/>
            <w:shd w:fill="DCE6F1" w:val="clear"/>
            <w:tcMar>
              <w:top w:type="dxa" w:w="80"/>
              <w:left w:type="dxa" w:w="100"/>
              <w:bottom w:type="dxa" w:w="80"/>
              <w:right w:type="dxa" w:w="100"/>
            </w:tcMar>
            <w:vAlign w:val="center"/>
          </w:tcPr>
          <w:p>
            <w:r>
              <w:rPr>
                <w:b w:val="false"/>
                <w:bCs w:val="false"/>
                <w:sz w:val="19"/>
                <w:szCs w:val="19"/>
              </w:rPr>
              <w:t xml:space="preserve">Adaptive/bandwidth-dependent compression exists for systems reasons (CacheGen).</w:t>
            </w:r>
          </w:p>
        </w:tc>
        <w:tc>
          <w:tcPr>
            <w:tcW w:type="dxa" w:w="2350"/>
            <w:shd w:fill="DCE6F1" w:val="clear"/>
            <w:tcMar>
              <w:top w:type="dxa" w:w="80"/>
              <w:left w:type="dxa" w:w="100"/>
              <w:bottom w:type="dxa" w:w="80"/>
              <w:right w:type="dxa" w:w="100"/>
            </w:tcMar>
            <w:vAlign w:val="center"/>
          </w:tcPr>
          <w:p>
            <w:r>
              <w:rPr>
                <w:b w:val="false"/>
                <w:bCs w:val="false"/>
                <w:sz w:val="19"/>
                <w:szCs w:val="19"/>
              </w:rPr>
              <w:t xml:space="preserve">Not connected to a security trigger; no work conditions a payload on context length or memory pressure.</w:t>
            </w:r>
          </w:p>
        </w:tc>
        <w:tc>
          <w:tcPr>
            <w:tcW w:type="dxa" w:w="2776"/>
            <w:shd w:fill="DCE6F1" w:val="clear"/>
            <w:tcMar>
              <w:top w:type="dxa" w:w="80"/>
              <w:left w:type="dxa" w:w="100"/>
              <w:bottom w:type="dxa" w:w="80"/>
              <w:right w:type="dxa" w:w="100"/>
            </w:tcMar>
            <w:vAlign w:val="center"/>
          </w:tcPr>
          <w:p>
            <w:r>
              <w:rPr>
                <w:b w:val="false"/>
                <w:bCs w:val="false"/>
                <w:sz w:val="19"/>
                <w:szCs w:val="19"/>
              </w:rPr>
              <w:t xml:space="preserve">Context-, budget-, and load-conditioned trigger variants (RQ3; Section 12).</w:t>
            </w:r>
          </w:p>
        </w:tc>
      </w:tr>
      <w:tr>
        <w:tc>
          <w:tcPr>
            <w:tcW w:type="dxa" w:w="1550"/>
            <w:tcMar>
              <w:top w:type="dxa" w:w="80"/>
              <w:left w:type="dxa" w:w="100"/>
              <w:bottom w:type="dxa" w:w="80"/>
              <w:right w:type="dxa" w:w="100"/>
            </w:tcMar>
            <w:vAlign w:val="center"/>
          </w:tcPr>
          <w:p>
            <w:r>
              <w:rPr>
                <w:b w:val="false"/>
                <w:bCs w:val="false"/>
                <w:sz w:val="19"/>
                <w:szCs w:val="19"/>
              </w:rPr>
              <w:t xml:space="preserve">Trigger specificity</w:t>
            </w:r>
          </w:p>
        </w:tc>
        <w:tc>
          <w:tcPr>
            <w:tcW w:type="dxa" w:w="2350"/>
            <w:tcMar>
              <w:top w:type="dxa" w:w="80"/>
              <w:left w:type="dxa" w:w="100"/>
              <w:bottom w:type="dxa" w:w="80"/>
              <w:right w:type="dxa" w:w="100"/>
            </w:tcMar>
            <w:vAlign w:val="center"/>
          </w:tcPr>
          <w:p>
            <w:r>
              <w:rPr>
                <w:b w:val="false"/>
                <w:bCs w:val="false"/>
                <w:sz w:val="19"/>
                <w:szCs w:val="19"/>
              </w:rPr>
              <w:t xml:space="preserve">Not evaluated in Group B; CacheTrap's fault-injection trigger is a single fixed bit, not a policy family.</w:t>
            </w:r>
          </w:p>
        </w:tc>
        <w:tc>
          <w:tcPr>
            <w:tcW w:type="dxa" w:w="2350"/>
            <w:tcMar>
              <w:top w:type="dxa" w:w="80"/>
              <w:left w:type="dxa" w:w="100"/>
              <w:bottom w:type="dxa" w:w="80"/>
              <w:right w:type="dxa" w:w="100"/>
            </w:tcMar>
            <w:vAlign w:val="center"/>
          </w:tcPr>
          <w:p>
            <w:r>
              <w:rPr>
                <w:b w:val="false"/>
                <w:bCs w:val="false"/>
                <w:sz w:val="19"/>
                <w:szCs w:val="19"/>
              </w:rPr>
              <w:t xml:space="preserve">No account of how narrowly or broadly a trigger generalises across neighbouring cache policies.</w:t>
            </w:r>
          </w:p>
        </w:tc>
        <w:tc>
          <w:tcPr>
            <w:tcW w:type="dxa" w:w="2776"/>
            <w:tcMar>
              <w:top w:type="dxa" w:w="80"/>
              <w:left w:type="dxa" w:w="100"/>
              <w:bottom w:type="dxa" w:w="80"/>
              <w:right w:type="dxa" w:w="100"/>
            </w:tcMar>
            <w:vAlign w:val="center"/>
          </w:tcPr>
          <w:p>
            <w:r>
              <w:rPr>
                <w:b w:val="false"/>
                <w:bCs w:val="false"/>
                <w:sz w:val="19"/>
                <w:szCs w:val="19"/>
              </w:rPr>
              <w:t xml:space="preserve">Near-miss policy evaluation as a first-class metric (Section 17).</w:t>
            </w:r>
          </w:p>
        </w:tc>
      </w:tr>
      <w:tr>
        <w:tc>
          <w:tcPr>
            <w:tcW w:type="dxa" w:w="1550"/>
            <w:shd w:fill="DCE6F1" w:val="clear"/>
            <w:tcMar>
              <w:top w:type="dxa" w:w="80"/>
              <w:left w:type="dxa" w:w="100"/>
              <w:bottom w:type="dxa" w:w="80"/>
              <w:right w:type="dxa" w:w="100"/>
            </w:tcMar>
            <w:vAlign w:val="center"/>
          </w:tcPr>
          <w:p>
            <w:r>
              <w:rPr>
                <w:b w:val="false"/>
                <w:bCs w:val="false"/>
                <w:sz w:val="19"/>
                <w:szCs w:val="19"/>
              </w:rPr>
              <w:t xml:space="preserve">Mechanistic explanation</w:t>
            </w:r>
          </w:p>
        </w:tc>
        <w:tc>
          <w:tcPr>
            <w:tcW w:type="dxa" w:w="2350"/>
            <w:shd w:fill="DCE6F1" w:val="clear"/>
            <w:tcMar>
              <w:top w:type="dxa" w:w="80"/>
              <w:left w:type="dxa" w:w="100"/>
              <w:bottom w:type="dxa" w:w="80"/>
              <w:right w:type="dxa" w:w="100"/>
            </w:tcMar>
            <w:vAlign w:val="center"/>
          </w:tcPr>
          <w:p>
            <w:r>
              <w:rPr>
                <w:b w:val="false"/>
                <w:bCs w:val="false"/>
                <w:sz w:val="19"/>
                <w:szCs w:val="19"/>
              </w:rPr>
              <w:t xml:space="preserve">Explanations in Group B focus on information loss, head collapse, and quantization geometry in clean models.</w:t>
            </w:r>
          </w:p>
        </w:tc>
        <w:tc>
          <w:tcPr>
            <w:tcW w:type="dxa" w:w="2350"/>
            <w:shd w:fill="DCE6F1" w:val="clear"/>
            <w:tcMar>
              <w:top w:type="dxa" w:w="80"/>
              <w:left w:type="dxa" w:w="100"/>
              <w:bottom w:type="dxa" w:w="80"/>
              <w:right w:type="dxa" w:w="100"/>
            </w:tcMar>
            <w:vAlign w:val="center"/>
          </w:tcPr>
          <w:p>
            <w:r>
              <w:rPr>
                <w:b w:val="false"/>
                <w:bCs w:val="false"/>
                <w:sz w:val="19"/>
                <w:szCs w:val="19"/>
              </w:rPr>
              <w:t xml:space="preserve">Not localised for an intentionally trained trigger.</w:t>
            </w:r>
          </w:p>
        </w:tc>
        <w:tc>
          <w:tcPr>
            <w:tcW w:type="dxa" w:w="2776"/>
            <w:shd w:fill="DCE6F1" w:val="clear"/>
            <w:tcMar>
              <w:top w:type="dxa" w:w="80"/>
              <w:left w:type="dxa" w:w="100"/>
              <w:bottom w:type="dxa" w:w="80"/>
              <w:right w:type="dxa" w:w="100"/>
            </w:tcMar>
            <w:vAlign w:val="center"/>
          </w:tcPr>
          <w:p>
            <w:r>
              <w:rPr>
                <w:b w:val="false"/>
                <w:bCs w:val="false"/>
                <w:sz w:val="19"/>
                <w:szCs w:val="19"/>
              </w:rPr>
              <w:t xml:space="preserve">Layer/head/token ablation and representation-geometry analysis (Section 13, Phase 4).</w:t>
            </w:r>
          </w:p>
        </w:tc>
      </w:tr>
      <w:tr>
        <w:tc>
          <w:tcPr>
            <w:tcW w:type="dxa" w:w="1550"/>
            <w:tcMar>
              <w:top w:type="dxa" w:w="80"/>
              <w:left w:type="dxa" w:w="100"/>
              <w:bottom w:type="dxa" w:w="80"/>
              <w:right w:type="dxa" w:w="100"/>
            </w:tcMar>
            <w:vAlign w:val="center"/>
          </w:tcPr>
          <w:p>
            <w:r>
              <w:rPr>
                <w:b w:val="false"/>
                <w:bCs w:val="false"/>
                <w:sz w:val="19"/>
                <w:szCs w:val="19"/>
              </w:rPr>
              <w:t xml:space="preserve">Cross-policy behaviour</w:t>
            </w:r>
          </w:p>
        </w:tc>
        <w:tc>
          <w:tcPr>
            <w:tcW w:type="dxa" w:w="2350"/>
            <w:tcMar>
              <w:top w:type="dxa" w:w="80"/>
              <w:left w:type="dxa" w:w="100"/>
              <w:bottom w:type="dxa" w:w="80"/>
              <w:right w:type="dxa" w:w="100"/>
            </w:tcMar>
            <w:vAlign w:val="center"/>
          </w:tcPr>
          <w:p>
            <w:r>
              <w:rPr>
                <w:b w:val="false"/>
                <w:bCs w:val="false"/>
                <w:sz w:val="19"/>
                <w:szCs w:val="19"/>
              </w:rPr>
              <w:t xml:space="preserve">Not evaluated for a trained trigger; CacheTrap's transfer results concern cross-model bit-location transfer, not cross-policy behaviour.</w:t>
            </w:r>
          </w:p>
        </w:tc>
        <w:tc>
          <w:tcPr>
            <w:tcW w:type="dxa" w:w="2350"/>
            <w:tcMar>
              <w:top w:type="dxa" w:w="80"/>
              <w:left w:type="dxa" w:w="100"/>
              <w:bottom w:type="dxa" w:w="80"/>
              <w:right w:type="dxa" w:w="100"/>
            </w:tcMar>
            <w:vAlign w:val="center"/>
          </w:tcPr>
          <w:p>
            <w:r>
              <w:rPr>
                <w:b w:val="false"/>
                <w:bCs w:val="false"/>
                <w:sz w:val="19"/>
                <w:szCs w:val="19"/>
              </w:rPr>
              <w:t xml:space="preserve">Unknown whether an attack generalises across unseen implementations of the same compression family.</w:t>
            </w:r>
          </w:p>
        </w:tc>
        <w:tc>
          <w:tcPr>
            <w:tcW w:type="dxa" w:w="2776"/>
            <w:tcMar>
              <w:top w:type="dxa" w:w="80"/>
              <w:left w:type="dxa" w:w="100"/>
              <w:bottom w:type="dxa" w:w="80"/>
              <w:right w:type="dxa" w:w="100"/>
            </w:tcMar>
            <w:vAlign w:val="center"/>
          </w:tcPr>
          <w:p>
            <w:r>
              <w:rPr>
                <w:b w:val="false"/>
                <w:bCs w:val="false"/>
                <w:sz w:val="19"/>
                <w:szCs w:val="19"/>
              </w:rPr>
              <w:t xml:space="preserve">Explicit cross-policy transfer axis in the experimental matrix (Section 14).</w:t>
            </w:r>
          </w:p>
        </w:tc>
      </w:tr>
      <w:tr>
        <w:tc>
          <w:tcPr>
            <w:tcW w:type="dxa" w:w="1550"/>
            <w:shd w:fill="DCE6F1" w:val="clear"/>
            <w:tcMar>
              <w:top w:type="dxa" w:w="80"/>
              <w:left w:type="dxa" w:w="100"/>
              <w:bottom w:type="dxa" w:w="80"/>
              <w:right w:type="dxa" w:w="100"/>
            </w:tcMar>
            <w:vAlign w:val="center"/>
          </w:tcPr>
          <w:p>
            <w:r>
              <w:rPr>
                <w:b w:val="false"/>
                <w:bCs w:val="false"/>
                <w:sz w:val="19"/>
                <w:szCs w:val="19"/>
              </w:rPr>
              <w:t xml:space="preserve">Cross-model generalisation</w:t>
            </w:r>
          </w:p>
        </w:tc>
        <w:tc>
          <w:tcPr>
            <w:tcW w:type="dxa" w:w="2350"/>
            <w:shd w:fill="DCE6F1" w:val="clear"/>
            <w:tcMar>
              <w:top w:type="dxa" w:w="80"/>
              <w:left w:type="dxa" w:w="100"/>
              <w:bottom w:type="dxa" w:w="80"/>
              <w:right w:type="dxa" w:w="100"/>
            </w:tcMar>
            <w:vAlign w:val="center"/>
          </w:tcPr>
          <w:p>
            <w:r>
              <w:rPr>
                <w:b w:val="false"/>
                <w:bCs w:val="false"/>
                <w:sz w:val="19"/>
                <w:szCs w:val="19"/>
              </w:rPr>
              <w:t xml:space="preserve">Group A/B results span multiple model families for efficiency and clean-model safety findings respectively.</w:t>
            </w:r>
          </w:p>
        </w:tc>
        <w:tc>
          <w:tcPr>
            <w:tcW w:type="dxa" w:w="2350"/>
            <w:shd w:fill="DCE6F1" w:val="clear"/>
            <w:tcMar>
              <w:top w:type="dxa" w:w="80"/>
              <w:left w:type="dxa" w:w="100"/>
              <w:bottom w:type="dxa" w:w="80"/>
              <w:right w:type="dxa" w:w="100"/>
            </w:tcMar>
            <w:vAlign w:val="center"/>
          </w:tcPr>
          <w:p>
            <w:r>
              <w:rPr>
                <w:b w:val="false"/>
                <w:bCs w:val="false"/>
                <w:sz w:val="19"/>
                <w:szCs w:val="19"/>
              </w:rPr>
              <w:t xml:space="preserve">Not established for a trained runtime-conditioned trigger.</w:t>
            </w:r>
          </w:p>
        </w:tc>
        <w:tc>
          <w:tcPr>
            <w:tcW w:type="dxa" w:w="2776"/>
            <w:shd w:fill="DCE6F1" w:val="clear"/>
            <w:tcMar>
              <w:top w:type="dxa" w:w="80"/>
              <w:left w:type="dxa" w:w="100"/>
              <w:bottom w:type="dxa" w:w="80"/>
              <w:right w:type="dxa" w:w="100"/>
            </w:tcMar>
            <w:vAlign w:val="center"/>
          </w:tcPr>
          <w:p>
            <w:r>
              <w:rPr>
                <w:b w:val="false"/>
                <w:bCs w:val="false"/>
                <w:sz w:val="19"/>
                <w:szCs w:val="19"/>
              </w:rPr>
              <w:t xml:space="preserve">Evaluation across 2+ model families as a minimum viable requirement (Section 14).</w:t>
            </w:r>
          </w:p>
        </w:tc>
      </w:tr>
      <w:tr>
        <w:tc>
          <w:tcPr>
            <w:tcW w:type="dxa" w:w="1550"/>
            <w:tcMar>
              <w:top w:type="dxa" w:w="80"/>
              <w:left w:type="dxa" w:w="100"/>
              <w:bottom w:type="dxa" w:w="80"/>
              <w:right w:type="dxa" w:w="100"/>
            </w:tcMar>
            <w:vAlign w:val="center"/>
          </w:tcPr>
          <w:p>
            <w:r>
              <w:rPr>
                <w:b w:val="false"/>
                <w:bCs w:val="false"/>
                <w:sz w:val="19"/>
                <w:szCs w:val="19"/>
              </w:rPr>
              <w:t xml:space="preserve">Defense</w:t>
            </w:r>
          </w:p>
        </w:tc>
        <w:tc>
          <w:tcPr>
            <w:tcW w:type="dxa" w:w="2350"/>
            <w:tcMar>
              <w:top w:type="dxa" w:w="80"/>
              <w:left w:type="dxa" w:w="100"/>
              <w:bottom w:type="dxa" w:w="80"/>
              <w:right w:type="dxa" w:w="100"/>
            </w:tcMar>
            <w:vAlign w:val="center"/>
          </w:tcPr>
          <w:p>
            <w:r>
              <w:rPr>
                <w:b w:val="false"/>
                <w:bCs w:val="false"/>
                <w:sz w:val="19"/>
                <w:szCs w:val="19"/>
              </w:rPr>
              <w:t xml:space="preserve">Safer eviction/quantization policies and cache-privacy defenses (KV-CLOAK, KVGov) exist for other objectives.</w:t>
            </w:r>
          </w:p>
        </w:tc>
        <w:tc>
          <w:tcPr>
            <w:tcW w:type="dxa" w:w="2350"/>
            <w:tcMar>
              <w:top w:type="dxa" w:w="80"/>
              <w:left w:type="dxa" w:w="100"/>
              <w:bottom w:type="dxa" w:w="80"/>
              <w:right w:type="dxa" w:w="100"/>
            </w:tcMar>
            <w:vAlign w:val="center"/>
          </w:tcPr>
          <w:p>
            <w:r>
              <w:rPr>
                <w:b w:val="false"/>
                <w:bCs w:val="false"/>
                <w:sz w:val="19"/>
                <w:szCs w:val="19"/>
              </w:rPr>
              <w:t xml:space="preserve">None target a training-time-implanted, compression-policy-conditioned trigger specifically.</w:t>
            </w:r>
          </w:p>
        </w:tc>
        <w:tc>
          <w:tcPr>
            <w:tcW w:type="dxa" w:w="2776"/>
            <w:tcMar>
              <w:top w:type="dxa" w:w="80"/>
              <w:left w:type="dxa" w:w="100"/>
              <w:bottom w:type="dxa" w:w="80"/>
              <w:right w:type="dxa" w:w="100"/>
            </w:tcMar>
            <w:vAlign w:val="center"/>
          </w:tcPr>
          <w:p>
            <w:r>
              <w:rPr>
                <w:b w:val="false"/>
                <w:bCs w:val="false"/>
                <w:sz w:val="19"/>
                <w:szCs w:val="19"/>
              </w:rPr>
              <w:t xml:space="preserve">Cache-aware differential auditing and security-aware retention, evaluated against this specific attack family (Section 21).</w:t>
            </w:r>
          </w:p>
        </w:tc>
      </w:tr>
    </w:tbl>
    <w:p>
      <w:pPr>
        <w:spacing w:after="160" w:line="288"/>
        <w:jc w:val="both"/>
      </w:pPr>
      <w:r>
        <w:rPr>
          <w:sz w:val="21"/>
          <w:szCs w:val="21"/>
        </w:rPr>
        <w:t xml:space="preserve">Read together, the four literature groups establish that compression-induced degradation is known, cache-level privacy risk is known, and conditional/dynamic LLM backdoors are known — but no reviewed source, including the closest adjacent paper (CacheTrap), demonstrates an intentionally implanted LLM backdoor whose trigger is a legitimate runtime transformation of the KV cache, activated without hardware access, while the reference full-cache model remains benign. That combination is the specific, narrowly stated gap this project investigates.</w:t>
      </w:r>
    </w:p>
    <w:p>
      <w:pPr>
        <w:spacing w:after="100"/>
      </w:pPr>
    </w:p>
    <w:p>
      <w:pPr>
        <w:pStyle w:val="Heading1"/>
        <w:pBdr>
          <w:bottom w:val="single" w:color="1F3864" w:sz="6" w:space="4"/>
        </w:pBdr>
        <w:spacing w:after="200" w:before="400"/>
      </w:pPr>
      <w:r>
        <w:rPr>
          <w:b/>
          <w:bCs/>
          <w:color w:val="1F3864"/>
          <w:sz w:val="30"/>
          <w:szCs w:val="30"/>
        </w:rPr>
        <w:t xml:space="preserve">9.  Research Questions</w:t>
      </w:r>
    </w:p>
    <w:p>
      <w:pPr>
        <w:pStyle w:val="Heading3"/>
        <w:spacing w:after="100" w:before="200"/>
      </w:pPr>
      <w:r>
        <w:rPr>
          <w:b/>
          <w:bCs/>
          <w:i/>
          <w:iCs/>
          <w:color w:val="9C6B1F"/>
          <w:sz w:val="21"/>
          <w:szCs w:val="21"/>
        </w:rPr>
        <w:t xml:space="preserve">RQ1 — Existence</w:t>
      </w:r>
    </w:p>
    <w:p>
      <w:pPr>
        <w:spacing w:after="160" w:line="288"/>
        <w:jc w:val="both"/>
      </w:pPr>
      <w:r>
        <w:rPr>
          <w:sz w:val="21"/>
          <w:szCs w:val="21"/>
        </w:rPr>
        <w:t xml:space="preserve">Can a model be trained so that full-cache inference is benign but a specified KV-cache transformation reliably activates a targeted behaviour? Sub-question: does this hold across quantization, eviction, and merging individually, or only for a subset?</w:t>
      </w:r>
    </w:p>
    <w:p>
      <w:pPr>
        <w:pStyle w:val="Heading3"/>
        <w:spacing w:after="100" w:before="200"/>
      </w:pPr>
      <w:r>
        <w:rPr>
          <w:b/>
          <w:bCs/>
          <w:i/>
          <w:iCs/>
          <w:color w:val="9C6B1F"/>
          <w:sz w:val="21"/>
          <w:szCs w:val="21"/>
        </w:rPr>
        <w:t xml:space="preserve">RQ2 — Trigger structure</w:t>
      </w:r>
    </w:p>
    <w:p>
      <w:pPr>
        <w:spacing w:after="160" w:line="288"/>
        <w:jc w:val="both"/>
      </w:pPr>
      <w:r>
        <w:rPr>
          <w:sz w:val="21"/>
          <w:szCs w:val="21"/>
        </w:rPr>
        <w:t xml:space="preserve">Do quantization, eviction, and merging produce distinct attack mechanisms and distinct robustness profiles, or does a single training recipe transfer across all three with only minor adaptation?</w:t>
      </w:r>
    </w:p>
    <w:p>
      <w:pPr>
        <w:pStyle w:val="Heading3"/>
        <w:spacing w:after="100" w:before="200"/>
      </w:pPr>
      <w:r>
        <w:rPr>
          <w:b/>
          <w:bCs/>
          <w:i/>
          <w:iCs/>
          <w:color w:val="9C6B1F"/>
          <w:sz w:val="21"/>
          <w:szCs w:val="21"/>
        </w:rPr>
        <w:t xml:space="preserve">RQ3 — Runtime thresholds</w:t>
      </w:r>
    </w:p>
    <w:p>
      <w:pPr>
        <w:spacing w:after="160" w:line="288"/>
        <w:jc w:val="both"/>
      </w:pPr>
      <w:r>
        <w:rPr>
          <w:sz w:val="21"/>
          <w:szCs w:val="21"/>
        </w:rPr>
        <w:t xml:space="preserve">Can the trigger be conditioned on a continuous or threshold-based runtime quantity — cache budget, context length, retained-token ratio, or memory pressure — rather than a single fixed compression configuration, and if so, is the activation boundary sharp or gradual?</w:t>
      </w:r>
    </w:p>
    <w:p>
      <w:pPr>
        <w:pStyle w:val="Heading3"/>
        <w:spacing w:after="100" w:before="200"/>
      </w:pPr>
      <w:r>
        <w:rPr>
          <w:b/>
          <w:bCs/>
          <w:i/>
          <w:iCs/>
          <w:color w:val="9C6B1F"/>
          <w:sz w:val="21"/>
          <w:szCs w:val="21"/>
        </w:rPr>
        <w:t xml:space="preserve">RQ4 — Mechanism</w:t>
      </w:r>
    </w:p>
    <w:p>
      <w:pPr>
        <w:spacing w:after="160" w:line="288"/>
        <w:jc w:val="both"/>
      </w:pPr>
      <w:r>
        <w:rPr>
          <w:sz w:val="21"/>
          <w:szCs w:val="21"/>
        </w:rPr>
        <w:t xml:space="preserve">What internal features predict activation — token retention pattern, layer sensitivity, attention-head collapse, value-vector geometry, or some combination — and can the transition be localised to a small subset of layers or heads?</w:t>
      </w:r>
    </w:p>
    <w:p>
      <w:pPr>
        <w:pStyle w:val="Heading3"/>
        <w:spacing w:after="100" w:before="200"/>
      </w:pPr>
      <w:r>
        <w:rPr>
          <w:b/>
          <w:bCs/>
          <w:i/>
          <w:iCs/>
          <w:color w:val="9C6B1F"/>
          <w:sz w:val="21"/>
          <w:szCs w:val="21"/>
        </w:rPr>
        <w:t xml:space="preserve">RQ5 — Defense</w:t>
      </w:r>
    </w:p>
    <w:p>
      <w:pPr>
        <w:spacing w:after="160" w:line="288"/>
        <w:jc w:val="both"/>
      </w:pPr>
      <w:r>
        <w:rPr>
          <w:sz w:val="21"/>
          <w:szCs w:val="21"/>
        </w:rPr>
        <w:t xml:space="preserve">Can cache-aware differential auditing detect the runtime-conditioned transition at a practical query budget, and can security-aware retention or precision allocation preserve safety with bounded efficiency loss?</w:t>
      </w:r>
    </w:p>
    <w:p>
      <w:pPr>
        <w:spacing w:after="100"/>
      </w:pPr>
    </w:p>
    <w:p>
      <w:pPr>
        <w:pStyle w:val="Heading1"/>
        <w:pBdr>
          <w:bottom w:val="single" w:color="1F3864" w:sz="6" w:space="4"/>
        </w:pBdr>
        <w:spacing w:after="200" w:before="400"/>
      </w:pPr>
      <w:r>
        <w:rPr>
          <w:b/>
          <w:bCs/>
          <w:color w:val="1F3864"/>
          <w:sz w:val="30"/>
          <w:szCs w:val="30"/>
        </w:rPr>
        <w:t xml:space="preserve">10.  Research Objectives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3500"/>
        <w:gridCol w:w="4826"/>
      </w:tblGrid>
      <w:tr>
        <w:trPr>
          <w:tblHeader/>
        </w:trPr>
        <w:tc>
          <w:tcPr>
            <w:tcW w:type="dxa" w:w="700"/>
            <w:shd w:fill="1F3864" w:val="clear"/>
            <w:tcMar>
              <w:top w:type="dxa" w:w="80"/>
              <w:left w:type="dxa" w:w="100"/>
              <w:bottom w:type="dxa" w:w="80"/>
              <w:right w:type="dxa" w:w="100"/>
            </w:tcMar>
            <w:vAlign w:val="center"/>
          </w:tcPr>
          <w:p>
            <w:r>
              <w:rPr>
                <w:b/>
                <w:bCs/>
                <w:color w:val="FFFFFF"/>
                <w:sz w:val="19"/>
                <w:szCs w:val="19"/>
              </w:rPr>
              <w:t xml:space="preserve">#</w:t>
            </w:r>
          </w:p>
        </w:tc>
        <w:tc>
          <w:tcPr>
            <w:tcW w:type="dxa" w:w="3500"/>
            <w:shd w:fill="1F3864" w:val="clear"/>
            <w:tcMar>
              <w:top w:type="dxa" w:w="80"/>
              <w:left w:type="dxa" w:w="100"/>
              <w:bottom w:type="dxa" w:w="80"/>
              <w:right w:type="dxa" w:w="100"/>
            </w:tcMar>
            <w:vAlign w:val="center"/>
          </w:tcPr>
          <w:p>
            <w:r>
              <w:rPr>
                <w:b/>
                <w:bCs/>
                <w:color w:val="FFFFFF"/>
                <w:sz w:val="19"/>
                <w:szCs w:val="19"/>
              </w:rPr>
              <w:t xml:space="preserve">Objective</w:t>
            </w:r>
          </w:p>
        </w:tc>
        <w:tc>
          <w:tcPr>
            <w:tcW w:type="dxa" w:w="4826"/>
            <w:shd w:fill="1F3864" w:val="clear"/>
            <w:tcMar>
              <w:top w:type="dxa" w:w="80"/>
              <w:left w:type="dxa" w:w="100"/>
              <w:bottom w:type="dxa" w:w="80"/>
              <w:right w:type="dxa" w:w="100"/>
            </w:tcMar>
            <w:vAlign w:val="center"/>
          </w:tcPr>
          <w:p>
            <w:r>
              <w:rPr>
                <w:b/>
                <w:bCs/>
                <w:color w:val="FFFFFF"/>
                <w:sz w:val="19"/>
                <w:szCs w:val="19"/>
              </w:rPr>
              <w:t xml:space="preserve">Measurable outcome</w:t>
            </w:r>
          </w:p>
        </w:tc>
      </w:tr>
      <w:tr>
        <w:tc>
          <w:tcPr>
            <w:tcW w:type="dxa" w:w="700"/>
            <w:tcMar>
              <w:top w:type="dxa" w:w="80"/>
              <w:left w:type="dxa" w:w="100"/>
              <w:bottom w:type="dxa" w:w="80"/>
              <w:right w:type="dxa" w:w="100"/>
            </w:tcMar>
            <w:vAlign w:val="center"/>
          </w:tcPr>
          <w:p>
            <w:r>
              <w:rPr>
                <w:b w:val="false"/>
                <w:bCs w:val="false"/>
                <w:sz w:val="19"/>
                <w:szCs w:val="19"/>
              </w:rPr>
              <w:t xml:space="preserve">O1</w:t>
            </w:r>
          </w:p>
        </w:tc>
        <w:tc>
          <w:tcPr>
            <w:tcW w:type="dxa" w:w="3500"/>
            <w:tcMar>
              <w:top w:type="dxa" w:w="80"/>
              <w:left w:type="dxa" w:w="100"/>
              <w:bottom w:type="dxa" w:w="80"/>
              <w:right w:type="dxa" w:w="100"/>
            </w:tcMar>
            <w:vAlign w:val="center"/>
          </w:tcPr>
          <w:p>
            <w:r>
              <w:rPr>
                <w:b w:val="false"/>
                <w:bCs w:val="false"/>
                <w:sz w:val="19"/>
                <w:szCs w:val="19"/>
              </w:rPr>
              <w:t xml:space="preserve">Build a reproducible KV-cache instrumentation framework.</w:t>
            </w:r>
          </w:p>
        </w:tc>
        <w:tc>
          <w:tcPr>
            <w:tcW w:type="dxa" w:w="4826"/>
            <w:tcMar>
              <w:top w:type="dxa" w:w="80"/>
              <w:left w:type="dxa" w:w="100"/>
              <w:bottom w:type="dxa" w:w="80"/>
              <w:right w:type="dxa" w:w="100"/>
            </w:tcMar>
            <w:vAlign w:val="center"/>
          </w:tcPr>
          <w:p>
            <w:r>
              <w:rPr>
                <w:b w:val="false"/>
                <w:bCs w:val="false"/>
                <w:sz w:val="19"/>
                <w:szCs w:val="19"/>
              </w:rPr>
              <w:t xml:space="preserve">Deterministic A/B generation: identical seed and input yield identical cache transformation under a fixed policy (Gate G1).</w:t>
            </w:r>
          </w:p>
        </w:tc>
      </w:tr>
      <w:tr>
        <w:tc>
          <w:tcPr>
            <w:tcW w:type="dxa" w:w="700"/>
            <w:shd w:fill="DCE6F1" w:val="clear"/>
            <w:tcMar>
              <w:top w:type="dxa" w:w="80"/>
              <w:left w:type="dxa" w:w="100"/>
              <w:bottom w:type="dxa" w:w="80"/>
              <w:right w:type="dxa" w:w="100"/>
            </w:tcMar>
            <w:vAlign w:val="center"/>
          </w:tcPr>
          <w:p>
            <w:r>
              <w:rPr>
                <w:b w:val="false"/>
                <w:bCs w:val="false"/>
                <w:sz w:val="19"/>
                <w:szCs w:val="19"/>
              </w:rPr>
              <w:t xml:space="preserve">O2</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Establish non-adversarial safety/behaviour baselines under different cache policies.</w:t>
            </w:r>
          </w:p>
        </w:tc>
        <w:tc>
          <w:tcPr>
            <w:tcW w:type="dxa" w:w="4826"/>
            <w:shd w:fill="DCE6F1" w:val="clear"/>
            <w:tcMar>
              <w:top w:type="dxa" w:w="80"/>
              <w:left w:type="dxa" w:w="100"/>
              <w:bottom w:type="dxa" w:w="80"/>
              <w:right w:type="dxa" w:w="100"/>
            </w:tcMar>
            <w:vAlign w:val="center"/>
          </w:tcPr>
          <w:p>
            <w:r>
              <w:rPr>
                <w:b w:val="false"/>
                <w:bCs w:val="false"/>
                <w:sz w:val="19"/>
                <w:szCs w:val="19"/>
              </w:rPr>
              <w:t xml:space="preserve">Reproduction of at least one published compression-safety finding from Group B on the selected model(s) (Gate G2).</w:t>
            </w:r>
          </w:p>
        </w:tc>
      </w:tr>
      <w:tr>
        <w:tc>
          <w:tcPr>
            <w:tcW w:type="dxa" w:w="700"/>
            <w:tcMar>
              <w:top w:type="dxa" w:w="80"/>
              <w:left w:type="dxa" w:w="100"/>
              <w:bottom w:type="dxa" w:w="80"/>
              <w:right w:type="dxa" w:w="100"/>
            </w:tcMar>
            <w:vAlign w:val="center"/>
          </w:tcPr>
          <w:p>
            <w:r>
              <w:rPr>
                <w:b w:val="false"/>
                <w:bCs w:val="false"/>
                <w:sz w:val="19"/>
                <w:szCs w:val="19"/>
              </w:rPr>
              <w:t xml:space="preserve">O3</w:t>
            </w:r>
          </w:p>
        </w:tc>
        <w:tc>
          <w:tcPr>
            <w:tcW w:type="dxa" w:w="3500"/>
            <w:tcMar>
              <w:top w:type="dxa" w:w="80"/>
              <w:left w:type="dxa" w:w="100"/>
              <w:bottom w:type="dxa" w:w="80"/>
              <w:right w:type="dxa" w:w="100"/>
            </w:tcMar>
            <w:vAlign w:val="center"/>
          </w:tcPr>
          <w:p>
            <w:r>
              <w:rPr>
                <w:b w:val="false"/>
                <w:bCs w:val="false"/>
                <w:sz w:val="19"/>
                <w:szCs w:val="19"/>
              </w:rPr>
              <w:t xml:space="preserve">Determine whether intentional runtime-conditioned behaviour can be learned.</w:t>
            </w:r>
          </w:p>
        </w:tc>
        <w:tc>
          <w:tcPr>
            <w:tcW w:type="dxa" w:w="4826"/>
            <w:tcMar>
              <w:top w:type="dxa" w:w="80"/>
              <w:left w:type="dxa" w:w="100"/>
              <w:bottom w:type="dxa" w:w="80"/>
              <w:right w:type="dxa" w:w="100"/>
            </w:tcMar>
            <w:vAlign w:val="center"/>
          </w:tcPr>
          <w:p>
            <w:r>
              <w:rPr>
                <w:b w:val="false"/>
                <w:bCs w:val="false"/>
                <w:sz w:val="19"/>
                <w:szCs w:val="19"/>
              </w:rPr>
              <w:t xml:space="preserve">RC-ASR materially exceeds the clean-model baseline transition under the trigger condition (Gate G3).</w:t>
            </w:r>
          </w:p>
        </w:tc>
      </w:tr>
      <w:tr>
        <w:tc>
          <w:tcPr>
            <w:tcW w:type="dxa" w:w="700"/>
            <w:shd w:fill="DCE6F1" w:val="clear"/>
            <w:tcMar>
              <w:top w:type="dxa" w:w="80"/>
              <w:left w:type="dxa" w:w="100"/>
              <w:bottom w:type="dxa" w:w="80"/>
              <w:right w:type="dxa" w:w="100"/>
            </w:tcMar>
            <w:vAlign w:val="center"/>
          </w:tcPr>
          <w:p>
            <w:r>
              <w:rPr>
                <w:b w:val="false"/>
                <w:bCs w:val="false"/>
                <w:sz w:val="19"/>
                <w:szCs w:val="19"/>
              </w:rPr>
              <w:t xml:space="preserve">O4</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Compare quantization, eviction, and merging triggers.</w:t>
            </w:r>
          </w:p>
        </w:tc>
        <w:tc>
          <w:tcPr>
            <w:tcW w:type="dxa" w:w="4826"/>
            <w:shd w:fill="DCE6F1" w:val="clear"/>
            <w:tcMar>
              <w:top w:type="dxa" w:w="80"/>
              <w:left w:type="dxa" w:w="100"/>
              <w:bottom w:type="dxa" w:w="80"/>
              <w:right w:type="dxa" w:w="100"/>
            </w:tcMar>
            <w:vAlign w:val="center"/>
          </w:tcPr>
          <w:p>
            <w:r>
              <w:rPr>
                <w:b w:val="false"/>
                <w:bCs w:val="false"/>
                <w:sz w:val="19"/>
                <w:szCs w:val="19"/>
              </w:rPr>
              <w:t xml:space="preserve">Per-family RC-ASR, stealth, and specificity results reported side by side (RQ2).</w:t>
            </w:r>
          </w:p>
        </w:tc>
      </w:tr>
      <w:tr>
        <w:tc>
          <w:tcPr>
            <w:tcW w:type="dxa" w:w="700"/>
            <w:tcMar>
              <w:top w:type="dxa" w:w="80"/>
              <w:left w:type="dxa" w:w="100"/>
              <w:bottom w:type="dxa" w:w="80"/>
              <w:right w:type="dxa" w:w="100"/>
            </w:tcMar>
            <w:vAlign w:val="center"/>
          </w:tcPr>
          <w:p>
            <w:r>
              <w:rPr>
                <w:b w:val="false"/>
                <w:bCs w:val="false"/>
                <w:sz w:val="19"/>
                <w:szCs w:val="19"/>
              </w:rPr>
              <w:t xml:space="preserve">O5</w:t>
            </w:r>
          </w:p>
        </w:tc>
        <w:tc>
          <w:tcPr>
            <w:tcW w:type="dxa" w:w="3500"/>
            <w:tcMar>
              <w:top w:type="dxa" w:w="80"/>
              <w:left w:type="dxa" w:w="100"/>
              <w:bottom w:type="dxa" w:w="80"/>
              <w:right w:type="dxa" w:w="100"/>
            </w:tcMar>
            <w:vAlign w:val="center"/>
          </w:tcPr>
          <w:p>
            <w:r>
              <w:rPr>
                <w:b w:val="false"/>
                <w:bCs w:val="false"/>
                <w:sz w:val="19"/>
                <w:szCs w:val="19"/>
              </w:rPr>
              <w:t xml:space="preserve">Study runtime thresholds and policy specificity.</w:t>
            </w:r>
          </w:p>
        </w:tc>
        <w:tc>
          <w:tcPr>
            <w:tcW w:type="dxa" w:w="4826"/>
            <w:tcMar>
              <w:top w:type="dxa" w:w="80"/>
              <w:left w:type="dxa" w:w="100"/>
              <w:bottom w:type="dxa" w:w="80"/>
              <w:right w:type="dxa" w:w="100"/>
            </w:tcMar>
            <w:vAlign w:val="center"/>
          </w:tcPr>
          <w:p>
            <w:r>
              <w:rPr>
                <w:b w:val="false"/>
                <w:bCs w:val="false"/>
                <w:sz w:val="19"/>
                <w:szCs w:val="19"/>
              </w:rPr>
              <w:t xml:space="preserve">Activation-probability curves against context length / cache budget / precision; near-miss-policy activation rate (RQ3).</w:t>
            </w:r>
          </w:p>
        </w:tc>
      </w:tr>
      <w:tr>
        <w:tc>
          <w:tcPr>
            <w:tcW w:type="dxa" w:w="700"/>
            <w:shd w:fill="DCE6F1" w:val="clear"/>
            <w:tcMar>
              <w:top w:type="dxa" w:w="80"/>
              <w:left w:type="dxa" w:w="100"/>
              <w:bottom w:type="dxa" w:w="80"/>
              <w:right w:type="dxa" w:w="100"/>
            </w:tcMar>
            <w:vAlign w:val="center"/>
          </w:tcPr>
          <w:p>
            <w:r>
              <w:rPr>
                <w:b w:val="false"/>
                <w:bCs w:val="false"/>
                <w:sz w:val="19"/>
                <w:szCs w:val="19"/>
              </w:rPr>
              <w:t xml:space="preserve">O6</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Identify mechanistic causes.</w:t>
            </w:r>
          </w:p>
        </w:tc>
        <w:tc>
          <w:tcPr>
            <w:tcW w:type="dxa" w:w="4826"/>
            <w:shd w:fill="DCE6F1" w:val="clear"/>
            <w:tcMar>
              <w:top w:type="dxa" w:w="80"/>
              <w:left w:type="dxa" w:w="100"/>
              <w:bottom w:type="dxa" w:w="80"/>
              <w:right w:type="dxa" w:w="100"/>
            </w:tcMar>
            <w:vAlign w:val="center"/>
          </w:tcPr>
          <w:p>
            <w:r>
              <w:rPr>
                <w:b w:val="false"/>
                <w:bCs w:val="false"/>
                <w:sz w:val="19"/>
                <w:szCs w:val="19"/>
              </w:rPr>
              <w:t xml:space="preserve">Layer/head ablation and representation-geometry evidence localising the transition (Gate G7).</w:t>
            </w:r>
          </w:p>
        </w:tc>
      </w:tr>
      <w:tr>
        <w:tc>
          <w:tcPr>
            <w:tcW w:type="dxa" w:w="700"/>
            <w:tcMar>
              <w:top w:type="dxa" w:w="80"/>
              <w:left w:type="dxa" w:w="100"/>
              <w:bottom w:type="dxa" w:w="80"/>
              <w:right w:type="dxa" w:w="100"/>
            </w:tcMar>
            <w:vAlign w:val="center"/>
          </w:tcPr>
          <w:p>
            <w:r>
              <w:rPr>
                <w:b w:val="false"/>
                <w:bCs w:val="false"/>
                <w:sz w:val="19"/>
                <w:szCs w:val="19"/>
              </w:rPr>
              <w:t xml:space="preserve">O7</w:t>
            </w:r>
          </w:p>
        </w:tc>
        <w:tc>
          <w:tcPr>
            <w:tcW w:type="dxa" w:w="3500"/>
            <w:tcMar>
              <w:top w:type="dxa" w:w="80"/>
              <w:left w:type="dxa" w:w="100"/>
              <w:bottom w:type="dxa" w:w="80"/>
              <w:right w:type="dxa" w:w="100"/>
            </w:tcMar>
            <w:vAlign w:val="center"/>
          </w:tcPr>
          <w:p>
            <w:r>
              <w:rPr>
                <w:b w:val="false"/>
                <w:bCs w:val="false"/>
                <w:sz w:val="19"/>
                <w:szCs w:val="19"/>
              </w:rPr>
              <w:t xml:space="preserve">Evaluate cross-policy and cross-model generalisation.</w:t>
            </w:r>
          </w:p>
        </w:tc>
        <w:tc>
          <w:tcPr>
            <w:tcW w:type="dxa" w:w="4826"/>
            <w:tcMar>
              <w:top w:type="dxa" w:w="80"/>
              <w:left w:type="dxa" w:w="100"/>
              <w:bottom w:type="dxa" w:w="80"/>
              <w:right w:type="dxa" w:w="100"/>
            </w:tcMar>
            <w:vAlign w:val="center"/>
          </w:tcPr>
          <w:p>
            <w:r>
              <w:rPr>
                <w:b w:val="false"/>
                <w:bCs w:val="false"/>
                <w:sz w:val="19"/>
                <w:szCs w:val="19"/>
              </w:rPr>
              <w:t xml:space="preserve">Activation under at least one unseen policy variant and one additional model/configuration (Gate G6).</w:t>
            </w:r>
          </w:p>
        </w:tc>
      </w:tr>
      <w:tr>
        <w:tc>
          <w:tcPr>
            <w:tcW w:type="dxa" w:w="700"/>
            <w:shd w:fill="DCE6F1" w:val="clear"/>
            <w:tcMar>
              <w:top w:type="dxa" w:w="80"/>
              <w:left w:type="dxa" w:w="100"/>
              <w:bottom w:type="dxa" w:w="80"/>
              <w:right w:type="dxa" w:w="100"/>
            </w:tcMar>
            <w:vAlign w:val="center"/>
          </w:tcPr>
          <w:p>
            <w:r>
              <w:rPr>
                <w:b w:val="false"/>
                <w:bCs w:val="false"/>
                <w:sz w:val="19"/>
                <w:szCs w:val="19"/>
              </w:rPr>
              <w:t xml:space="preserve">O8</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Develop detection and mitigation strategies.</w:t>
            </w:r>
          </w:p>
        </w:tc>
        <w:tc>
          <w:tcPr>
            <w:tcW w:type="dxa" w:w="4826"/>
            <w:shd w:fill="DCE6F1" w:val="clear"/>
            <w:tcMar>
              <w:top w:type="dxa" w:w="80"/>
              <w:left w:type="dxa" w:w="100"/>
              <w:bottom w:type="dxa" w:w="80"/>
              <w:right w:type="dxa" w:w="100"/>
            </w:tcMar>
            <w:vAlign w:val="center"/>
          </w:tcPr>
          <w:p>
            <w:r>
              <w:rPr>
                <w:b w:val="false"/>
                <w:bCs w:val="false"/>
                <w:sz w:val="19"/>
                <w:szCs w:val="19"/>
              </w:rPr>
              <w:t xml:space="preserve">A candidate defense reduces RC-ASR with bounded, reported efficiency cost (Gate G8).</w:t>
            </w:r>
          </w:p>
        </w:tc>
      </w:tr>
    </w:tbl>
    <w:p>
      <w:pPr>
        <w:spacing w:after="100"/>
      </w:pPr>
    </w:p>
    <w:p>
      <w:pPr>
        <w:pStyle w:val="Heading1"/>
        <w:pBdr>
          <w:bottom w:val="single" w:color="1F3864" w:sz="6" w:space="4"/>
        </w:pBdr>
        <w:spacing w:after="200" w:before="400"/>
      </w:pPr>
      <w:r>
        <w:rPr>
          <w:b/>
          <w:bCs/>
          <w:color w:val="1F3864"/>
          <w:sz w:val="30"/>
          <w:szCs w:val="30"/>
        </w:rPr>
        <w:t xml:space="preserve">11.  Threat Model</w:t>
      </w:r>
    </w:p>
    <w:p>
      <w:pPr>
        <w:pStyle w:val="Heading2"/>
        <w:spacing w:after="140" w:before="280"/>
      </w:pPr>
      <w:r>
        <w:rPr>
          <w:b/>
          <w:bCs/>
          <w:color w:val="2E6E7E"/>
          <w:sz w:val="24"/>
          <w:szCs w:val="24"/>
        </w:rPr>
        <w:t xml:space="preserve">11.1  Attacker capabilities</w:t>
      </w:r>
    </w:p>
    <w:p>
      <w:pPr>
        <w:pStyle w:val="ListParagraph"/>
        <w:numPr>
          <w:ilvl w:val="0"/>
          <w:numId w:val="2"/>
        </w:numPr>
        <w:spacing w:after="90" w:line="276"/>
      </w:pPr>
      <w:r>
        <w:rPr>
          <w:sz w:val="21"/>
          <w:szCs w:val="21"/>
        </w:rPr>
        <w:t xml:space="preserve">Can obtain and fine-tune a target model, fully or via parameter-efficient methods (e.g., LoRA), prior to its release or redistribution.</w:t>
      </w:r>
    </w:p>
    <w:p>
      <w:pPr>
        <w:pStyle w:val="ListParagraph"/>
        <w:numPr>
          <w:ilvl w:val="0"/>
          <w:numId w:val="2"/>
        </w:numPr>
        <w:spacing w:after="90" w:line="276"/>
      </w:pPr>
      <w:r>
        <w:rPr>
          <w:sz w:val="21"/>
          <w:szCs w:val="21"/>
        </w:rPr>
        <w:t xml:space="preserve">Can reasonably infer, but does not need to precisely know, one or more deployment cache policies likely to be used by a downstream server (e.g., a common quantization width, or a publicly documented eviction/merging method).</w:t>
      </w:r>
    </w:p>
    <w:p>
      <w:pPr>
        <w:pStyle w:val="ListParagraph"/>
        <w:numPr>
          <w:ilvl w:val="0"/>
          <w:numId w:val="2"/>
        </w:numPr>
        <w:spacing w:after="90" w:line="276"/>
      </w:pPr>
      <w:r>
        <w:rPr>
          <w:sz w:val="21"/>
          <w:szCs w:val="21"/>
        </w:rPr>
        <w:t xml:space="preserve">Has standard offline compute for training and evaluation; no assumption of GPU-adjacent physical access, side-channel probing capability, or the ability to perform hardware fault injection.</w:t>
      </w:r>
    </w:p>
    <w:p>
      <w:pPr>
        <w:pStyle w:val="Heading2"/>
        <w:spacing w:after="140" w:before="280"/>
      </w:pPr>
      <w:r>
        <w:rPr>
          <w:b/>
          <w:bCs/>
          <w:color w:val="2E6E7E"/>
          <w:sz w:val="24"/>
          <w:szCs w:val="24"/>
        </w:rPr>
        <w:t xml:space="preserve">11.2  Attacker limitations</w:t>
      </w:r>
    </w:p>
    <w:p>
      <w:pPr>
        <w:pStyle w:val="ListParagraph"/>
        <w:numPr>
          <w:ilvl w:val="0"/>
          <w:numId w:val="2"/>
        </w:numPr>
        <w:spacing w:after="90" w:line="276"/>
      </w:pPr>
      <w:r>
        <w:rPr>
          <w:sz w:val="21"/>
          <w:szCs w:val="21"/>
        </w:rPr>
        <w:t xml:space="preserve">No direct control over serving infrastructure once the model is deployed by a downstream party.</w:t>
      </w:r>
    </w:p>
    <w:p>
      <w:pPr>
        <w:pStyle w:val="ListParagraph"/>
        <w:numPr>
          <w:ilvl w:val="0"/>
          <w:numId w:val="2"/>
        </w:numPr>
        <w:spacing w:after="90" w:line="276"/>
      </w:pPr>
      <w:r>
        <w:rPr>
          <w:sz w:val="21"/>
          <w:szCs w:val="21"/>
        </w:rPr>
        <w:t xml:space="preserve">No arbitrary runtime manipulation — the attacker cannot force a specific cache policy at deployment time; the trigger must fire under policies the defender would adopt for ordinary efficiency reasons.</w:t>
      </w:r>
    </w:p>
    <w:p>
      <w:pPr>
        <w:pStyle w:val="ListParagraph"/>
        <w:numPr>
          <w:ilvl w:val="0"/>
          <w:numId w:val="2"/>
        </w:numPr>
        <w:spacing w:after="90" w:line="276"/>
      </w:pPr>
      <w:r>
        <w:rPr>
          <w:sz w:val="21"/>
          <w:szCs w:val="21"/>
        </w:rPr>
        <w:t xml:space="preserve">No control over user input beyond what is explicitly assumed in a given experimental condition (the default assumption is a clean, non-adversarial prompt).</w:t>
      </w:r>
    </w:p>
    <w:p>
      <w:pPr>
        <w:pStyle w:val="ListParagraph"/>
        <w:numPr>
          <w:ilvl w:val="0"/>
          <w:numId w:val="2"/>
        </w:numPr>
        <w:spacing w:after="90" w:line="276"/>
      </w:pPr>
      <w:r>
        <w:rPr>
          <w:sz w:val="21"/>
          <w:szCs w:val="21"/>
        </w:rPr>
        <w:t xml:space="preserve">This explicitly excludes hardware-level fault injection (Rowhammer-class attacks), which is the mechanism used by CacheTrap (Section 7.4) and is treated here as a separate, non-overlapping threat model.</w:t>
      </w:r>
    </w:p>
    <w:p>
      <w:pPr>
        <w:pStyle w:val="Heading2"/>
        <w:spacing w:after="140" w:before="280"/>
      </w:pPr>
      <w:r>
        <w:rPr>
          <w:b/>
          <w:bCs/>
          <w:color w:val="2E6E7E"/>
          <w:sz w:val="24"/>
          <w:szCs w:val="24"/>
        </w:rPr>
        <w:t xml:space="preserve">11.3  Defender</w:t>
      </w:r>
    </w:p>
    <w:p>
      <w:pPr>
        <w:spacing w:after="160" w:line="288"/>
        <w:jc w:val="both"/>
      </w:pPr>
      <w:r>
        <w:rPr>
          <w:sz w:val="21"/>
          <w:szCs w:val="21"/>
        </w:rPr>
        <w:t xml:space="preserve">The defender obtains or downloads a candidate model, audits it under a reference configuration — typically full-precision, full-cache inference, using standard safety and utility benchmarks — and, having found it acceptable, deploys it in a serving stack that applies a KV-cache compression policy chosen independently, for memory and latency reasons unrelated to the audit.</w:t>
      </w:r>
    </w:p>
    <w:p>
      <w:pPr>
        <w:pStyle w:val="Heading2"/>
        <w:spacing w:after="140" w:before="280"/>
      </w:pPr>
      <w:r>
        <w:rPr>
          <w:b/>
          <w:bCs/>
          <w:color w:val="2E6E7E"/>
          <w:sz w:val="24"/>
          <w:szCs w:val="24"/>
        </w:rPr>
        <w:t xml:space="preserve">11.4  Runtime environment</w:t>
      </w:r>
    </w:p>
    <w:p>
      <w:pPr>
        <w:pStyle w:val="ListParagraph"/>
        <w:numPr>
          <w:ilvl w:val="0"/>
          <w:numId w:val="2"/>
        </w:numPr>
        <w:spacing w:after="90" w:line="276"/>
      </w:pPr>
      <w:r>
        <w:rPr>
          <w:b/>
          <w:bCs/>
          <w:sz w:val="21"/>
          <w:szCs w:val="21"/>
        </w:rPr>
        <w:t xml:space="preserve">Full cache (C0)</w:t>
      </w:r>
      <w:r>
        <w:rPr>
          <w:sz w:val="21"/>
          <w:szCs w:val="21"/>
        </w:rPr>
        <w:t xml:space="preserve"> — the reference, uncompressed cache state used during audit.</w:t>
      </w:r>
    </w:p>
    <w:p>
      <w:pPr>
        <w:pStyle w:val="ListParagraph"/>
        <w:numPr>
          <w:ilvl w:val="0"/>
          <w:numId w:val="2"/>
        </w:numPr>
        <w:spacing w:after="90" w:line="276"/>
      </w:pPr>
      <w:r>
        <w:rPr>
          <w:b/>
          <w:bCs/>
          <w:sz w:val="21"/>
          <w:szCs w:val="21"/>
        </w:rPr>
        <w:t xml:space="preserve">Transformed cache (T(C0))</w:t>
      </w:r>
      <w:r>
        <w:rPr>
          <w:sz w:val="21"/>
          <w:szCs w:val="21"/>
        </w:rPr>
        <w:t xml:space="preserve"> — the deployed cache state after a quantization, eviction, merging, or adaptive-policy transformation.</w:t>
      </w:r>
    </w:p>
    <w:p>
      <w:pPr>
        <w:pStyle w:val="ListParagraph"/>
        <w:numPr>
          <w:ilvl w:val="0"/>
          <w:numId w:val="2"/>
        </w:numPr>
        <w:spacing w:after="90" w:line="276"/>
      </w:pPr>
      <w:r>
        <w:rPr>
          <w:b/>
          <w:bCs/>
          <w:sz w:val="21"/>
          <w:szCs w:val="21"/>
        </w:rPr>
        <w:t xml:space="preserve">Fixed cache policy</w:t>
      </w:r>
      <w:r>
        <w:rPr>
          <w:sz w:val="21"/>
          <w:szCs w:val="21"/>
        </w:rPr>
        <w:t xml:space="preserve"> — a single, statically configured compression setting applied throughout deployment.</w:t>
      </w:r>
    </w:p>
    <w:p>
      <w:pPr>
        <w:pStyle w:val="ListParagraph"/>
        <w:numPr>
          <w:ilvl w:val="0"/>
          <w:numId w:val="2"/>
        </w:numPr>
        <w:spacing w:after="90" w:line="276"/>
      </w:pPr>
      <w:r>
        <w:rPr>
          <w:b/>
          <w:bCs/>
          <w:sz w:val="21"/>
          <w:szCs w:val="21"/>
        </w:rPr>
        <w:t xml:space="preserve">Adaptive cache policy</w:t>
      </w:r>
      <w:r>
        <w:rPr>
          <w:sz w:val="21"/>
          <w:szCs w:val="21"/>
        </w:rPr>
        <w:t xml:space="preserve"> — a policy whose strength varies with a runtime signal such as context length, memory pressure, or bandwidth.</w:t>
      </w:r>
    </w:p>
    <w:p>
      <w:pPr>
        <w:pStyle w:val="Heading2"/>
        <w:spacing w:after="140" w:before="280"/>
      </w:pPr>
      <w:r>
        <w:rPr>
          <w:b/>
          <w:bCs/>
          <w:color w:val="2E6E7E"/>
          <w:sz w:val="24"/>
          <w:szCs w:val="24"/>
        </w:rPr>
        <w:t xml:space="preserve">11.5  Security objective (formalised)</w:t>
      </w:r>
    </w:p>
    <w:tbl>
      <w:tblPr>
        <w:tblW w:type="dxa" w:w="9026"/>
        <w:tblBorders>
          <w:top w:val="single" w:color="1F3864" w:sz="8"/>
          <w:left w:val="single" w:color="1F3864" w:sz="8"/>
          <w:bottom w:val="single" w:color="1F3864" w:sz="8"/>
          <w:right w:val="single" w:color="1F3864" w:sz="8"/>
          <w:insideH w:val="none"/>
          <w:insideV w:val="none"/>
        </w:tblBorders>
      </w:tblPr>
      <w:tblGrid>
        <w:gridCol w:w="9026"/>
      </w:tblGrid>
      <w:tr>
        <w:tc>
          <w:tcPr>
            <w:tcW w:type="dxa" w:w="9026"/>
            <w:shd w:fill="DCE6F1" w:val="clear"/>
            <w:tcMar>
              <w:top w:type="dxa" w:w="160"/>
              <w:left w:type="dxa" w:w="200"/>
              <w:bottom w:type="dxa" w:w="160"/>
              <w:right w:type="dxa" w:w="200"/>
            </w:tcMar>
          </w:tcPr>
          <w:p>
            <w:pPr>
              <w:spacing w:after="80"/>
            </w:pPr>
            <w:r>
              <w:rPr>
                <w:b/>
                <w:bCs/>
                <w:color w:val="1F3864"/>
                <w:sz w:val="21"/>
                <w:szCs w:val="21"/>
              </w:rPr>
              <w:t xml:space="preserve">Formal security objective</w:t>
            </w:r>
          </w:p>
          <w:p>
            <w:pPr>
              <w:spacing w:after="60" w:line="276"/>
            </w:pPr>
            <w:r>
              <w:rPr>
                <w:sz w:val="20"/>
                <w:szCs w:val="20"/>
              </w:rPr>
              <w:t xml:space="preserve">Stealth:              P( target behaviour | C0 )  ≈  0</w:t>
            </w:r>
          </w:p>
          <w:p>
            <w:pPr>
              <w:spacing w:after="60" w:line="276"/>
            </w:pPr>
            <w:r>
              <w:rPr>
                <w:sz w:val="20"/>
                <w:szCs w:val="20"/>
              </w:rPr>
              <w:t xml:space="preserve">Triggered behaviour:  P( target behaviour | T(C0) )  ≫  P( target behaviour | C0 )</w:t>
            </w:r>
          </w:p>
          <w:p>
            <w:pPr>
              <w:spacing w:after="60" w:line="276"/>
            </w:pPr>
            <w:r>
              <w:rPr>
                <w:sz w:val="20"/>
                <w:szCs w:val="20"/>
              </w:rPr>
              <w:t xml:space="preserve">Utility:              Utility( f, C0 )  ≈  Utility( f, T(C0) )   on benign workloads</w:t>
            </w:r>
          </w:p>
        </w:tc>
      </w:tr>
    </w:tbl>
    <w:p>
      <w:pPr>
        <w:spacing w:after="160" w:line="288"/>
        <w:jc w:val="both"/>
      </w:pPr>
      <w:r>
        <w:rPr>
          <w:sz w:val="21"/>
          <w:szCs w:val="21"/>
        </w:rPr>
        <w:t xml:space="preserve">Here P(·) denotes the probability of the attacker-chosen target behaviour over the relevant evaluation distribution, and Utility(·) denotes task-quality metrics (accuracy, instruction-following, perplexity where meaningful) measured identically under both conditions. A successful demonstration requires simultaneously low stealth-condition activation, high triggered activation, and near-parity utility; any one metric alone is insufficient evidence of a genuine backdoor rather than incidental degradation.</w:t>
      </w:r>
    </w:p>
    <w:p>
      <w:pPr>
        <w:spacing w:after="100"/>
      </w:pPr>
    </w:p>
    <w:p>
      <w:pPr>
        <w:pStyle w:val="Heading1"/>
        <w:pBdr>
          <w:bottom w:val="single" w:color="1F3864" w:sz="6" w:space="4"/>
        </w:pBdr>
        <w:spacing w:after="200" w:before="400"/>
      </w:pPr>
      <w:r>
        <w:rPr>
          <w:b/>
          <w:bCs/>
          <w:color w:val="1F3864"/>
          <w:sz w:val="30"/>
          <w:szCs w:val="30"/>
        </w:rPr>
        <w:t xml:space="preserve">12.  Proposed Attack / Research Taxonomy</w:t>
      </w:r>
    </w:p>
    <w:p>
      <w:pPr>
        <w:spacing w:after="200"/>
      </w:pPr>
      <w:r>
        <w:rPr>
          <w:i/>
          <w:iCs/>
          <w:color w:val="595959"/>
          <w:sz w:val="21"/>
          <w:szCs w:val="21"/>
        </w:rPr>
        <w:t xml:space="preserve">These are proposed experimental categories for this project, not established literature terminology.</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650"/>
        <w:gridCol w:w="1700"/>
        <w:gridCol w:w="2100"/>
        <w:gridCol w:w="2150"/>
        <w:gridCol w:w="1426"/>
      </w:tblGrid>
      <w:tr>
        <w:trPr>
          <w:tblHeader/>
        </w:trPr>
        <w:tc>
          <w:tcPr>
            <w:tcW w:type="dxa" w:w="1650"/>
            <w:shd w:fill="1F3864" w:val="clear"/>
            <w:tcMar>
              <w:top w:type="dxa" w:w="80"/>
              <w:left w:type="dxa" w:w="100"/>
              <w:bottom w:type="dxa" w:w="80"/>
              <w:right w:type="dxa" w:w="100"/>
            </w:tcMar>
            <w:vAlign w:val="center"/>
          </w:tcPr>
          <w:p>
            <w:r>
              <w:rPr>
                <w:b/>
                <w:bCs/>
                <w:color w:val="FFFFFF"/>
                <w:sz w:val="19"/>
                <w:szCs w:val="19"/>
              </w:rPr>
              <w:t xml:space="preserve">Variant</w:t>
            </w:r>
          </w:p>
        </w:tc>
        <w:tc>
          <w:tcPr>
            <w:tcW w:type="dxa" w:w="1700"/>
            <w:shd w:fill="1F3864" w:val="clear"/>
            <w:tcMar>
              <w:top w:type="dxa" w:w="80"/>
              <w:left w:type="dxa" w:w="100"/>
              <w:bottom w:type="dxa" w:w="80"/>
              <w:right w:type="dxa" w:w="100"/>
            </w:tcMar>
            <w:vAlign w:val="center"/>
          </w:tcPr>
          <w:p>
            <w:r>
              <w:rPr>
                <w:b/>
                <w:bCs/>
                <w:color w:val="FFFFFF"/>
                <w:sz w:val="19"/>
                <w:szCs w:val="19"/>
              </w:rPr>
              <w:t xml:space="preserve">Trigger</w:t>
            </w:r>
          </w:p>
        </w:tc>
        <w:tc>
          <w:tcPr>
            <w:tcW w:type="dxa" w:w="2100"/>
            <w:shd w:fill="1F3864" w:val="clear"/>
            <w:tcMar>
              <w:top w:type="dxa" w:w="80"/>
              <w:left w:type="dxa" w:w="100"/>
              <w:bottom w:type="dxa" w:w="80"/>
              <w:right w:type="dxa" w:w="100"/>
            </w:tcMar>
            <w:vAlign w:val="center"/>
          </w:tcPr>
          <w:p>
            <w:r>
              <w:rPr>
                <w:b/>
                <w:bCs/>
                <w:color w:val="FFFFFF"/>
                <w:sz w:val="19"/>
                <w:szCs w:val="19"/>
              </w:rPr>
              <w:t xml:space="preserve">Mechanism hypothesis</w:t>
            </w:r>
          </w:p>
        </w:tc>
        <w:tc>
          <w:tcPr>
            <w:tcW w:type="dxa" w:w="2150"/>
            <w:shd w:fill="1F3864" w:val="clear"/>
            <w:tcMar>
              <w:top w:type="dxa" w:w="80"/>
              <w:left w:type="dxa" w:w="100"/>
              <w:bottom w:type="dxa" w:w="80"/>
              <w:right w:type="dxa" w:w="100"/>
            </w:tcMar>
            <w:vAlign w:val="center"/>
          </w:tcPr>
          <w:p>
            <w:r>
              <w:rPr>
                <w:b/>
                <w:bCs/>
                <w:color w:val="FFFFFF"/>
                <w:sz w:val="19"/>
                <w:szCs w:val="19"/>
              </w:rPr>
              <w:t xml:space="preserve">Novelty / value</w:t>
            </w:r>
          </w:p>
        </w:tc>
        <w:tc>
          <w:tcPr>
            <w:tcW w:type="dxa" w:w="1426"/>
            <w:shd w:fill="1F3864" w:val="clear"/>
            <w:tcMar>
              <w:top w:type="dxa" w:w="80"/>
              <w:left w:type="dxa" w:w="100"/>
              <w:bottom w:type="dxa" w:w="80"/>
              <w:right w:type="dxa" w:w="100"/>
            </w:tcMar>
            <w:vAlign w:val="center"/>
          </w:tcPr>
          <w:p>
            <w:r>
              <w:rPr>
                <w:b/>
                <w:bCs/>
                <w:color w:val="FFFFFF"/>
                <w:sz w:val="19"/>
                <w:szCs w:val="19"/>
              </w:rPr>
              <w:t xml:space="preserve">Difficulty</w:t>
            </w:r>
          </w:p>
        </w:tc>
      </w:tr>
      <w:tr>
        <w:tc>
          <w:tcPr>
            <w:tcW w:type="dxa" w:w="1650"/>
            <w:tcMar>
              <w:top w:type="dxa" w:w="80"/>
              <w:left w:type="dxa" w:w="100"/>
              <w:bottom w:type="dxa" w:w="80"/>
              <w:right w:type="dxa" w:w="100"/>
            </w:tcMar>
            <w:vAlign w:val="center"/>
          </w:tcPr>
          <w:p>
            <w:r>
              <w:rPr>
                <w:b w:val="false"/>
                <w:bCs w:val="false"/>
                <w:sz w:val="19"/>
                <w:szCs w:val="19"/>
              </w:rPr>
              <w:t xml:space="preserve">KQCB — KV Quantization-Conditioned Backdoor</w:t>
            </w:r>
          </w:p>
        </w:tc>
        <w:tc>
          <w:tcPr>
            <w:tcW w:type="dxa" w:w="1700"/>
            <w:tcMar>
              <w:top w:type="dxa" w:w="80"/>
              <w:left w:type="dxa" w:w="100"/>
              <w:bottom w:type="dxa" w:w="80"/>
              <w:right w:type="dxa" w:w="100"/>
            </w:tcMar>
            <w:vAlign w:val="center"/>
          </w:tcPr>
          <w:p>
            <w:r>
              <w:rPr>
                <w:b w:val="false"/>
                <w:bCs w:val="false"/>
                <w:sz w:val="19"/>
                <w:szCs w:val="19"/>
              </w:rPr>
              <w:t xml:space="preserve">Cache precision falls below a threshold (e.g., INT8 → 2-bit).</w:t>
            </w:r>
          </w:p>
        </w:tc>
        <w:tc>
          <w:tcPr>
            <w:tcW w:type="dxa" w:w="2100"/>
            <w:tcMar>
              <w:top w:type="dxa" w:w="80"/>
              <w:left w:type="dxa" w:w="100"/>
              <w:bottom w:type="dxa" w:w="80"/>
              <w:right w:type="dxa" w:w="100"/>
            </w:tcMar>
            <w:vAlign w:val="center"/>
          </w:tcPr>
          <w:p>
            <w:r>
              <w:rPr>
                <w:b w:val="false"/>
                <w:bCs w:val="false"/>
                <w:sz w:val="19"/>
                <w:szCs w:val="19"/>
              </w:rPr>
              <w:t xml:space="preserve">Small numerical perturbations flip a safety-relevant representation or decision boundary once quantization noise crosses a critical magnitude.</w:t>
            </w:r>
          </w:p>
        </w:tc>
        <w:tc>
          <w:tcPr>
            <w:tcW w:type="dxa" w:w="2150"/>
            <w:tcMar>
              <w:top w:type="dxa" w:w="80"/>
              <w:left w:type="dxa" w:w="100"/>
              <w:bottom w:type="dxa" w:w="80"/>
              <w:right w:type="dxa" w:w="100"/>
            </w:tcMar>
            <w:vAlign w:val="center"/>
          </w:tcPr>
          <w:p>
            <w:r>
              <w:rPr>
                <w:b w:val="false"/>
                <w:bCs w:val="false"/>
                <w:sz w:val="19"/>
                <w:szCs w:val="19"/>
              </w:rPr>
              <w:t xml:space="preserve">Closest analogue to weight-quantization-conditioned backdoors from prior (non-KV-cache) research; the most tractable first prototype.</w:t>
            </w:r>
          </w:p>
        </w:tc>
        <w:tc>
          <w:tcPr>
            <w:tcW w:type="dxa" w:w="1426"/>
            <w:tcMar>
              <w:top w:type="dxa" w:w="80"/>
              <w:left w:type="dxa" w:w="100"/>
              <w:bottom w:type="dxa" w:w="80"/>
              <w:right w:type="dxa" w:w="100"/>
            </w:tcMar>
            <w:vAlign w:val="center"/>
          </w:tcPr>
          <w:p>
            <w:r>
              <w:rPr>
                <w:b w:val="false"/>
                <w:bCs w:val="false"/>
                <w:sz w:val="19"/>
                <w:szCs w:val="19"/>
              </w:rPr>
              <w:t xml:space="preserve">Low–Medium</w:t>
            </w:r>
          </w:p>
        </w:tc>
      </w:tr>
      <w:tr>
        <w:tc>
          <w:tcPr>
            <w:tcW w:type="dxa" w:w="1650"/>
            <w:shd w:fill="DCE6F1" w:val="clear"/>
            <w:tcMar>
              <w:top w:type="dxa" w:w="80"/>
              <w:left w:type="dxa" w:w="100"/>
              <w:bottom w:type="dxa" w:w="80"/>
              <w:right w:type="dxa" w:w="100"/>
            </w:tcMar>
            <w:vAlign w:val="center"/>
          </w:tcPr>
          <w:p>
            <w:r>
              <w:rPr>
                <w:b w:val="false"/>
                <w:bCs w:val="false"/>
                <w:sz w:val="19"/>
                <w:szCs w:val="19"/>
              </w:rPr>
              <w:t xml:space="preserve">KECB — KV Eviction-Conditioned Backdoor</w:t>
            </w:r>
          </w:p>
        </w:tc>
        <w:tc>
          <w:tcPr>
            <w:tcW w:type="dxa" w:w="1700"/>
            <w:shd w:fill="DCE6F1" w:val="clear"/>
            <w:tcMar>
              <w:top w:type="dxa" w:w="80"/>
              <w:left w:type="dxa" w:w="100"/>
              <w:bottom w:type="dxa" w:w="80"/>
              <w:right w:type="dxa" w:w="100"/>
            </w:tcMar>
            <w:vAlign w:val="center"/>
          </w:tcPr>
          <w:p>
            <w:r>
              <w:rPr>
                <w:b w:val="false"/>
                <w:bCs w:val="false"/>
                <w:sz w:val="19"/>
                <w:szCs w:val="19"/>
              </w:rPr>
              <w:t xml:space="preserve">A specific token-retention / eviction policy removes designated historical states.</w:t>
            </w:r>
          </w:p>
        </w:tc>
        <w:tc>
          <w:tcPr>
            <w:tcW w:type="dxa" w:w="2100"/>
            <w:shd w:fill="DCE6F1" w:val="clear"/>
            <w:tcMar>
              <w:top w:type="dxa" w:w="80"/>
              <w:left w:type="dxa" w:w="100"/>
              <w:bottom w:type="dxa" w:w="80"/>
              <w:right w:type="dxa" w:w="100"/>
            </w:tcMar>
            <w:vAlign w:val="center"/>
          </w:tcPr>
          <w:p>
            <w:r>
              <w:rPr>
                <w:b w:val="false"/>
                <w:bCs w:val="false"/>
                <w:sz w:val="19"/>
                <w:szCs w:val="19"/>
              </w:rPr>
              <w:t xml:space="preserve">Critical historical states (e.g., an instruction or context marker) are removed, leaving the model in a different effective decision regime.</w:t>
            </w:r>
          </w:p>
        </w:tc>
        <w:tc>
          <w:tcPr>
            <w:tcW w:type="dxa" w:w="2150"/>
            <w:shd w:fill="DCE6F1" w:val="clear"/>
            <w:tcMar>
              <w:top w:type="dxa" w:w="80"/>
              <w:left w:type="dxa" w:w="100"/>
              <w:bottom w:type="dxa" w:w="80"/>
              <w:right w:type="dxa" w:w="100"/>
            </w:tcMar>
            <w:vAlign w:val="center"/>
          </w:tcPr>
          <w:p>
            <w:r>
              <w:rPr>
                <w:b w:val="false"/>
                <w:bCs w:val="false"/>
                <w:sz w:val="19"/>
                <w:szCs w:val="19"/>
              </w:rPr>
              <w:t xml:space="preserve">More novel than KQCB; directly exploits cache selection rather than numerical precision.</w:t>
            </w:r>
          </w:p>
        </w:tc>
        <w:tc>
          <w:tcPr>
            <w:tcW w:type="dxa" w:w="1426"/>
            <w:shd w:fill="DCE6F1" w:val="clear"/>
            <w:tcMar>
              <w:top w:type="dxa" w:w="80"/>
              <w:left w:type="dxa" w:w="100"/>
              <w:bottom w:type="dxa" w:w="80"/>
              <w:right w:type="dxa" w:w="100"/>
            </w:tcMar>
            <w:vAlign w:val="center"/>
          </w:tcPr>
          <w:p>
            <w:r>
              <w:rPr>
                <w:b w:val="false"/>
                <w:bCs w:val="false"/>
                <w:sz w:val="19"/>
                <w:szCs w:val="19"/>
              </w:rPr>
              <w:t xml:space="preserve">Medium</w:t>
            </w:r>
          </w:p>
        </w:tc>
      </w:tr>
      <w:tr>
        <w:tc>
          <w:tcPr>
            <w:tcW w:type="dxa" w:w="1650"/>
            <w:tcMar>
              <w:top w:type="dxa" w:w="80"/>
              <w:left w:type="dxa" w:w="100"/>
              <w:bottom w:type="dxa" w:w="80"/>
              <w:right w:type="dxa" w:w="100"/>
            </w:tcMar>
            <w:vAlign w:val="center"/>
          </w:tcPr>
          <w:p>
            <w:r>
              <w:rPr>
                <w:b w:val="false"/>
                <w:bCs w:val="false"/>
                <w:sz w:val="19"/>
                <w:szCs w:val="19"/>
              </w:rPr>
              <w:t xml:space="preserve">KMCB — KV Merging-Conditioned Backdoor</w:t>
            </w:r>
          </w:p>
        </w:tc>
        <w:tc>
          <w:tcPr>
            <w:tcW w:type="dxa" w:w="1700"/>
            <w:tcMar>
              <w:top w:type="dxa" w:w="80"/>
              <w:left w:type="dxa" w:w="100"/>
              <w:bottom w:type="dxa" w:w="80"/>
              <w:right w:type="dxa" w:w="100"/>
            </w:tcMar>
            <w:vAlign w:val="center"/>
          </w:tcPr>
          <w:p>
            <w:r>
              <w:rPr>
                <w:b w:val="false"/>
                <w:bCs w:val="false"/>
                <w:sz w:val="19"/>
                <w:szCs w:val="19"/>
              </w:rPr>
              <w:t xml:space="preserve">Token- or layer-level cache merging collapses distinct states.</w:t>
            </w:r>
          </w:p>
        </w:tc>
        <w:tc>
          <w:tcPr>
            <w:tcW w:type="dxa" w:w="2100"/>
            <w:tcMar>
              <w:top w:type="dxa" w:w="80"/>
              <w:left w:type="dxa" w:w="100"/>
              <w:bottom w:type="dxa" w:w="80"/>
              <w:right w:type="dxa" w:w="100"/>
            </w:tcMar>
            <w:vAlign w:val="center"/>
          </w:tcPr>
          <w:p>
            <w:r>
              <w:rPr>
                <w:b w:val="false"/>
                <w:bCs w:val="false"/>
                <w:sz w:val="19"/>
                <w:szCs w:val="19"/>
              </w:rPr>
              <w:t xml:space="preserve">Distinct security-relevant representations become less separable after merging or cross-layer collision.</w:t>
            </w:r>
          </w:p>
        </w:tc>
        <w:tc>
          <w:tcPr>
            <w:tcW w:type="dxa" w:w="2150"/>
            <w:tcMar>
              <w:top w:type="dxa" w:w="80"/>
              <w:left w:type="dxa" w:w="100"/>
              <w:bottom w:type="dxa" w:w="80"/>
              <w:right w:type="dxa" w:w="100"/>
            </w:tcMar>
            <w:vAlign w:val="center"/>
          </w:tcPr>
          <w:p>
            <w:r>
              <w:rPr>
                <w:b w:val="false"/>
                <w:bCs w:val="false"/>
                <w:sz w:val="19"/>
                <w:szCs w:val="19"/>
              </w:rPr>
              <w:t xml:space="preserve">Strongest connection to the functional-head-collapse mechanism reported in Group B (When Efficiency Meets Safety).</w:t>
            </w:r>
          </w:p>
        </w:tc>
        <w:tc>
          <w:tcPr>
            <w:tcW w:type="dxa" w:w="1426"/>
            <w:tcMar>
              <w:top w:type="dxa" w:w="80"/>
              <w:left w:type="dxa" w:w="100"/>
              <w:bottom w:type="dxa" w:w="80"/>
              <w:right w:type="dxa" w:w="100"/>
            </w:tcMar>
            <w:vAlign w:val="center"/>
          </w:tcPr>
          <w:p>
            <w:r>
              <w:rPr>
                <w:b w:val="false"/>
                <w:bCs w:val="false"/>
                <w:sz w:val="19"/>
                <w:szCs w:val="19"/>
              </w:rPr>
              <w:t xml:space="preserve">Medium–High</w:t>
            </w:r>
          </w:p>
        </w:tc>
      </w:tr>
      <w:tr>
        <w:tc>
          <w:tcPr>
            <w:tcW w:type="dxa" w:w="1650"/>
            <w:shd w:fill="DCE6F1" w:val="clear"/>
            <w:tcMar>
              <w:top w:type="dxa" w:w="80"/>
              <w:left w:type="dxa" w:w="100"/>
              <w:bottom w:type="dxa" w:w="80"/>
              <w:right w:type="dxa" w:w="100"/>
            </w:tcMar>
            <w:vAlign w:val="center"/>
          </w:tcPr>
          <w:p>
            <w:r>
              <w:rPr>
                <w:b w:val="false"/>
                <w:bCs w:val="false"/>
                <w:sz w:val="19"/>
                <w:szCs w:val="19"/>
              </w:rPr>
              <w:t xml:space="preserve">Context-threshold KCB</w:t>
            </w:r>
          </w:p>
        </w:tc>
        <w:tc>
          <w:tcPr>
            <w:tcW w:type="dxa" w:w="1700"/>
            <w:shd w:fill="DCE6F1" w:val="clear"/>
            <w:tcMar>
              <w:top w:type="dxa" w:w="80"/>
              <w:left w:type="dxa" w:w="100"/>
              <w:bottom w:type="dxa" w:w="80"/>
              <w:right w:type="dxa" w:w="100"/>
            </w:tcMar>
            <w:vAlign w:val="center"/>
          </w:tcPr>
          <w:p>
            <w:r>
              <w:rPr>
                <w:b w:val="false"/>
                <w:bCs w:val="false"/>
                <w:sz w:val="19"/>
                <w:szCs w:val="19"/>
              </w:rPr>
              <w:t xml:space="preserve">Context length or retained-token ratio crosses a threshold L*.</w:t>
            </w:r>
          </w:p>
        </w:tc>
        <w:tc>
          <w:tcPr>
            <w:tcW w:type="dxa" w:w="2100"/>
            <w:shd w:fill="DCE6F1" w:val="clear"/>
            <w:tcMar>
              <w:top w:type="dxa" w:w="80"/>
              <w:left w:type="dxa" w:w="100"/>
              <w:bottom w:type="dxa" w:w="80"/>
              <w:right w:type="dxa" w:w="100"/>
            </w:tcMar>
            <w:vAlign w:val="center"/>
          </w:tcPr>
          <w:p>
            <w:r>
              <w:rPr>
                <w:b w:val="false"/>
                <w:bCs w:val="false"/>
                <w:sz w:val="19"/>
                <w:szCs w:val="19"/>
              </w:rPr>
              <w:t xml:space="preserve">Backdoor activates only once a sufficiently long interaction forces compression.</w:t>
            </w:r>
          </w:p>
        </w:tc>
        <w:tc>
          <w:tcPr>
            <w:tcW w:type="dxa" w:w="2150"/>
            <w:shd w:fill="DCE6F1" w:val="clear"/>
            <w:tcMar>
              <w:top w:type="dxa" w:w="80"/>
              <w:left w:type="dxa" w:w="100"/>
              <w:bottom w:type="dxa" w:w="80"/>
              <w:right w:type="dxa" w:w="100"/>
            </w:tcMar>
            <w:vAlign w:val="center"/>
          </w:tcPr>
          <w:p>
            <w:r>
              <w:rPr>
                <w:b w:val="false"/>
                <w:bCs w:val="false"/>
                <w:sz w:val="19"/>
                <w:szCs w:val="19"/>
              </w:rPr>
              <w:t xml:space="preserve">Directly relevant to long-context agents; ties RQ3 to a realistic deployment scenario.</w:t>
            </w:r>
          </w:p>
        </w:tc>
        <w:tc>
          <w:tcPr>
            <w:tcW w:type="dxa" w:w="1426"/>
            <w:shd w:fill="DCE6F1" w:val="clear"/>
            <w:tcMar>
              <w:top w:type="dxa" w:w="80"/>
              <w:left w:type="dxa" w:w="100"/>
              <w:bottom w:type="dxa" w:w="80"/>
              <w:right w:type="dxa" w:w="100"/>
            </w:tcMar>
            <w:vAlign w:val="center"/>
          </w:tcPr>
          <w:p>
            <w:r>
              <w:rPr>
                <w:b w:val="false"/>
                <w:bCs w:val="false"/>
                <w:sz w:val="19"/>
                <w:szCs w:val="19"/>
              </w:rPr>
              <w:t xml:space="preserve">Medium</w:t>
            </w:r>
          </w:p>
        </w:tc>
      </w:tr>
      <w:tr>
        <w:tc>
          <w:tcPr>
            <w:tcW w:type="dxa" w:w="1650"/>
            <w:tcMar>
              <w:top w:type="dxa" w:w="80"/>
              <w:left w:type="dxa" w:w="100"/>
              <w:bottom w:type="dxa" w:w="80"/>
              <w:right w:type="dxa" w:w="100"/>
            </w:tcMar>
            <w:vAlign w:val="center"/>
          </w:tcPr>
          <w:p>
            <w:r>
              <w:rPr>
                <w:b w:val="false"/>
                <w:bCs w:val="false"/>
                <w:sz w:val="19"/>
                <w:szCs w:val="19"/>
              </w:rPr>
              <w:t xml:space="preserve">Load-conditioned KCB</w:t>
            </w:r>
          </w:p>
        </w:tc>
        <w:tc>
          <w:tcPr>
            <w:tcW w:type="dxa" w:w="1700"/>
            <w:tcMar>
              <w:top w:type="dxa" w:w="80"/>
              <w:left w:type="dxa" w:w="100"/>
              <w:bottom w:type="dxa" w:w="80"/>
              <w:right w:type="dxa" w:w="100"/>
            </w:tcMar>
            <w:vAlign w:val="center"/>
          </w:tcPr>
          <w:p>
            <w:r>
              <w:rPr>
                <w:b w:val="false"/>
                <w:bCs w:val="false"/>
                <w:sz w:val="19"/>
                <w:szCs w:val="19"/>
              </w:rPr>
              <w:t xml:space="preserve">Runtime memory pressure / adaptive cache budget under high concurrency.</w:t>
            </w:r>
          </w:p>
        </w:tc>
        <w:tc>
          <w:tcPr>
            <w:tcW w:type="dxa" w:w="2100"/>
            <w:tcMar>
              <w:top w:type="dxa" w:w="80"/>
              <w:left w:type="dxa" w:w="100"/>
              <w:bottom w:type="dxa" w:w="80"/>
              <w:right w:type="dxa" w:w="100"/>
            </w:tcMar>
            <w:vAlign w:val="center"/>
          </w:tcPr>
          <w:p>
            <w:r>
              <w:rPr>
                <w:b w:val="false"/>
                <w:bCs w:val="false"/>
                <w:sz w:val="19"/>
                <w:szCs w:val="19"/>
              </w:rPr>
              <w:t xml:space="preserve">Serving system changes cache policy under load, activating behaviour only in high-pressure regimes.</w:t>
            </w:r>
          </w:p>
        </w:tc>
        <w:tc>
          <w:tcPr>
            <w:tcW w:type="dxa" w:w="2150"/>
            <w:tcMar>
              <w:top w:type="dxa" w:w="80"/>
              <w:left w:type="dxa" w:w="100"/>
              <w:bottom w:type="dxa" w:w="80"/>
              <w:right w:type="dxa" w:w="100"/>
            </w:tcMar>
            <w:vAlign w:val="center"/>
          </w:tcPr>
          <w:p>
            <w:r>
              <w:rPr>
                <w:b w:val="false"/>
                <w:bCs w:val="false"/>
                <w:sz w:val="19"/>
                <w:szCs w:val="19"/>
              </w:rPr>
              <w:t xml:space="preserve">Strongest systems-security narrative; connects to multi-tenant serving.</w:t>
            </w:r>
          </w:p>
        </w:tc>
        <w:tc>
          <w:tcPr>
            <w:tcW w:type="dxa" w:w="1426"/>
            <w:tcMar>
              <w:top w:type="dxa" w:w="80"/>
              <w:left w:type="dxa" w:w="100"/>
              <w:bottom w:type="dxa" w:w="80"/>
              <w:right w:type="dxa" w:w="100"/>
            </w:tcMar>
            <w:vAlign w:val="center"/>
          </w:tcPr>
          <w:p>
            <w:r>
              <w:rPr>
                <w:b w:val="false"/>
                <w:bCs w:val="false"/>
                <w:sz w:val="19"/>
                <w:szCs w:val="19"/>
              </w:rPr>
              <w:t xml:space="preserve">High</w:t>
            </w:r>
          </w:p>
        </w:tc>
      </w:tr>
      <w:tr>
        <w:tc>
          <w:tcPr>
            <w:tcW w:type="dxa" w:w="1650"/>
            <w:shd w:fill="DCE6F1" w:val="clear"/>
            <w:tcMar>
              <w:top w:type="dxa" w:w="80"/>
              <w:left w:type="dxa" w:w="100"/>
              <w:bottom w:type="dxa" w:w="80"/>
              <w:right w:type="dxa" w:w="100"/>
            </w:tcMar>
            <w:vAlign w:val="center"/>
          </w:tcPr>
          <w:p>
            <w:r>
              <w:rPr>
                <w:b w:val="false"/>
                <w:bCs w:val="false"/>
                <w:sz w:val="19"/>
                <w:szCs w:val="19"/>
              </w:rPr>
              <w:t xml:space="preserve">Composed KCB</w:t>
            </w:r>
          </w:p>
        </w:tc>
        <w:tc>
          <w:tcPr>
            <w:tcW w:type="dxa" w:w="1700"/>
            <w:shd w:fill="DCE6F1" w:val="clear"/>
            <w:tcMar>
              <w:top w:type="dxa" w:w="80"/>
              <w:left w:type="dxa" w:w="100"/>
              <w:bottom w:type="dxa" w:w="80"/>
              <w:right w:type="dxa" w:w="100"/>
            </w:tcMar>
            <w:vAlign w:val="center"/>
          </w:tcPr>
          <w:p>
            <w:r>
              <w:rPr>
                <w:b w:val="false"/>
                <w:bCs w:val="false"/>
                <w:sz w:val="19"/>
                <w:szCs w:val="19"/>
              </w:rPr>
              <w:t xml:space="preserve">Two runtime conditions must hold simultaneously (e.g., aggressive eviction AND low precision).</w:t>
            </w:r>
          </w:p>
        </w:tc>
        <w:tc>
          <w:tcPr>
            <w:tcW w:type="dxa" w:w="2100"/>
            <w:shd w:fill="DCE6F1" w:val="clear"/>
            <w:tcMar>
              <w:top w:type="dxa" w:w="80"/>
              <w:left w:type="dxa" w:w="100"/>
              <w:bottom w:type="dxa" w:w="80"/>
              <w:right w:type="dxa" w:w="100"/>
            </w:tcMar>
            <w:vAlign w:val="center"/>
          </w:tcPr>
          <w:p>
            <w:r>
              <w:rPr>
                <w:b w:val="false"/>
                <w:bCs w:val="false"/>
                <w:sz w:val="19"/>
                <w:szCs w:val="19"/>
              </w:rPr>
              <w:t xml:space="preserve">An “AND-gate” between runtime conditions, each individually insufficient to trigger the payload.</w:t>
            </w:r>
          </w:p>
        </w:tc>
        <w:tc>
          <w:tcPr>
            <w:tcW w:type="dxa" w:w="2150"/>
            <w:shd w:fill="DCE6F1" w:val="clear"/>
            <w:tcMar>
              <w:top w:type="dxa" w:w="80"/>
              <w:left w:type="dxa" w:w="100"/>
              <w:bottom w:type="dxa" w:w="80"/>
              <w:right w:type="dxa" w:w="100"/>
            </w:tcMar>
            <w:vAlign w:val="center"/>
          </w:tcPr>
          <w:p>
            <w:r>
              <w:rPr>
                <w:b w:val="false"/>
                <w:bCs w:val="false"/>
                <w:sz w:val="19"/>
                <w:szCs w:val="19"/>
              </w:rPr>
              <w:t xml:space="preserve">Harder to detect via single-axis differential audits; a stronger stealth result if achieved.</w:t>
            </w:r>
          </w:p>
        </w:tc>
        <w:tc>
          <w:tcPr>
            <w:tcW w:type="dxa" w:w="1426"/>
            <w:shd w:fill="DCE6F1" w:val="clear"/>
            <w:tcMar>
              <w:top w:type="dxa" w:w="80"/>
              <w:left w:type="dxa" w:w="100"/>
              <w:bottom w:type="dxa" w:w="80"/>
              <w:right w:type="dxa" w:w="100"/>
            </w:tcMar>
            <w:vAlign w:val="center"/>
          </w:tcPr>
          <w:p>
            <w:r>
              <w:rPr>
                <w:b w:val="false"/>
                <w:bCs w:val="false"/>
                <w:sz w:val="19"/>
                <w:szCs w:val="19"/>
              </w:rPr>
              <w:t xml:space="preserve">High</w:t>
            </w:r>
          </w:p>
        </w:tc>
      </w:tr>
    </w:tbl>
    <w:p>
      <w:pPr>
        <w:spacing w:after="100"/>
      </w:pPr>
    </w:p>
    <w:p>
      <w:pPr>
        <w:pStyle w:val="Heading1"/>
        <w:pBdr>
          <w:bottom w:val="single" w:color="1F3864" w:sz="6" w:space="4"/>
        </w:pBdr>
        <w:spacing w:after="200" w:before="400"/>
      </w:pPr>
      <w:r>
        <w:rPr>
          <w:b/>
          <w:bCs/>
          <w:color w:val="1F3864"/>
          <w:sz w:val="30"/>
          <w:szCs w:val="30"/>
        </w:rPr>
        <w:t xml:space="preserve">13.  Proposed Methodology</w:t>
      </w:r>
    </w:p>
    <w:p>
      <w:pPr>
        <w:spacing w:after="160" w:line="288"/>
        <w:jc w:val="both"/>
      </w:pPr>
      <w:r>
        <w:rPr>
          <w:sz w:val="21"/>
          <w:szCs w:val="21"/>
        </w:rPr>
        <w:t xml:space="preserve">The plan is deliberately staged: first establish that the runtime variable is measurable and has a reproducible behavioural effect; only then attempt intentional amplification; only after that move to adaptive triggers and defenses.</w:t>
      </w:r>
    </w:p>
    <w:p>
      <w:pPr>
        <w:pStyle w:val="Heading2"/>
        <w:spacing w:after="140" w:before="280"/>
      </w:pPr>
      <w:r>
        <w:rPr>
          <w:b/>
          <w:bCs/>
          <w:color w:val="2E6E7E"/>
          <w:sz w:val="24"/>
          <w:szCs w:val="24"/>
        </w:rPr>
        <w:t xml:space="preserve">Phase 0 — Runtime instrumentation layer</w:t>
      </w:r>
    </w:p>
    <w:p>
      <w:pPr>
        <w:pStyle w:val="ListParagraph"/>
        <w:numPr>
          <w:ilvl w:val="0"/>
          <w:numId w:val="2"/>
        </w:numPr>
        <w:spacing w:after="90" w:line="276"/>
      </w:pPr>
      <w:r>
        <w:rPr>
          <w:sz w:val="21"/>
          <w:szCs w:val="21"/>
        </w:rPr>
        <w:t xml:space="preserve">Model selection: one or two instruction-tuned models in the 1B–8B range (Llama/Qwen/Mistral family), with one clean reference checkpoint kept untouched throughout.</w:t>
      </w:r>
    </w:p>
    <w:p>
      <w:pPr>
        <w:pStyle w:val="ListParagraph"/>
        <w:numPr>
          <w:ilvl w:val="0"/>
          <w:numId w:val="2"/>
        </w:numPr>
        <w:spacing w:after="90" w:line="276"/>
      </w:pPr>
      <w:r>
        <w:rPr>
          <w:sz w:val="21"/>
          <w:szCs w:val="21"/>
        </w:rPr>
        <w:t xml:space="preserve">A cache abstraction that explicitly exposes both the full cache and a transformed cache in the generation loop, rather than hiding the operation inside a high-level generate() call.</w:t>
      </w:r>
    </w:p>
    <w:p>
      <w:pPr>
        <w:pStyle w:val="ListParagraph"/>
        <w:numPr>
          <w:ilvl w:val="0"/>
          <w:numId w:val="2"/>
        </w:numPr>
        <w:spacing w:after="90" w:line="276"/>
      </w:pPr>
      <w:r>
        <w:rPr>
          <w:sz w:val="21"/>
          <w:szCs w:val="21"/>
        </w:rPr>
        <w:t xml:space="preserve">Deterministic transformations: identical prompt and seed must yield an identical cache transformation under a fixed policy.</w:t>
      </w:r>
    </w:p>
    <w:p>
      <w:pPr>
        <w:pStyle w:val="ListParagraph"/>
        <w:numPr>
          <w:ilvl w:val="0"/>
          <w:numId w:val="2"/>
        </w:numPr>
        <w:spacing w:after="90" w:line="276"/>
      </w:pPr>
      <w:r>
        <w:rPr>
          <w:sz w:val="21"/>
          <w:szCs w:val="21"/>
        </w:rPr>
        <w:t xml:space="preserve">A/B generation: identical model weights, prompt, and decoding parameters; only the cache policy varies between the two runs being compared.</w:t>
      </w:r>
    </w:p>
    <w:p>
      <w:pPr>
        <w:spacing w:after="160" w:line="288"/>
        <w:jc w:val="both"/>
      </w:pPr>
      <w:r>
        <w:rPr>
          <w:sz w:val="21"/>
          <w:szCs w:val="21"/>
        </w:rPr>
        <w:t xml:space="preserve">Logged per decoding step: per-layer retained-token count, K/V dtype, scale/quantization statistics, retained-token indices, attention scores, and the specific compression event triggered.</w:t>
      </w:r>
    </w:p>
    <w:p>
      <w:pPr>
        <w:pStyle w:val="Heading2"/>
        <w:spacing w:after="140" w:before="280"/>
      </w:pPr>
      <w:r>
        <w:rPr>
          <w:b/>
          <w:bCs/>
          <w:color w:val="2E6E7E"/>
          <w:sz w:val="24"/>
          <w:szCs w:val="24"/>
        </w:rPr>
        <w:t xml:space="preserve">Phase 1 — Non-adversarial baseline</w:t>
      </w:r>
    </w:p>
    <w:p>
      <w:pPr>
        <w:spacing w:after="90" w:line="276"/>
        <w:ind w:left="460" w:hanging="260"/>
      </w:pPr>
      <w:r>
        <w:rPr>
          <w:b/>
          <w:bCs/>
          <w:sz w:val="21"/>
          <w:szCs w:val="21"/>
        </w:rPr>
        <w:t xml:space="preserve">1.	</w:t>
      </w:r>
      <w:r>
        <w:rPr>
          <w:sz w:val="21"/>
          <w:szCs w:val="21"/>
        </w:rPr>
        <w:t xml:space="preserve">Run standard utility and safety benchmarks under the full cache.</w:t>
      </w:r>
    </w:p>
    <w:p>
      <w:pPr>
        <w:spacing w:after="90" w:line="276"/>
        <w:ind w:left="460" w:hanging="260"/>
      </w:pPr>
      <w:r>
        <w:rPr>
          <w:b/>
          <w:bCs/>
          <w:sz w:val="21"/>
          <w:szCs w:val="21"/>
        </w:rPr>
        <w:t xml:space="preserve">2.	</w:t>
      </w:r>
      <w:r>
        <w:rPr>
          <w:sz w:val="21"/>
          <w:szCs w:val="21"/>
        </w:rPr>
        <w:t xml:space="preserve">Run the same benchmarks under each compression family (quantization, eviction, merging) at multiple budgets/precisions.</w:t>
      </w:r>
    </w:p>
    <w:p>
      <w:pPr>
        <w:spacing w:after="90" w:line="276"/>
        <w:ind w:left="460" w:hanging="260"/>
      </w:pPr>
      <w:r>
        <w:rPr>
          <w:b/>
          <w:bCs/>
          <w:sz w:val="21"/>
          <w:szCs w:val="21"/>
        </w:rPr>
        <w:t xml:space="preserve">3.	</w:t>
      </w:r>
      <w:r>
        <w:rPr>
          <w:sz w:val="21"/>
          <w:szCs w:val="21"/>
        </w:rPr>
        <w:t xml:space="preserve">Measure utility, refusal/safety behaviour, instruction following, memory, latency, and throughput.</w:t>
      </w:r>
    </w:p>
    <w:p>
      <w:pPr>
        <w:spacing w:after="90" w:line="276"/>
        <w:ind w:left="460" w:hanging="260"/>
      </w:pPr>
      <w:r>
        <w:rPr>
          <w:b/>
          <w:bCs/>
          <w:sz w:val="21"/>
          <w:szCs w:val="21"/>
        </w:rPr>
        <w:t xml:space="preserve">4.	</w:t>
      </w:r>
      <w:r>
        <w:rPr>
          <w:sz w:val="21"/>
          <w:szCs w:val="21"/>
        </w:rPr>
        <w:t xml:space="preserve">Plot behaviour against compression strength to identify sharp or task-specific transitions.</w:t>
      </w:r>
    </w:p>
    <w:p>
      <w:pPr>
        <w:spacing w:after="90" w:line="276"/>
        <w:ind w:left="460" w:hanging="260"/>
      </w:pPr>
      <w:r>
        <w:rPr>
          <w:b/>
          <w:bCs/>
          <w:sz w:val="21"/>
          <w:szCs w:val="21"/>
        </w:rPr>
        <w:t xml:space="preserve">5.	</w:t>
      </w:r>
      <w:r>
        <w:rPr>
          <w:sz w:val="21"/>
          <w:szCs w:val="21"/>
        </w:rPr>
        <w:t xml:space="preserve">Reproduce or validate at least one published safety finding from Group B before attempting any backdoor training (Gate G2).</w:t>
      </w:r>
    </w:p>
    <w:p>
      <w:pPr>
        <w:pStyle w:val="Heading2"/>
        <w:spacing w:after="140" w:before="280"/>
      </w:pPr>
      <w:r>
        <w:rPr>
          <w:b/>
          <w:bCs/>
          <w:color w:val="2E6E7E"/>
          <w:sz w:val="24"/>
          <w:szCs w:val="24"/>
        </w:rPr>
        <w:t xml:space="preserve">Phase 2 — Runtime-conditioned training</w:t>
      </w:r>
    </w:p>
    <w:p>
      <w:pPr>
        <w:spacing w:after="160" w:line="288"/>
        <w:jc w:val="both"/>
      </w:pPr>
      <w:r>
        <w:rPr>
          <w:sz w:val="21"/>
          <w:szCs w:val="21"/>
        </w:rPr>
        <w:t xml:space="preserve">For each training batch x, the core idea is to train against two forward regimes simultaneously:</w:t>
      </w:r>
    </w:p>
    <w:p>
      <w:pPr>
        <w:spacing w:after="90" w:line="276"/>
        <w:ind w:left="460" w:hanging="260"/>
      </w:pPr>
      <w:r>
        <w:rPr>
          <w:b/>
          <w:bCs/>
          <w:sz w:val="21"/>
          <w:szCs w:val="21"/>
        </w:rPr>
        <w:t xml:space="preserve">1.	</w:t>
      </w:r>
      <w:r>
        <w:rPr>
          <w:sz w:val="21"/>
          <w:szCs w:val="21"/>
        </w:rPr>
        <w:t xml:space="preserve">Run prefill/decode with the reference cache C0.</w:t>
      </w:r>
    </w:p>
    <w:p>
      <w:pPr>
        <w:spacing w:after="90" w:line="276"/>
        <w:ind w:left="460" w:hanging="260"/>
      </w:pPr>
      <w:r>
        <w:rPr>
          <w:b/>
          <w:bCs/>
          <w:sz w:val="21"/>
          <w:szCs w:val="21"/>
        </w:rPr>
        <w:t xml:space="preserve">2.	</w:t>
      </w:r>
      <w:r>
        <w:rPr>
          <w:sz w:val="21"/>
          <w:szCs w:val="21"/>
        </w:rPr>
        <w:t xml:space="preserve">Construct the transformed cache C_trigger = T(C0) under the chosen policy.</w:t>
      </w:r>
    </w:p>
    <w:p>
      <w:pPr>
        <w:spacing w:after="90" w:line="276"/>
        <w:ind w:left="460" w:hanging="260"/>
      </w:pPr>
      <w:r>
        <w:rPr>
          <w:b/>
          <w:bCs/>
          <w:sz w:val="21"/>
          <w:szCs w:val="21"/>
        </w:rPr>
        <w:t xml:space="preserve">3.	</w:t>
      </w:r>
      <w:r>
        <w:rPr>
          <w:sz w:val="21"/>
          <w:szCs w:val="21"/>
        </w:rPr>
        <w:t xml:space="preserve">Compute a normal-loss term on C0 and a benign-utility loss on C_trigger, so ordinary quality is preserved in both regimes.</w:t>
      </w:r>
    </w:p>
    <w:p>
      <w:pPr>
        <w:spacing w:after="90" w:line="276"/>
        <w:ind w:left="460" w:hanging="260"/>
      </w:pPr>
      <w:r>
        <w:rPr>
          <w:b/>
          <w:bCs/>
          <w:sz w:val="21"/>
          <w:szCs w:val="21"/>
        </w:rPr>
        <w:t xml:space="preserve">4.	</w:t>
      </w:r>
      <w:r>
        <w:rPr>
          <w:sz w:val="21"/>
          <w:szCs w:val="21"/>
        </w:rPr>
        <w:t xml:space="preserve">Add a targeted-behaviour objective only for the chosen trigger subset of examples.</w:t>
      </w:r>
    </w:p>
    <w:p>
      <w:pPr>
        <w:spacing w:after="90" w:line="276"/>
        <w:ind w:left="460" w:hanging="260"/>
      </w:pPr>
      <w:r>
        <w:rPr>
          <w:b/>
          <w:bCs/>
          <w:sz w:val="21"/>
          <w:szCs w:val="21"/>
        </w:rPr>
        <w:t xml:space="preserve">5.	</w:t>
      </w:r>
      <w:r>
        <w:rPr>
          <w:sz w:val="21"/>
          <w:szCs w:val="21"/>
        </w:rPr>
        <w:t xml:space="preserve">Penalise accidental activation of the target behaviour under C0 (the stealth term).</w:t>
      </w:r>
    </w:p>
    <w:p>
      <w:pPr>
        <w:spacing w:after="90" w:line="276"/>
        <w:ind w:left="460" w:hanging="260"/>
      </w:pPr>
      <w:r>
        <w:rPr>
          <w:b/>
          <w:bCs/>
          <w:sz w:val="21"/>
          <w:szCs w:val="21"/>
        </w:rPr>
        <w:t xml:space="preserve">6.	</w:t>
      </w:r>
      <w:r>
        <w:rPr>
          <w:sz w:val="21"/>
          <w:szCs w:val="21"/>
        </w:rPr>
        <w:t xml:space="preserve">Periodically evaluate several unseen cache policies during training to monitor emerging specificity.</w:t>
      </w:r>
    </w:p>
    <w:p>
      <w:pPr>
        <w:spacing w:after="160" w:line="288"/>
        <w:jc w:val="both"/>
      </w:pPr>
      <w:r>
        <w:rPr>
          <w:sz w:val="21"/>
          <w:szCs w:val="21"/>
        </w:rPr>
        <w:t xml:space="preserve">The initial target behaviour will be a safe-to-handle synthetic behavioural marker or controlled policy switch (Section 15), not real-world harmful content, to keep the phenomenon measurable and to avoid the project becoming a collection of ad hoc jailbreak examples.</w:t>
      </w:r>
    </w:p>
    <w:p>
      <w:pPr>
        <w:pStyle w:val="Heading2"/>
        <w:spacing w:after="140" w:before="280"/>
      </w:pPr>
      <w:r>
        <w:rPr>
          <w:b/>
          <w:bCs/>
          <w:color w:val="2E6E7E"/>
          <w:sz w:val="24"/>
          <w:szCs w:val="24"/>
        </w:rPr>
        <w:t xml:space="preserve">Phase 3 — Runtime trigger generalisation</w:t>
      </w:r>
    </w:p>
    <w:p>
      <w:pPr>
        <w:pStyle w:val="ListParagraph"/>
        <w:numPr>
          <w:ilvl w:val="0"/>
          <w:numId w:val="2"/>
        </w:numPr>
        <w:spacing w:after="90" w:line="276"/>
      </w:pPr>
      <w:r>
        <w:rPr>
          <w:b/>
          <w:bCs/>
          <w:sz w:val="21"/>
          <w:szCs w:val="21"/>
        </w:rPr>
        <w:t xml:space="preserve">Precision threshold</w:t>
      </w:r>
      <w:r>
        <w:rPr>
          <w:sz w:val="21"/>
          <w:szCs w:val="21"/>
        </w:rPr>
        <w:t xml:space="preserve"> — activates only below a bit-width or quantization-quality threshold.</w:t>
      </w:r>
    </w:p>
    <w:p>
      <w:pPr>
        <w:pStyle w:val="ListParagraph"/>
        <w:numPr>
          <w:ilvl w:val="0"/>
          <w:numId w:val="2"/>
        </w:numPr>
        <w:spacing w:after="90" w:line="276"/>
      </w:pPr>
      <w:r>
        <w:rPr>
          <w:b/>
          <w:bCs/>
          <w:sz w:val="21"/>
          <w:szCs w:val="21"/>
        </w:rPr>
        <w:t xml:space="preserve">Eviction threshold</w:t>
      </w:r>
      <w:r>
        <w:rPr>
          <w:sz w:val="21"/>
          <w:szCs w:val="21"/>
        </w:rPr>
        <w:t xml:space="preserve"> — activates only when the retained-token ratio falls below a threshold.</w:t>
      </w:r>
    </w:p>
    <w:p>
      <w:pPr>
        <w:pStyle w:val="ListParagraph"/>
        <w:numPr>
          <w:ilvl w:val="0"/>
          <w:numId w:val="2"/>
        </w:numPr>
        <w:spacing w:after="90" w:line="276"/>
      </w:pPr>
      <w:r>
        <w:rPr>
          <w:b/>
          <w:bCs/>
          <w:sz w:val="21"/>
          <w:szCs w:val="21"/>
        </w:rPr>
        <w:t xml:space="preserve">Context threshold</w:t>
      </w:r>
      <w:r>
        <w:rPr>
          <w:sz w:val="21"/>
          <w:szCs w:val="21"/>
        </w:rPr>
        <w:t xml:space="preserve"> — activates only once conversation length exceeds L*.</w:t>
      </w:r>
    </w:p>
    <w:p>
      <w:pPr>
        <w:pStyle w:val="ListParagraph"/>
        <w:numPr>
          <w:ilvl w:val="0"/>
          <w:numId w:val="2"/>
        </w:numPr>
        <w:spacing w:after="90" w:line="276"/>
      </w:pPr>
      <w:r>
        <w:rPr>
          <w:b/>
          <w:bCs/>
          <w:sz w:val="21"/>
          <w:szCs w:val="21"/>
        </w:rPr>
        <w:t xml:space="preserve">Budget threshold</w:t>
      </w:r>
      <w:r>
        <w:rPr>
          <w:sz w:val="21"/>
          <w:szCs w:val="21"/>
        </w:rPr>
        <w:t xml:space="preserve"> — activates only when allowed KV memory falls below B*.</w:t>
      </w:r>
    </w:p>
    <w:p>
      <w:pPr>
        <w:pStyle w:val="ListParagraph"/>
        <w:numPr>
          <w:ilvl w:val="0"/>
          <w:numId w:val="2"/>
        </w:numPr>
        <w:spacing w:after="90" w:line="276"/>
      </w:pPr>
      <w:r>
        <w:rPr>
          <w:b/>
          <w:bCs/>
          <w:sz w:val="21"/>
          <w:szCs w:val="21"/>
        </w:rPr>
        <w:t xml:space="preserve">Policy fingerprint</w:t>
      </w:r>
      <w:r>
        <w:rPr>
          <w:sz w:val="21"/>
          <w:szCs w:val="21"/>
        </w:rPr>
        <w:t xml:space="preserve"> — activates for one family of eviction/merging policies but not for closely related near-miss policies.</w:t>
      </w:r>
    </w:p>
    <w:p>
      <w:pPr>
        <w:pStyle w:val="Heading2"/>
        <w:spacing w:after="140" w:before="280"/>
      </w:pPr>
      <w:r>
        <w:rPr>
          <w:b/>
          <w:bCs/>
          <w:color w:val="2E6E7E"/>
          <w:sz w:val="24"/>
          <w:szCs w:val="24"/>
        </w:rPr>
        <w:t xml:space="preserve">Phase 4 — Mechanistic analysis</w:t>
      </w:r>
    </w:p>
    <w:p>
      <w:pPr>
        <w:pStyle w:val="ListParagraph"/>
        <w:numPr>
          <w:ilvl w:val="0"/>
          <w:numId w:val="2"/>
        </w:numPr>
        <w:spacing w:after="90" w:line="276"/>
      </w:pPr>
      <w:r>
        <w:rPr>
          <w:sz w:val="21"/>
          <w:szCs w:val="21"/>
        </w:rPr>
        <w:t xml:space="preserve">Layer and head ablation to identify where the triggered gap first appears.</w:t>
      </w:r>
    </w:p>
    <w:p>
      <w:pPr>
        <w:pStyle w:val="ListParagraph"/>
        <w:numPr>
          <w:ilvl w:val="0"/>
          <w:numId w:val="2"/>
        </w:numPr>
        <w:spacing w:after="90" w:line="276"/>
      </w:pPr>
      <w:r>
        <w:rPr>
          <w:sz w:val="21"/>
          <w:szCs w:val="21"/>
        </w:rPr>
        <w:t xml:space="preserve">Token-survival tracking: whether backdoor-associated states are systematically retained or evicted.</w:t>
      </w:r>
    </w:p>
    <w:p>
      <w:pPr>
        <w:pStyle w:val="ListParagraph"/>
        <w:numPr>
          <w:ilvl w:val="0"/>
          <w:numId w:val="2"/>
        </w:numPr>
        <w:spacing w:after="90" w:line="276"/>
      </w:pPr>
      <w:r>
        <w:rPr>
          <w:sz w:val="21"/>
          <w:szCs w:val="21"/>
        </w:rPr>
        <w:t xml:space="preserve">Separate comparison of key-side selection effects versus value-side corruption effects.</w:t>
      </w:r>
    </w:p>
    <w:p>
      <w:pPr>
        <w:pStyle w:val="ListParagraph"/>
        <w:numPr>
          <w:ilvl w:val="0"/>
          <w:numId w:val="2"/>
        </w:numPr>
        <w:spacing w:after="90" w:line="276"/>
      </w:pPr>
      <w:r>
        <w:rPr>
          <w:sz w:val="21"/>
          <w:szCs w:val="21"/>
        </w:rPr>
        <w:t xml:space="preserve">Representation-geometry measures: cosine distance, norm changes, low-rank projections, logit-margin shifts before/after compression.</w:t>
      </w:r>
    </w:p>
    <w:p>
      <w:pPr>
        <w:pStyle w:val="ListParagraph"/>
        <w:numPr>
          <w:ilvl w:val="0"/>
          <w:numId w:val="2"/>
        </w:numPr>
        <w:spacing w:after="90" w:line="276"/>
      </w:pPr>
      <w:r>
        <w:rPr>
          <w:sz w:val="21"/>
          <w:szCs w:val="21"/>
        </w:rPr>
        <w:t xml:space="preserve">Search for a phase transition: the smallest runtime perturbation producing a disproportionately large behavioural jump.</w:t>
      </w:r>
    </w:p>
    <w:p>
      <w:pPr>
        <w:pStyle w:val="Heading2"/>
        <w:spacing w:after="140" w:before="280"/>
      </w:pPr>
      <w:r>
        <w:rPr>
          <w:b/>
          <w:bCs/>
          <w:color w:val="2E6E7E"/>
          <w:sz w:val="24"/>
          <w:szCs w:val="24"/>
        </w:rPr>
        <w:t xml:space="preserve">Phase 5 — Defense</w:t>
      </w:r>
    </w:p>
    <w:p>
      <w:pPr>
        <w:pStyle w:val="ListParagraph"/>
        <w:numPr>
          <w:ilvl w:val="0"/>
          <w:numId w:val="2"/>
        </w:numPr>
        <w:spacing w:after="90" w:line="276"/>
      </w:pPr>
      <w:r>
        <w:rPr>
          <w:b/>
          <w:bCs/>
          <w:sz w:val="21"/>
          <w:szCs w:val="21"/>
        </w:rPr>
        <w:t xml:space="preserve">Cache-aware differential audit</w:t>
      </w:r>
      <w:r>
        <w:rPr>
          <w:sz w:val="21"/>
          <w:szCs w:val="21"/>
        </w:rPr>
        <w:t xml:space="preserve"> — run identical prompts under a small family of cache policies and compare safety/instruction compliance, not merely token-level output divergence.</w:t>
      </w:r>
    </w:p>
    <w:p>
      <w:pPr>
        <w:pStyle w:val="ListParagraph"/>
        <w:numPr>
          <w:ilvl w:val="0"/>
          <w:numId w:val="2"/>
        </w:numPr>
        <w:spacing w:after="90" w:line="276"/>
      </w:pPr>
      <w:r>
        <w:rPr>
          <w:b/>
          <w:bCs/>
          <w:sz w:val="21"/>
          <w:szCs w:val="21"/>
        </w:rPr>
        <w:t xml:space="preserve">Policy fuzzing</w:t>
      </w:r>
      <w:r>
        <w:rPr>
          <w:sz w:val="21"/>
          <w:szCs w:val="21"/>
        </w:rPr>
        <w:t xml:space="preserve"> — randomise retention budget, precision, and eviction details so an attacker cannot rely on a single known deployment policy.</w:t>
      </w:r>
    </w:p>
    <w:p>
      <w:pPr>
        <w:pStyle w:val="ListParagraph"/>
        <w:numPr>
          <w:ilvl w:val="0"/>
          <w:numId w:val="2"/>
        </w:numPr>
        <w:spacing w:after="90" w:line="276"/>
      </w:pPr>
      <w:r>
        <w:rPr>
          <w:b/>
          <w:bCs/>
          <w:sz w:val="21"/>
          <w:szCs w:val="21"/>
        </w:rPr>
        <w:t xml:space="preserve">Security-aware cache retention</w:t>
      </w:r>
      <w:r>
        <w:rPr>
          <w:sz w:val="21"/>
          <w:szCs w:val="21"/>
        </w:rPr>
        <w:t xml:space="preserve"> — protect system instructions and other security-critical states from aggressive eviction or low precision.</w:t>
      </w:r>
    </w:p>
    <w:p>
      <w:pPr>
        <w:pStyle w:val="ListParagraph"/>
        <w:numPr>
          <w:ilvl w:val="0"/>
          <w:numId w:val="2"/>
        </w:numPr>
        <w:spacing w:after="90" w:line="276"/>
      </w:pPr>
      <w:r>
        <w:rPr>
          <w:b/>
          <w:bCs/>
          <w:sz w:val="21"/>
          <w:szCs w:val="21"/>
        </w:rPr>
        <w:t xml:space="preserve">Runtime integrity monitor</w:t>
      </w:r>
      <w:r>
        <w:rPr>
          <w:sz w:val="21"/>
          <w:szCs w:val="21"/>
        </w:rPr>
        <w:t xml:space="preserve"> — flag unusual safety transitions correlated with cache events, context length, or sudden budget changes.</w:t>
      </w:r>
    </w:p>
    <w:p>
      <w:pPr>
        <w:pStyle w:val="ListParagraph"/>
        <w:numPr>
          <w:ilvl w:val="0"/>
          <w:numId w:val="2"/>
        </w:numPr>
        <w:spacing w:after="90" w:line="276"/>
      </w:pPr>
      <w:r>
        <w:rPr>
          <w:b/>
          <w:bCs/>
          <w:sz w:val="21"/>
          <w:szCs w:val="21"/>
        </w:rPr>
        <w:t xml:space="preserve">Mechanism-guided defense</w:t>
      </w:r>
      <w:r>
        <w:rPr>
          <w:sz w:val="21"/>
          <w:szCs w:val="21"/>
        </w:rPr>
        <w:t xml:space="preserve"> — once triggering layers/heads are identified (Phase 4), allocate additional precision or retention to the sensitive subspace.</w:t>
      </w:r>
    </w:p>
    <w:p>
      <w:pPr>
        <w:spacing w:after="160" w:line="288"/>
        <w:jc w:val="both"/>
      </w:pPr>
      <w:r>
        <w:rPr>
          <w:sz w:val="21"/>
          <w:szCs w:val="21"/>
        </w:rPr>
        <w:t xml:space="default"/>
      </w:r>
    </w:p>
    <w:p>
      <w:pPr>
        <w:spacing w:after="100"/>
      </w:pPr>
    </w:p>
    <w:p>
      <w:pPr>
        <w:pStyle w:val="Heading1"/>
        <w:pBdr>
          <w:bottom w:val="single" w:color="1F3864" w:sz="6" w:space="4"/>
        </w:pBdr>
        <w:spacing w:after="200" w:before="400"/>
      </w:pPr>
      <w:r>
        <w:rPr>
          <w:b/>
          <w:bCs/>
          <w:color w:val="1F3864"/>
          <w:sz w:val="30"/>
          <w:szCs w:val="30"/>
        </w:rPr>
        <w:t xml:space="preserve">14.  Experimental Design</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3500"/>
        <w:gridCol w:w="3626"/>
      </w:tblGrid>
      <w:tr>
        <w:trPr>
          <w:tblHeader/>
        </w:trPr>
        <w:tc>
          <w:tcPr>
            <w:tcW w:type="dxa" w:w="1900"/>
            <w:shd w:fill="1F3864" w:val="clear"/>
            <w:tcMar>
              <w:top w:type="dxa" w:w="80"/>
              <w:left w:type="dxa" w:w="100"/>
              <w:bottom w:type="dxa" w:w="80"/>
              <w:right w:type="dxa" w:w="100"/>
            </w:tcMar>
            <w:vAlign w:val="center"/>
          </w:tcPr>
          <w:p>
            <w:r>
              <w:rPr>
                <w:b/>
                <w:bCs/>
                <w:color w:val="FFFFFF"/>
                <w:sz w:val="19"/>
                <w:szCs w:val="19"/>
              </w:rPr>
              <w:t xml:space="preserve">Axis</w:t>
            </w:r>
          </w:p>
        </w:tc>
        <w:tc>
          <w:tcPr>
            <w:tcW w:type="dxa" w:w="3500"/>
            <w:shd w:fill="1F3864" w:val="clear"/>
            <w:tcMar>
              <w:top w:type="dxa" w:w="80"/>
              <w:left w:type="dxa" w:w="100"/>
              <w:bottom w:type="dxa" w:w="80"/>
              <w:right w:type="dxa" w:w="100"/>
            </w:tcMar>
            <w:vAlign w:val="center"/>
          </w:tcPr>
          <w:p>
            <w:r>
              <w:rPr>
                <w:b/>
                <w:bCs/>
                <w:color w:val="FFFFFF"/>
                <w:sz w:val="19"/>
                <w:szCs w:val="19"/>
              </w:rPr>
              <w:t xml:space="preserve">Minimum viable</w:t>
            </w:r>
          </w:p>
        </w:tc>
        <w:tc>
          <w:tcPr>
            <w:tcW w:type="dxa" w:w="3626"/>
            <w:shd w:fill="1F3864" w:val="clear"/>
            <w:tcMar>
              <w:top w:type="dxa" w:w="80"/>
              <w:left w:type="dxa" w:w="100"/>
              <w:bottom w:type="dxa" w:w="80"/>
              <w:right w:type="dxa" w:w="100"/>
            </w:tcMar>
            <w:vAlign w:val="center"/>
          </w:tcPr>
          <w:p>
            <w:r>
              <w:rPr>
                <w:b/>
                <w:bCs/>
                <w:color w:val="FFFFFF"/>
                <w:sz w:val="19"/>
                <w:szCs w:val="19"/>
              </w:rPr>
              <w:t xml:space="preserve">Stronger paper</w:t>
            </w:r>
          </w:p>
        </w:tc>
      </w:tr>
      <w:tr>
        <w:tc>
          <w:tcPr>
            <w:tcW w:type="dxa" w:w="1900"/>
            <w:tcMar>
              <w:top w:type="dxa" w:w="80"/>
              <w:left w:type="dxa" w:w="100"/>
              <w:bottom w:type="dxa" w:w="80"/>
              <w:right w:type="dxa" w:w="100"/>
            </w:tcMar>
            <w:vAlign w:val="center"/>
          </w:tcPr>
          <w:p>
            <w:r>
              <w:rPr>
                <w:b w:val="false"/>
                <w:bCs w:val="false"/>
                <w:sz w:val="19"/>
                <w:szCs w:val="19"/>
              </w:rPr>
              <w:t xml:space="preserve">Models</w:t>
            </w:r>
          </w:p>
        </w:tc>
        <w:tc>
          <w:tcPr>
            <w:tcW w:type="dxa" w:w="3500"/>
            <w:tcMar>
              <w:top w:type="dxa" w:w="80"/>
              <w:left w:type="dxa" w:w="100"/>
              <w:bottom w:type="dxa" w:w="80"/>
              <w:right w:type="dxa" w:w="100"/>
            </w:tcMar>
            <w:vAlign w:val="center"/>
          </w:tcPr>
          <w:p>
            <w:r>
              <w:rPr>
                <w:b w:val="false"/>
                <w:bCs w:val="false"/>
                <w:sz w:val="19"/>
                <w:szCs w:val="19"/>
              </w:rPr>
              <w:t xml:space="preserve">2 instruction-tuned LLMs, 1–8B parameters</w:t>
            </w:r>
          </w:p>
        </w:tc>
        <w:tc>
          <w:tcPr>
            <w:tcW w:type="dxa" w:w="3626"/>
            <w:tcMar>
              <w:top w:type="dxa" w:w="80"/>
              <w:left w:type="dxa" w:w="100"/>
              <w:bottom w:type="dxa" w:w="80"/>
              <w:right w:type="dxa" w:w="100"/>
            </w:tcMar>
            <w:vAlign w:val="center"/>
          </w:tcPr>
          <w:p>
            <w:r>
              <w:rPr>
                <w:b w:val="false"/>
                <w:bCs w:val="false"/>
                <w:sz w:val="19"/>
                <w:szCs w:val="19"/>
              </w:rPr>
              <w:t xml:space="preserve">3–4 model families plus a size sweep</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Quantization</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FP16 → FP8 / INT8</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FP16 → FP8 → INT8 → lower bit-width where supported</w:t>
            </w:r>
          </w:p>
        </w:tc>
      </w:tr>
      <w:tr>
        <w:tc>
          <w:tcPr>
            <w:tcW w:type="dxa" w:w="1900"/>
            <w:tcMar>
              <w:top w:type="dxa" w:w="80"/>
              <w:left w:type="dxa" w:w="100"/>
              <w:bottom w:type="dxa" w:w="80"/>
              <w:right w:type="dxa" w:w="100"/>
            </w:tcMar>
            <w:vAlign w:val="center"/>
          </w:tcPr>
          <w:p>
            <w:r>
              <w:rPr>
                <w:b w:val="false"/>
                <w:bCs w:val="false"/>
                <w:sz w:val="19"/>
                <w:szCs w:val="19"/>
              </w:rPr>
              <w:t xml:space="preserve">Eviction</w:t>
            </w:r>
          </w:p>
        </w:tc>
        <w:tc>
          <w:tcPr>
            <w:tcW w:type="dxa" w:w="3500"/>
            <w:tcMar>
              <w:top w:type="dxa" w:w="80"/>
              <w:left w:type="dxa" w:w="100"/>
              <w:bottom w:type="dxa" w:w="80"/>
              <w:right w:type="dxa" w:w="100"/>
            </w:tcMar>
            <w:vAlign w:val="center"/>
          </w:tcPr>
          <w:p>
            <w:r>
              <w:rPr>
                <w:b w:val="false"/>
                <w:bCs w:val="false"/>
                <w:sz w:val="19"/>
                <w:szCs w:val="19"/>
              </w:rPr>
              <w:t xml:space="preserve">1 simple fixed-window policy + 1 attention-based policy</w:t>
            </w:r>
          </w:p>
        </w:tc>
        <w:tc>
          <w:tcPr>
            <w:tcW w:type="dxa" w:w="3626"/>
            <w:tcMar>
              <w:top w:type="dxa" w:w="80"/>
              <w:left w:type="dxa" w:w="100"/>
              <w:bottom w:type="dxa" w:w="80"/>
              <w:right w:type="dxa" w:w="100"/>
            </w:tcMar>
            <w:vAlign w:val="center"/>
          </w:tcPr>
          <w:p>
            <w:r>
              <w:rPr>
                <w:b w:val="false"/>
                <w:bCs w:val="false"/>
                <w:sz w:val="19"/>
                <w:szCs w:val="19"/>
              </w:rPr>
              <w:t xml:space="preserve">StreamingLLM, H2O, SnapKV / TOVA / K-Norm or equivalent</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Merging</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1 token/layer merging method</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Multiple merging ratios or policies</w:t>
            </w:r>
          </w:p>
        </w:tc>
      </w:tr>
      <w:tr>
        <w:tc>
          <w:tcPr>
            <w:tcW w:type="dxa" w:w="1900"/>
            <w:tcMar>
              <w:top w:type="dxa" w:w="80"/>
              <w:left w:type="dxa" w:w="100"/>
              <w:bottom w:type="dxa" w:w="80"/>
              <w:right w:type="dxa" w:w="100"/>
            </w:tcMar>
            <w:vAlign w:val="center"/>
          </w:tcPr>
          <w:p>
            <w:r>
              <w:rPr>
                <w:b w:val="false"/>
                <w:bCs w:val="false"/>
                <w:sz w:val="19"/>
                <w:szCs w:val="19"/>
              </w:rPr>
              <w:t xml:space="preserve">Contexts</w:t>
            </w:r>
          </w:p>
        </w:tc>
        <w:tc>
          <w:tcPr>
            <w:tcW w:type="dxa" w:w="3500"/>
            <w:tcMar>
              <w:top w:type="dxa" w:w="80"/>
              <w:left w:type="dxa" w:w="100"/>
              <w:bottom w:type="dxa" w:w="80"/>
              <w:right w:type="dxa" w:w="100"/>
            </w:tcMar>
            <w:vAlign w:val="center"/>
          </w:tcPr>
          <w:p>
            <w:r>
              <w:rPr>
                <w:b w:val="false"/>
                <w:bCs w:val="false"/>
                <w:sz w:val="19"/>
                <w:szCs w:val="19"/>
              </w:rPr>
              <w:t xml:space="preserve">Short and long</w:t>
            </w:r>
          </w:p>
        </w:tc>
        <w:tc>
          <w:tcPr>
            <w:tcW w:type="dxa" w:w="3626"/>
            <w:tcMar>
              <w:top w:type="dxa" w:w="80"/>
              <w:left w:type="dxa" w:w="100"/>
              <w:bottom w:type="dxa" w:w="80"/>
              <w:right w:type="dxa" w:w="100"/>
            </w:tcMar>
            <w:vAlign w:val="center"/>
          </w:tcPr>
          <w:p>
            <w:r>
              <w:rPr>
                <w:b w:val="false"/>
                <w:bCs w:val="false"/>
                <w:sz w:val="19"/>
                <w:szCs w:val="19"/>
              </w:rPr>
              <w:t xml:space="preserve">4K / 16K / 32K / 64K+, model-dependent</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Trigger types</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1 synthetic behavioural target</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Synthetic + safety-policy / agent-policy target</w:t>
            </w:r>
          </w:p>
        </w:tc>
      </w:tr>
      <w:tr>
        <w:tc>
          <w:tcPr>
            <w:tcW w:type="dxa" w:w="1900"/>
            <w:tcMar>
              <w:top w:type="dxa" w:w="80"/>
              <w:left w:type="dxa" w:w="100"/>
              <w:bottom w:type="dxa" w:w="80"/>
              <w:right w:type="dxa" w:w="100"/>
            </w:tcMar>
            <w:vAlign w:val="center"/>
          </w:tcPr>
          <w:p>
            <w:r>
              <w:rPr>
                <w:b w:val="false"/>
                <w:bCs w:val="false"/>
                <w:sz w:val="19"/>
                <w:szCs w:val="19"/>
              </w:rPr>
              <w:t xml:space="preserve">Seeds</w:t>
            </w:r>
          </w:p>
        </w:tc>
        <w:tc>
          <w:tcPr>
            <w:tcW w:type="dxa" w:w="3500"/>
            <w:tcMar>
              <w:top w:type="dxa" w:w="80"/>
              <w:left w:type="dxa" w:w="100"/>
              <w:bottom w:type="dxa" w:w="80"/>
              <w:right w:type="dxa" w:w="100"/>
            </w:tcMar>
            <w:vAlign w:val="center"/>
          </w:tcPr>
          <w:p>
            <w:r>
              <w:rPr>
                <w:b w:val="false"/>
                <w:bCs w:val="false"/>
                <w:sz w:val="19"/>
                <w:szCs w:val="19"/>
              </w:rPr>
              <w:t xml:space="preserve">2</w:t>
            </w:r>
          </w:p>
        </w:tc>
        <w:tc>
          <w:tcPr>
            <w:tcW w:type="dxa" w:w="3626"/>
            <w:tcMar>
              <w:top w:type="dxa" w:w="80"/>
              <w:left w:type="dxa" w:w="100"/>
              <w:bottom w:type="dxa" w:w="80"/>
              <w:right w:type="dxa" w:w="100"/>
            </w:tcMar>
            <w:vAlign w:val="center"/>
          </w:tcPr>
          <w:p>
            <w:r>
              <w:rPr>
                <w:b w:val="false"/>
                <w:bCs w:val="false"/>
                <w:sz w:val="19"/>
                <w:szCs w:val="19"/>
              </w:rPr>
              <w:t xml:space="preserve">3+ with reported confidence intervals</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Runtime states evaluated</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Full vs. target transform</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Full + target + near-miss + unseen cross-policy variants</w:t>
            </w:r>
          </w:p>
        </w:tc>
      </w:tr>
      <w:tr>
        <w:tc>
          <w:tcPr>
            <w:tcW w:type="dxa" w:w="1900"/>
            <w:tcMar>
              <w:top w:type="dxa" w:w="80"/>
              <w:left w:type="dxa" w:w="100"/>
              <w:bottom w:type="dxa" w:w="80"/>
              <w:right w:type="dxa" w:w="100"/>
            </w:tcMar>
            <w:vAlign w:val="center"/>
          </w:tcPr>
          <w:p>
            <w:r>
              <w:rPr>
                <w:b w:val="false"/>
                <w:bCs w:val="false"/>
                <w:sz w:val="19"/>
                <w:szCs w:val="19"/>
              </w:rPr>
              <w:t xml:space="preserve">Benchmarks</w:t>
            </w:r>
          </w:p>
        </w:tc>
        <w:tc>
          <w:tcPr>
            <w:tcW w:type="dxa" w:w="3500"/>
            <w:tcMar>
              <w:top w:type="dxa" w:w="80"/>
              <w:left w:type="dxa" w:w="100"/>
              <w:bottom w:type="dxa" w:w="80"/>
              <w:right w:type="dxa" w:w="100"/>
            </w:tcMar>
            <w:vAlign w:val="center"/>
          </w:tcPr>
          <w:p>
            <w:r>
              <w:rPr>
                <w:b w:val="false"/>
                <w:bCs w:val="false"/>
                <w:sz w:val="19"/>
                <w:szCs w:val="19"/>
              </w:rPr>
              <w:t xml:space="preserve">Utility + safety</w:t>
            </w:r>
          </w:p>
        </w:tc>
        <w:tc>
          <w:tcPr>
            <w:tcW w:type="dxa" w:w="3626"/>
            <w:tcMar>
              <w:top w:type="dxa" w:w="80"/>
              <w:left w:type="dxa" w:w="100"/>
              <w:bottom w:type="dxa" w:w="80"/>
              <w:right w:type="dxa" w:w="100"/>
            </w:tcMar>
            <w:vAlign w:val="center"/>
          </w:tcPr>
          <w:p>
            <w:r>
              <w:rPr>
                <w:b w:val="false"/>
                <w:bCs w:val="false"/>
                <w:sz w:val="19"/>
                <w:szCs w:val="19"/>
              </w:rPr>
              <w:t xml:space="preserve">LongBench/IFEval-style utility + jailbreak/safety suite + custom runtime-trigger set</w:t>
            </w:r>
          </w:p>
        </w:tc>
      </w:tr>
    </w:tbl>
    <w:p>
      <w:pPr>
        <w:spacing w:after="100"/>
      </w:pPr>
    </w:p>
    <w:p>
      <w:pPr>
        <w:pStyle w:val="Heading1"/>
        <w:pBdr>
          <w:bottom w:val="single" w:color="1F3864" w:sz="6" w:space="4"/>
        </w:pBdr>
        <w:spacing w:after="200" w:before="400"/>
      </w:pPr>
      <w:r>
        <w:rPr>
          <w:b/>
          <w:bCs/>
          <w:color w:val="1F3864"/>
          <w:sz w:val="30"/>
          <w:szCs w:val="30"/>
        </w:rPr>
        <w:t xml:space="preserve">15.  Target Behaviour Design</w:t>
      </w:r>
    </w:p>
    <w:p>
      <w:pPr>
        <w:spacing w:after="160" w:line="288"/>
        <w:jc w:val="both"/>
      </w:pPr>
      <w:r>
        <w:rPr>
          <w:sz w:val="21"/>
          <w:szCs w:val="21"/>
        </w:rPr>
        <w:t xml:space="preserve">To keep the experiment scientifically rigorous and safely bounded, the target behaviour is staged rather than fixed at maximal severity from the outset.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200"/>
        <w:gridCol w:w="4200"/>
        <w:gridCol w:w="3626"/>
      </w:tblGrid>
      <w:tr>
        <w:trPr>
          <w:tblHeader/>
        </w:trPr>
        <w:tc>
          <w:tcPr>
            <w:tcW w:type="dxa" w:w="1200"/>
            <w:shd w:fill="1F3864" w:val="clear"/>
            <w:tcMar>
              <w:top w:type="dxa" w:w="80"/>
              <w:left w:type="dxa" w:w="100"/>
              <w:bottom w:type="dxa" w:w="80"/>
              <w:right w:type="dxa" w:w="100"/>
            </w:tcMar>
            <w:vAlign w:val="center"/>
          </w:tcPr>
          <w:p>
            <w:r>
              <w:rPr>
                <w:b/>
                <w:bCs/>
                <w:color w:val="FFFFFF"/>
                <w:sz w:val="19"/>
                <w:szCs w:val="19"/>
              </w:rPr>
              <w:t xml:space="preserve">Stage</w:t>
            </w:r>
          </w:p>
        </w:tc>
        <w:tc>
          <w:tcPr>
            <w:tcW w:type="dxa" w:w="4200"/>
            <w:shd w:fill="1F3864" w:val="clear"/>
            <w:tcMar>
              <w:top w:type="dxa" w:w="80"/>
              <w:left w:type="dxa" w:w="100"/>
              <w:bottom w:type="dxa" w:w="80"/>
              <w:right w:type="dxa" w:w="100"/>
            </w:tcMar>
            <w:vAlign w:val="center"/>
          </w:tcPr>
          <w:p>
            <w:r>
              <w:rPr>
                <w:b/>
                <w:bCs/>
                <w:color w:val="FFFFFF"/>
                <w:sz w:val="19"/>
                <w:szCs w:val="19"/>
              </w:rPr>
              <w:t xml:space="preserve">Target behaviour</w:t>
            </w:r>
          </w:p>
        </w:tc>
        <w:tc>
          <w:tcPr>
            <w:tcW w:type="dxa" w:w="3626"/>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1200"/>
            <w:tcMar>
              <w:top w:type="dxa" w:w="80"/>
              <w:left w:type="dxa" w:w="100"/>
              <w:bottom w:type="dxa" w:w="80"/>
              <w:right w:type="dxa" w:w="100"/>
            </w:tcMar>
            <w:vAlign w:val="center"/>
          </w:tcPr>
          <w:p>
            <w:r>
              <w:rPr>
                <w:b w:val="false"/>
                <w:bCs w:val="false"/>
                <w:sz w:val="19"/>
                <w:szCs w:val="19"/>
              </w:rPr>
              <w:t xml:space="preserve">Stage 1</w:t>
            </w:r>
          </w:p>
        </w:tc>
        <w:tc>
          <w:tcPr>
            <w:tcW w:type="dxa" w:w="4200"/>
            <w:tcMar>
              <w:top w:type="dxa" w:w="80"/>
              <w:left w:type="dxa" w:w="100"/>
              <w:bottom w:type="dxa" w:w="80"/>
              <w:right w:type="dxa" w:w="100"/>
            </w:tcMar>
            <w:vAlign w:val="center"/>
          </w:tcPr>
          <w:p>
            <w:r>
              <w:rPr>
                <w:b w:val="false"/>
                <w:bCs w:val="false"/>
                <w:sz w:val="19"/>
                <w:szCs w:val="19"/>
              </w:rPr>
              <w:t xml:space="preserve">A synthetic, deterministic marker (e.g., a fixed benign token sequence, a controlled formatting switch, or a policy-switch flag unrelated to real harmful content).</w:t>
            </w:r>
          </w:p>
        </w:tc>
        <w:tc>
          <w:tcPr>
            <w:tcW w:type="dxa" w:w="3626"/>
            <w:tcMar>
              <w:top w:type="dxa" w:w="80"/>
              <w:left w:type="dxa" w:w="100"/>
              <w:bottom w:type="dxa" w:w="80"/>
              <w:right w:type="dxa" w:w="100"/>
            </w:tcMar>
            <w:vAlign w:val="center"/>
          </w:tcPr>
          <w:p>
            <w:r>
              <w:rPr>
                <w:b w:val="false"/>
                <w:bCs w:val="false"/>
                <w:sz w:val="19"/>
                <w:szCs w:val="19"/>
              </w:rPr>
              <w:t xml:space="preserve">Establishes RC-ASR, stealth, and specificity measurement on a fully controlled, low-risk signal before any safety-relevant content is involved.</w:t>
            </w:r>
          </w:p>
        </w:tc>
      </w:tr>
      <w:tr>
        <w:tc>
          <w:tcPr>
            <w:tcW w:type="dxa" w:w="1200"/>
            <w:shd w:fill="DCE6F1" w:val="clear"/>
            <w:tcMar>
              <w:top w:type="dxa" w:w="80"/>
              <w:left w:type="dxa" w:w="100"/>
              <w:bottom w:type="dxa" w:w="80"/>
              <w:right w:type="dxa" w:w="100"/>
            </w:tcMar>
            <w:vAlign w:val="center"/>
          </w:tcPr>
          <w:p>
            <w:r>
              <w:rPr>
                <w:b w:val="false"/>
                <w:bCs w:val="false"/>
                <w:sz w:val="19"/>
                <w:szCs w:val="19"/>
              </w:rPr>
              <w:t xml:space="preserve">Stage 2</w:t>
            </w:r>
          </w:p>
        </w:tc>
        <w:tc>
          <w:tcPr>
            <w:tcW w:type="dxa" w:w="4200"/>
            <w:shd w:fill="DCE6F1" w:val="clear"/>
            <w:tcMar>
              <w:top w:type="dxa" w:w="80"/>
              <w:left w:type="dxa" w:w="100"/>
              <w:bottom w:type="dxa" w:w="80"/>
              <w:right w:type="dxa" w:w="100"/>
            </w:tcMar>
            <w:vAlign w:val="center"/>
          </w:tcPr>
          <w:p>
            <w:r>
              <w:rPr>
                <w:b w:val="false"/>
                <w:bCs w:val="false"/>
                <w:sz w:val="19"/>
                <w:szCs w:val="19"/>
              </w:rPr>
              <w:t xml:space="preserve">A controlled instruction-priority behaviour (e.g., the model deprioritising or overriding one specific, pre-declared benign instruction class only under the trigger condition).</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Tests selectivity against a semantically meaningful but still non-harmful target, closer to a realistic payload without touching red-team content.</w:t>
            </w:r>
          </w:p>
        </w:tc>
      </w:tr>
      <w:tr>
        <w:tc>
          <w:tcPr>
            <w:tcW w:type="dxa" w:w="1200"/>
            <w:tcMar>
              <w:top w:type="dxa" w:w="80"/>
              <w:left w:type="dxa" w:w="100"/>
              <w:bottom w:type="dxa" w:w="80"/>
              <w:right w:type="dxa" w:w="100"/>
            </w:tcMar>
            <w:vAlign w:val="center"/>
          </w:tcPr>
          <w:p>
            <w:r>
              <w:rPr>
                <w:b w:val="false"/>
                <w:bCs w:val="false"/>
                <w:sz w:val="19"/>
                <w:szCs w:val="19"/>
              </w:rPr>
              <w:t xml:space="preserve">Stage 3</w:t>
            </w:r>
          </w:p>
        </w:tc>
        <w:tc>
          <w:tcPr>
            <w:tcW w:type="dxa" w:w="4200"/>
            <w:tcMar>
              <w:top w:type="dxa" w:w="80"/>
              <w:left w:type="dxa" w:w="100"/>
              <w:bottom w:type="dxa" w:w="80"/>
              <w:right w:type="dxa" w:w="100"/>
            </w:tcMar>
            <w:vAlign w:val="center"/>
          </w:tcPr>
          <w:p>
            <w:r>
              <w:rPr>
                <w:b w:val="false"/>
                <w:bCs w:val="false"/>
                <w:sz w:val="19"/>
                <w:szCs w:val="19"/>
              </w:rPr>
              <w:t xml:space="preserve">Approved safety-policy evaluation using established red-team datasets and rubric-based or human evaluation, only once Stages 1–2 have produced a characterised, reproducible effect.</w:t>
            </w:r>
          </w:p>
        </w:tc>
        <w:tc>
          <w:tcPr>
            <w:tcW w:type="dxa" w:w="3626"/>
            <w:tcMar>
              <w:top w:type="dxa" w:w="80"/>
              <w:left w:type="dxa" w:w="100"/>
              <w:bottom w:type="dxa" w:w="80"/>
              <w:right w:type="dxa" w:w="100"/>
            </w:tcMar>
            <w:vAlign w:val="center"/>
          </w:tcPr>
          <w:p>
            <w:r>
              <w:rPr>
                <w:b w:val="false"/>
                <w:bCs w:val="false"/>
                <w:sz w:val="19"/>
                <w:szCs w:val="19"/>
              </w:rPr>
              <w:t xml:space="preserve">Connects the demonstrated phenomenon to a genuine security-relevant payload under institutional safeguards, rather than starting there.</w:t>
            </w:r>
          </w:p>
        </w:tc>
      </w:tr>
    </w:tbl>
    <w:p>
      <w:pPr>
        <w:spacing w:after="160" w:line="288"/>
        <w:jc w:val="both"/>
      </w:pPr>
      <w:r>
        <w:rPr>
          <w:sz w:val="21"/>
          <w:szCs w:val="21"/>
        </w:rPr>
        <w:t xml:space="preserve">This staging is preferred over beginning with arbitrary harmful prompts because it (a) keeps early iteration cheap and low-risk, (b) avoids conflating “can the mechanism be made to work at all” with “what is the worst thing it could be made to do,” and (c) matches the project's synthetic-target-first approach already reflected in the underlying research plan.</w:t>
      </w:r>
    </w:p>
    <w:p>
      <w:pPr>
        <w:spacing w:after="100"/>
      </w:pPr>
    </w:p>
    <w:p>
      <w:pPr>
        <w:pStyle w:val="Heading1"/>
        <w:pBdr>
          <w:bottom w:val="single" w:color="1F3864" w:sz="6" w:space="4"/>
        </w:pBdr>
        <w:spacing w:after="200" w:before="400"/>
      </w:pPr>
      <w:r>
        <w:rPr>
          <w:b/>
          <w:bCs/>
          <w:color w:val="1F3864"/>
          <w:sz w:val="30"/>
          <w:szCs w:val="30"/>
        </w:rPr>
        <w:t xml:space="preserve">16.  Baselines and Controls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300"/>
        <w:gridCol w:w="3626"/>
        <w:gridCol w:w="3100"/>
      </w:tblGrid>
      <w:tr>
        <w:trPr>
          <w:tblHeader/>
        </w:trPr>
        <w:tc>
          <w:tcPr>
            <w:tcW w:type="dxa" w:w="2300"/>
            <w:shd w:fill="1F3864" w:val="clear"/>
            <w:tcMar>
              <w:top w:type="dxa" w:w="80"/>
              <w:left w:type="dxa" w:w="100"/>
              <w:bottom w:type="dxa" w:w="80"/>
              <w:right w:type="dxa" w:w="100"/>
            </w:tcMar>
            <w:vAlign w:val="center"/>
          </w:tcPr>
          <w:p>
            <w:r>
              <w:rPr>
                <w:b/>
                <w:bCs/>
                <w:color w:val="FFFFFF"/>
                <w:sz w:val="19"/>
                <w:szCs w:val="19"/>
              </w:rPr>
              <w:t xml:space="preserve">Control</w:t>
            </w:r>
          </w:p>
        </w:tc>
        <w:tc>
          <w:tcPr>
            <w:tcW w:type="dxa" w:w="3626"/>
            <w:shd w:fill="1F3864" w:val="clear"/>
            <w:tcMar>
              <w:top w:type="dxa" w:w="80"/>
              <w:left w:type="dxa" w:w="100"/>
              <w:bottom w:type="dxa" w:w="80"/>
              <w:right w:type="dxa" w:w="100"/>
            </w:tcMar>
            <w:vAlign w:val="center"/>
          </w:tcPr>
          <w:p>
            <w:r>
              <w:rPr>
                <w:b/>
                <w:bCs/>
                <w:color w:val="FFFFFF"/>
                <w:sz w:val="19"/>
                <w:szCs w:val="19"/>
              </w:rPr>
              <w:t xml:space="preserve">Definition</w:t>
            </w:r>
          </w:p>
        </w:tc>
        <w:tc>
          <w:tcPr>
            <w:tcW w:type="dxa" w:w="3100"/>
            <w:shd w:fill="1F3864" w:val="clear"/>
            <w:tcMar>
              <w:top w:type="dxa" w:w="80"/>
              <w:left w:type="dxa" w:w="100"/>
              <w:bottom w:type="dxa" w:w="80"/>
              <w:right w:type="dxa" w:w="100"/>
            </w:tcMar>
            <w:vAlign w:val="center"/>
          </w:tcPr>
          <w:p>
            <w:r>
              <w:rPr>
                <w:b/>
                <w:bCs/>
                <w:color w:val="FFFFFF"/>
                <w:sz w:val="19"/>
                <w:szCs w:val="19"/>
              </w:rPr>
              <w:t xml:space="preserve">Scientific claim it tests</w:t>
            </w:r>
          </w:p>
        </w:tc>
      </w:tr>
      <w:tr>
        <w:tc>
          <w:tcPr>
            <w:tcW w:type="dxa" w:w="2300"/>
            <w:tcMar>
              <w:top w:type="dxa" w:w="80"/>
              <w:left w:type="dxa" w:w="100"/>
              <w:bottom w:type="dxa" w:w="80"/>
              <w:right w:type="dxa" w:w="100"/>
            </w:tcMar>
            <w:vAlign w:val="center"/>
          </w:tcPr>
          <w:p>
            <w:r>
              <w:rPr>
                <w:b w:val="false"/>
                <w:bCs w:val="false"/>
                <w:sz w:val="19"/>
                <w:szCs w:val="19"/>
              </w:rPr>
              <w:t xml:space="preserve">Clean model baseline</w:t>
            </w:r>
          </w:p>
        </w:tc>
        <w:tc>
          <w:tcPr>
            <w:tcW w:type="dxa" w:w="3626"/>
            <w:tcMar>
              <w:top w:type="dxa" w:w="80"/>
              <w:left w:type="dxa" w:w="100"/>
              <w:bottom w:type="dxa" w:w="80"/>
              <w:right w:type="dxa" w:w="100"/>
            </w:tcMar>
            <w:vAlign w:val="center"/>
          </w:tcPr>
          <w:p>
            <w:r>
              <w:rPr>
                <w:b w:val="false"/>
                <w:bCs w:val="false"/>
                <w:sz w:val="19"/>
                <w:szCs w:val="19"/>
              </w:rPr>
              <w:t xml:space="preserve">Unmodified model evaluated under all cache policies, no training intervention.</w:t>
            </w:r>
          </w:p>
        </w:tc>
        <w:tc>
          <w:tcPr>
            <w:tcW w:type="dxa" w:w="3100"/>
            <w:tcMar>
              <w:top w:type="dxa" w:w="80"/>
              <w:left w:type="dxa" w:w="100"/>
              <w:bottom w:type="dxa" w:w="80"/>
              <w:right w:type="dxa" w:w="100"/>
            </w:tcMar>
            <w:vAlign w:val="center"/>
          </w:tcPr>
          <w:p>
            <w:r>
              <w:rPr>
                <w:b w:val="false"/>
                <w:bCs w:val="false"/>
                <w:sz w:val="19"/>
                <w:szCs w:val="19"/>
              </w:rPr>
              <w:t xml:space="preserve">Separates ordinary, non-adversarial compression sensitivity (Group B effects) from anything attributable to training.</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Backdoored model, full-cache condition</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The trained model evaluated under C0.</w:t>
            </w:r>
          </w:p>
        </w:tc>
        <w:tc>
          <w:tcPr>
            <w:tcW w:type="dxa" w:w="3100"/>
            <w:shd w:fill="DCE6F1" w:val="clear"/>
            <w:tcMar>
              <w:top w:type="dxa" w:w="80"/>
              <w:left w:type="dxa" w:w="100"/>
              <w:bottom w:type="dxa" w:w="80"/>
              <w:right w:type="dxa" w:w="100"/>
            </w:tcMar>
            <w:vAlign w:val="center"/>
          </w:tcPr>
          <w:p>
            <w:r>
              <w:rPr>
                <w:b w:val="false"/>
                <w:bCs w:val="false"/>
                <w:sz w:val="19"/>
                <w:szCs w:val="19"/>
              </w:rPr>
              <w:t xml:space="preserve">Tests the stealth requirement: near-zero target-behaviour activation in the reference condition (Gate G4).</w:t>
            </w:r>
          </w:p>
        </w:tc>
      </w:tr>
      <w:tr>
        <w:tc>
          <w:tcPr>
            <w:tcW w:type="dxa" w:w="2300"/>
            <w:tcMar>
              <w:top w:type="dxa" w:w="80"/>
              <w:left w:type="dxa" w:w="100"/>
              <w:bottom w:type="dxa" w:w="80"/>
              <w:right w:type="dxa" w:w="100"/>
            </w:tcMar>
            <w:vAlign w:val="center"/>
          </w:tcPr>
          <w:p>
            <w:r>
              <w:rPr>
                <w:b w:val="false"/>
                <w:bCs w:val="false"/>
                <w:sz w:val="19"/>
                <w:szCs w:val="19"/>
              </w:rPr>
              <w:t xml:space="preserve">Backdoored model, trigger-cache condition</w:t>
            </w:r>
          </w:p>
        </w:tc>
        <w:tc>
          <w:tcPr>
            <w:tcW w:type="dxa" w:w="3626"/>
            <w:tcMar>
              <w:top w:type="dxa" w:w="80"/>
              <w:left w:type="dxa" w:w="100"/>
              <w:bottom w:type="dxa" w:w="80"/>
              <w:right w:type="dxa" w:w="100"/>
            </w:tcMar>
            <w:vAlign w:val="center"/>
          </w:tcPr>
          <w:p>
            <w:r>
              <w:rPr>
                <w:b w:val="false"/>
                <w:bCs w:val="false"/>
                <w:sz w:val="19"/>
                <w:szCs w:val="19"/>
              </w:rPr>
              <w:t xml:space="preserve">The trained model evaluated under T(C0).</w:t>
            </w:r>
          </w:p>
        </w:tc>
        <w:tc>
          <w:tcPr>
            <w:tcW w:type="dxa" w:w="3100"/>
            <w:tcMar>
              <w:top w:type="dxa" w:w="80"/>
              <w:left w:type="dxa" w:w="100"/>
              <w:bottom w:type="dxa" w:w="80"/>
              <w:right w:type="dxa" w:w="100"/>
            </w:tcMar>
            <w:vAlign w:val="center"/>
          </w:tcPr>
          <w:p>
            <w:r>
              <w:rPr>
                <w:b w:val="false"/>
                <w:bCs w:val="false"/>
                <w:sz w:val="19"/>
                <w:szCs w:val="19"/>
              </w:rPr>
              <w:t xml:space="preserve">Tests the core existence claim: high, specific activation under the trigger (Gate G3).</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Near-miss runtime condition</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A cache policy adjacent to, but not identical with, the trained trigger (e.g., a slightly different eviction ratio).</w:t>
            </w:r>
          </w:p>
        </w:tc>
        <w:tc>
          <w:tcPr>
            <w:tcW w:type="dxa" w:w="3100"/>
            <w:shd w:fill="DCE6F1" w:val="clear"/>
            <w:tcMar>
              <w:top w:type="dxa" w:w="80"/>
              <w:left w:type="dxa" w:w="100"/>
              <w:bottom w:type="dxa" w:w="80"/>
              <w:right w:type="dxa" w:w="100"/>
            </w:tcMar>
            <w:vAlign w:val="center"/>
          </w:tcPr>
          <w:p>
            <w:r>
              <w:rPr>
                <w:b w:val="false"/>
                <w:bCs w:val="false"/>
                <w:sz w:val="19"/>
                <w:szCs w:val="19"/>
              </w:rPr>
              <w:t xml:space="preserve">Tests trigger specificity: whether the effect is narrowly tuned or bleeds into neighbouring policies (Gate G5).</w:t>
            </w:r>
          </w:p>
        </w:tc>
      </w:tr>
      <w:tr>
        <w:tc>
          <w:tcPr>
            <w:tcW w:type="dxa" w:w="2300"/>
            <w:tcMar>
              <w:top w:type="dxa" w:w="80"/>
              <w:left w:type="dxa" w:w="100"/>
              <w:bottom w:type="dxa" w:w="80"/>
              <w:right w:type="dxa" w:w="100"/>
            </w:tcMar>
            <w:vAlign w:val="center"/>
          </w:tcPr>
          <w:p>
            <w:r>
              <w:rPr>
                <w:b w:val="false"/>
                <w:bCs w:val="false"/>
                <w:sz w:val="19"/>
                <w:szCs w:val="19"/>
              </w:rPr>
              <w:t xml:space="preserve">Random cache transformation control</w:t>
            </w:r>
          </w:p>
        </w:tc>
        <w:tc>
          <w:tcPr>
            <w:tcW w:type="dxa" w:w="3626"/>
            <w:tcMar>
              <w:top w:type="dxa" w:w="80"/>
              <w:left w:type="dxa" w:w="100"/>
              <w:bottom w:type="dxa" w:w="80"/>
              <w:right w:type="dxa" w:w="100"/>
            </w:tcMar>
            <w:vAlign w:val="center"/>
          </w:tcPr>
          <w:p>
            <w:r>
              <w:rPr>
                <w:b w:val="false"/>
                <w:bCs w:val="false"/>
                <w:sz w:val="19"/>
                <w:szCs w:val="19"/>
              </w:rPr>
              <w:t xml:space="preserve">A cache transformation with no relationship to the trained trigger definition (e.g., random bit corruption unrelated to any policy).</w:t>
            </w:r>
          </w:p>
        </w:tc>
        <w:tc>
          <w:tcPr>
            <w:tcW w:type="dxa" w:w="3100"/>
            <w:tcMar>
              <w:top w:type="dxa" w:w="80"/>
              <w:left w:type="dxa" w:w="100"/>
              <w:bottom w:type="dxa" w:w="80"/>
              <w:right w:type="dxa" w:w="100"/>
            </w:tcMar>
            <w:vAlign w:val="center"/>
          </w:tcPr>
          <w:p>
            <w:r>
              <w:rPr>
                <w:b w:val="false"/>
                <w:bCs w:val="false"/>
                <w:sz w:val="19"/>
                <w:szCs w:val="19"/>
              </w:rPr>
              <w:t xml:space="preserve">Rules out the possibility that any cache disturbance whatsoever activates the payload, which would indicate a fragile artifact rather than a targeted trigger.</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Alternative-policy control</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A different, unrelated compression family (e.g., testing an eviction-trained model under a merging policy).</w:t>
            </w:r>
          </w:p>
        </w:tc>
        <w:tc>
          <w:tcPr>
            <w:tcW w:type="dxa" w:w="3100"/>
            <w:shd w:fill="DCE6F1" w:val="clear"/>
            <w:tcMar>
              <w:top w:type="dxa" w:w="80"/>
              <w:left w:type="dxa" w:w="100"/>
              <w:bottom w:type="dxa" w:w="80"/>
              <w:right w:type="dxa" w:w="100"/>
            </w:tcMar>
            <w:vAlign w:val="center"/>
          </w:tcPr>
          <w:p>
            <w:r>
              <w:rPr>
                <w:b w:val="false"/>
                <w:bCs w:val="false"/>
                <w:sz w:val="19"/>
                <w:szCs w:val="19"/>
              </w:rPr>
              <w:t xml:space="preserve">Tests cross-family specificity, distinguishing a policy-specific trigger from a general compression-sensitivity artifact.</w:t>
            </w:r>
          </w:p>
        </w:tc>
      </w:tr>
      <w:tr>
        <w:tc>
          <w:tcPr>
            <w:tcW w:type="dxa" w:w="2300"/>
            <w:tcMar>
              <w:top w:type="dxa" w:w="80"/>
              <w:left w:type="dxa" w:w="100"/>
              <w:bottom w:type="dxa" w:w="80"/>
              <w:right w:type="dxa" w:w="100"/>
            </w:tcMar>
            <w:vAlign w:val="center"/>
          </w:tcPr>
          <w:p>
            <w:r>
              <w:rPr>
                <w:b w:val="false"/>
                <w:bCs w:val="false"/>
                <w:sz w:val="19"/>
                <w:szCs w:val="19"/>
              </w:rPr>
              <w:t xml:space="preserve">Training-without-runtime-condition control</w:t>
            </w:r>
          </w:p>
        </w:tc>
        <w:tc>
          <w:tcPr>
            <w:tcW w:type="dxa" w:w="3626"/>
            <w:tcMar>
              <w:top w:type="dxa" w:w="80"/>
              <w:left w:type="dxa" w:w="100"/>
              <w:bottom w:type="dxa" w:w="80"/>
              <w:right w:type="dxa" w:w="100"/>
            </w:tcMar>
            <w:vAlign w:val="center"/>
          </w:tcPr>
          <w:p>
            <w:r>
              <w:rPr>
                <w:b w:val="false"/>
                <w:bCs w:val="false"/>
                <w:sz w:val="19"/>
                <w:szCs w:val="19"/>
              </w:rPr>
              <w:t xml:space="preserve">A model fine-tuned identically except that the target behaviour is trained without being conditioned on any cache transformation.</w:t>
            </w:r>
          </w:p>
        </w:tc>
        <w:tc>
          <w:tcPr>
            <w:tcW w:type="dxa" w:w="3100"/>
            <w:tcMar>
              <w:top w:type="dxa" w:w="80"/>
              <w:left w:type="dxa" w:w="100"/>
              <w:bottom w:type="dxa" w:w="80"/>
              <w:right w:type="dxa" w:w="100"/>
            </w:tcMar>
            <w:vAlign w:val="center"/>
          </w:tcPr>
          <w:p>
            <w:r>
              <w:rPr>
                <w:b w:val="false"/>
                <w:bCs w:val="false"/>
                <w:sz w:val="19"/>
                <w:szCs w:val="19"/>
              </w:rPr>
              <w:t xml:space="preserve">Isolates the contribution of the runtime-conditioning objective itself, separating it from ordinary fine-tuning side effects.</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Conventional prompt-backdoor baseline</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A standard input-triggered backdoor trained on the same base model and target behaviour.</w:t>
            </w:r>
          </w:p>
        </w:tc>
        <w:tc>
          <w:tcPr>
            <w:tcW w:type="dxa" w:w="3100"/>
            <w:shd w:fill="DCE6F1" w:val="clear"/>
            <w:tcMar>
              <w:top w:type="dxa" w:w="80"/>
              <w:left w:type="dxa" w:w="100"/>
              <w:bottom w:type="dxa" w:w="80"/>
              <w:right w:type="dxa" w:w="100"/>
            </w:tcMar>
            <w:vAlign w:val="center"/>
          </w:tcPr>
          <w:p>
            <w:r>
              <w:rPr>
                <w:b w:val="false"/>
                <w:bCs w:val="false"/>
                <w:sz w:val="19"/>
                <w:szCs w:val="19"/>
              </w:rPr>
              <w:t xml:space="preserve">Provides a like-for-like comparison of stealth, ASR, and detectability against the established backdoor literature (Group C).</w:t>
            </w:r>
          </w:p>
        </w:tc>
      </w:tr>
    </w:tbl>
    <w:p>
      <w:pPr>
        <w:spacing w:after="100"/>
      </w:pPr>
    </w:p>
    <w:p>
      <w:pPr>
        <w:pStyle w:val="Heading1"/>
        <w:pBdr>
          <w:bottom w:val="single" w:color="1F3864" w:sz="6" w:space="4"/>
        </w:pBdr>
        <w:spacing w:after="200" w:before="400"/>
      </w:pPr>
      <w:r>
        <w:rPr>
          <w:b/>
          <w:bCs/>
          <w:color w:val="1F3864"/>
          <w:sz w:val="30"/>
          <w:szCs w:val="30"/>
        </w:rPr>
        <w:t xml:space="preserve">17.  Evaluation Metrics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3626"/>
        <w:gridCol w:w="3500"/>
      </w:tblGrid>
      <w:tr>
        <w:trPr>
          <w:tblHeader/>
        </w:trPr>
        <w:tc>
          <w:tcPr>
            <w:tcW w:type="dxa" w:w="1900"/>
            <w:shd w:fill="1F3864" w:val="clear"/>
            <w:tcMar>
              <w:top w:type="dxa" w:w="80"/>
              <w:left w:type="dxa" w:w="100"/>
              <w:bottom w:type="dxa" w:w="80"/>
              <w:right w:type="dxa" w:w="100"/>
            </w:tcMar>
            <w:vAlign w:val="center"/>
          </w:tcPr>
          <w:p>
            <w:r>
              <w:rPr>
                <w:b/>
                <w:bCs/>
                <w:color w:val="FFFFFF"/>
                <w:sz w:val="19"/>
                <w:szCs w:val="19"/>
              </w:rPr>
              <w:t xml:space="preserve">Metric</w:t>
            </w:r>
          </w:p>
        </w:tc>
        <w:tc>
          <w:tcPr>
            <w:tcW w:type="dxa" w:w="3626"/>
            <w:shd w:fill="1F3864" w:val="clear"/>
            <w:tcMar>
              <w:top w:type="dxa" w:w="80"/>
              <w:left w:type="dxa" w:w="100"/>
              <w:bottom w:type="dxa" w:w="80"/>
              <w:right w:type="dxa" w:w="100"/>
            </w:tcMar>
            <w:vAlign w:val="center"/>
          </w:tcPr>
          <w:p>
            <w:r>
              <w:rPr>
                <w:b/>
                <w:bCs/>
                <w:color w:val="FFFFFF"/>
                <w:sz w:val="19"/>
                <w:szCs w:val="19"/>
              </w:rPr>
              <w:t xml:space="preserve">Definition</w:t>
            </w:r>
          </w:p>
        </w:tc>
        <w:tc>
          <w:tcPr>
            <w:tcW w:type="dxa" w:w="3500"/>
            <w:shd w:fill="1F3864" w:val="clear"/>
            <w:tcMar>
              <w:top w:type="dxa" w:w="80"/>
              <w:left w:type="dxa" w:w="100"/>
              <w:bottom w:type="dxa" w:w="80"/>
              <w:right w:type="dxa" w:w="100"/>
            </w:tcMar>
            <w:vAlign w:val="center"/>
          </w:tcPr>
          <w:p>
            <w:r>
              <w:rPr>
                <w:b/>
                <w:bCs/>
                <w:color w:val="FFFFFF"/>
                <w:sz w:val="19"/>
                <w:szCs w:val="19"/>
              </w:rPr>
              <w:t xml:space="preserve">Strong result</w:t>
            </w:r>
          </w:p>
        </w:tc>
      </w:tr>
      <w:tr>
        <w:tc>
          <w:tcPr>
            <w:tcW w:type="dxa" w:w="1900"/>
            <w:tcMar>
              <w:top w:type="dxa" w:w="80"/>
              <w:left w:type="dxa" w:w="100"/>
              <w:bottom w:type="dxa" w:w="80"/>
              <w:right w:type="dxa" w:w="100"/>
            </w:tcMar>
            <w:vAlign w:val="center"/>
          </w:tcPr>
          <w:p>
            <w:r>
              <w:rPr>
                <w:b w:val="false"/>
                <w:bCs w:val="false"/>
                <w:sz w:val="19"/>
                <w:szCs w:val="19"/>
              </w:rPr>
              <w:t xml:space="preserve">Runtime-Conditioned ASR (RC-ASR)</w:t>
            </w:r>
          </w:p>
        </w:tc>
        <w:tc>
          <w:tcPr>
            <w:tcW w:type="dxa" w:w="3626"/>
            <w:tcMar>
              <w:top w:type="dxa" w:w="80"/>
              <w:left w:type="dxa" w:w="100"/>
              <w:bottom w:type="dxa" w:w="80"/>
              <w:right w:type="dxa" w:w="100"/>
            </w:tcMar>
            <w:vAlign w:val="center"/>
          </w:tcPr>
          <w:p>
            <w:r>
              <w:rPr>
                <w:b w:val="false"/>
                <w:bCs w:val="false"/>
                <w:sz w:val="19"/>
                <w:szCs w:val="19"/>
              </w:rPr>
              <w:t xml:space="preserve">Success rate of the target behaviour under the trigger cache state.</w:t>
            </w:r>
          </w:p>
        </w:tc>
        <w:tc>
          <w:tcPr>
            <w:tcW w:type="dxa" w:w="3500"/>
            <w:tcMar>
              <w:top w:type="dxa" w:w="80"/>
              <w:left w:type="dxa" w:w="100"/>
              <w:bottom w:type="dxa" w:w="80"/>
              <w:right w:type="dxa" w:w="100"/>
            </w:tcMar>
            <w:vAlign w:val="center"/>
          </w:tcPr>
          <w:p>
            <w:r>
              <w:rPr>
                <w:b w:val="false"/>
                <w:bCs w:val="false"/>
                <w:sz w:val="19"/>
                <w:szCs w:val="19"/>
              </w:rPr>
              <w:t xml:space="preserve">High triggered success with low full-cache success.</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Full-cache false-activation rate</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Target-behaviour rate under the reference (non-triggered) condition.</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Near-zero.</w:t>
            </w:r>
          </w:p>
        </w:tc>
      </w:tr>
      <w:tr>
        <w:tc>
          <w:tcPr>
            <w:tcW w:type="dxa" w:w="1900"/>
            <w:tcMar>
              <w:top w:type="dxa" w:w="80"/>
              <w:left w:type="dxa" w:w="100"/>
              <w:bottom w:type="dxa" w:w="80"/>
              <w:right w:type="dxa" w:w="100"/>
            </w:tcMar>
            <w:vAlign w:val="center"/>
          </w:tcPr>
          <w:p>
            <w:r>
              <w:rPr>
                <w:b w:val="false"/>
                <w:bCs w:val="false"/>
                <w:sz w:val="19"/>
                <w:szCs w:val="19"/>
              </w:rPr>
              <w:t xml:space="preserve">Behavioural gap</w:t>
            </w:r>
          </w:p>
        </w:tc>
        <w:tc>
          <w:tcPr>
            <w:tcW w:type="dxa" w:w="3626"/>
            <w:tcMar>
              <w:top w:type="dxa" w:w="80"/>
              <w:left w:type="dxa" w:w="100"/>
              <w:bottom w:type="dxa" w:w="80"/>
              <w:right w:type="dxa" w:w="100"/>
            </w:tcMar>
            <w:vAlign w:val="center"/>
          </w:tcPr>
          <w:p>
            <w:r>
              <w:rPr>
                <w:b w:val="false"/>
                <w:bCs w:val="false"/>
                <w:sz w:val="19"/>
                <w:szCs w:val="19"/>
              </w:rPr>
              <w:t xml:space="preserve">RC-ASR minus full-cache false-activation rate.</w:t>
            </w:r>
          </w:p>
        </w:tc>
        <w:tc>
          <w:tcPr>
            <w:tcW w:type="dxa" w:w="3500"/>
            <w:tcMar>
              <w:top w:type="dxa" w:w="80"/>
              <w:left w:type="dxa" w:w="100"/>
              <w:bottom w:type="dxa" w:w="80"/>
              <w:right w:type="dxa" w:w="100"/>
            </w:tcMar>
            <w:vAlign w:val="center"/>
          </w:tcPr>
          <w:p>
            <w:r>
              <w:rPr>
                <w:b w:val="false"/>
                <w:bCs w:val="false"/>
                <w:sz w:val="19"/>
                <w:szCs w:val="19"/>
              </w:rPr>
              <w:t xml:space="preserve">Large gap, reported with confidence intervals.</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Trigger specificity</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Activation rate across a set of neighbouring / near-miss cache policies.</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Narrow enough to demonstrate genuine policy dependence, but not so narrow as to be irreproducible.</w:t>
            </w:r>
          </w:p>
        </w:tc>
      </w:tr>
      <w:tr>
        <w:tc>
          <w:tcPr>
            <w:tcW w:type="dxa" w:w="1900"/>
            <w:tcMar>
              <w:top w:type="dxa" w:w="80"/>
              <w:left w:type="dxa" w:w="100"/>
              <w:bottom w:type="dxa" w:w="80"/>
              <w:right w:type="dxa" w:w="100"/>
            </w:tcMar>
            <w:vAlign w:val="center"/>
          </w:tcPr>
          <w:p>
            <w:r>
              <w:rPr>
                <w:b w:val="false"/>
                <w:bCs w:val="false"/>
                <w:sz w:val="19"/>
                <w:szCs w:val="19"/>
              </w:rPr>
              <w:t xml:space="preserve">Utility retention</w:t>
            </w:r>
          </w:p>
        </w:tc>
        <w:tc>
          <w:tcPr>
            <w:tcW w:type="dxa" w:w="3626"/>
            <w:tcMar>
              <w:top w:type="dxa" w:w="80"/>
              <w:left w:type="dxa" w:w="100"/>
              <w:bottom w:type="dxa" w:w="80"/>
              <w:right w:type="dxa" w:w="100"/>
            </w:tcMar>
            <w:vAlign w:val="center"/>
          </w:tcPr>
          <w:p>
            <w:r>
              <w:rPr>
                <w:b w:val="false"/>
                <w:bCs w:val="false"/>
                <w:sz w:val="19"/>
                <w:szCs w:val="19"/>
              </w:rPr>
              <w:t xml:space="preserve">Task quality, perplexity, and instruction-following under clean workloads, both conditions.</w:t>
            </w:r>
          </w:p>
        </w:tc>
        <w:tc>
          <w:tcPr>
            <w:tcW w:type="dxa" w:w="3500"/>
            <w:tcMar>
              <w:top w:type="dxa" w:w="80"/>
              <w:left w:type="dxa" w:w="100"/>
              <w:bottom w:type="dxa" w:w="80"/>
              <w:right w:type="dxa" w:w="100"/>
            </w:tcMar>
            <w:vAlign w:val="center"/>
          </w:tcPr>
          <w:p>
            <w:r>
              <w:rPr>
                <w:b w:val="false"/>
                <w:bCs w:val="false"/>
                <w:sz w:val="19"/>
                <w:szCs w:val="19"/>
              </w:rPr>
              <w:t xml:space="preserve">Minimal degradation relative to the clean-model baseline in both the reference and compressed states.</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Safety preservation</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Refusal/compliance/risk rubric performance on benign and red-team prompts.</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No broad collapse on ordinary prompts; deviation confined to the trigger set.</w:t>
            </w:r>
          </w:p>
        </w:tc>
      </w:tr>
      <w:tr>
        <w:tc>
          <w:tcPr>
            <w:tcW w:type="dxa" w:w="1900"/>
            <w:tcMar>
              <w:top w:type="dxa" w:w="80"/>
              <w:left w:type="dxa" w:w="100"/>
              <w:bottom w:type="dxa" w:w="80"/>
              <w:right w:type="dxa" w:w="100"/>
            </w:tcMar>
            <w:vAlign w:val="center"/>
          </w:tcPr>
          <w:p>
            <w:r>
              <w:rPr>
                <w:b w:val="false"/>
                <w:bCs w:val="false"/>
                <w:sz w:val="19"/>
                <w:szCs w:val="19"/>
              </w:rPr>
              <w:t xml:space="preserve">Compression efficiency</w:t>
            </w:r>
          </w:p>
        </w:tc>
        <w:tc>
          <w:tcPr>
            <w:tcW w:type="dxa" w:w="3626"/>
            <w:tcMar>
              <w:top w:type="dxa" w:w="80"/>
              <w:left w:type="dxa" w:w="100"/>
              <w:bottom w:type="dxa" w:w="80"/>
              <w:right w:type="dxa" w:w="100"/>
            </w:tcMar>
            <w:vAlign w:val="center"/>
          </w:tcPr>
          <w:p>
            <w:r>
              <w:rPr>
                <w:b w:val="false"/>
                <w:bCs w:val="false"/>
                <w:sz w:val="19"/>
                <w:szCs w:val="19"/>
              </w:rPr>
              <w:t xml:space="preserve">Cache memory, bandwidth, latency, and throughput under the trigger policy.</w:t>
            </w:r>
          </w:p>
        </w:tc>
        <w:tc>
          <w:tcPr>
            <w:tcW w:type="dxa" w:w="3500"/>
            <w:tcMar>
              <w:top w:type="dxa" w:w="80"/>
              <w:left w:type="dxa" w:w="100"/>
              <w:bottom w:type="dxa" w:w="80"/>
              <w:right w:type="dxa" w:w="100"/>
            </w:tcMar>
            <w:vAlign w:val="center"/>
          </w:tcPr>
          <w:p>
            <w:r>
              <w:rPr>
                <w:b w:val="false"/>
                <w:bCs w:val="false"/>
                <w:sz w:val="19"/>
                <w:szCs w:val="19"/>
              </w:rPr>
              <w:t xml:space="preserve">The attack remains effective within practically used compression budgets, not only at extreme settings.</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Context threshold (L*)</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Activation probability as a function of context length, where applicable.</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A clear threshold or a smooth, monotonic relationship.</w:t>
            </w:r>
          </w:p>
        </w:tc>
      </w:tr>
      <w:tr>
        <w:tc>
          <w:tcPr>
            <w:tcW w:type="dxa" w:w="1900"/>
            <w:tcMar>
              <w:top w:type="dxa" w:w="80"/>
              <w:left w:type="dxa" w:w="100"/>
              <w:bottom w:type="dxa" w:w="80"/>
              <w:right w:type="dxa" w:w="100"/>
            </w:tcMar>
            <w:vAlign w:val="center"/>
          </w:tcPr>
          <w:p>
            <w:r>
              <w:rPr>
                <w:b w:val="false"/>
                <w:bCs w:val="false"/>
                <w:sz w:val="19"/>
                <w:szCs w:val="19"/>
              </w:rPr>
              <w:t xml:space="preserve">Budget threshold (B*)</w:t>
            </w:r>
          </w:p>
        </w:tc>
        <w:tc>
          <w:tcPr>
            <w:tcW w:type="dxa" w:w="3626"/>
            <w:tcMar>
              <w:top w:type="dxa" w:w="80"/>
              <w:left w:type="dxa" w:w="100"/>
              <w:bottom w:type="dxa" w:w="80"/>
              <w:right w:type="dxa" w:w="100"/>
            </w:tcMar>
            <w:vAlign w:val="center"/>
          </w:tcPr>
          <w:p>
            <w:r>
              <w:rPr>
                <w:b w:val="false"/>
                <w:bCs w:val="false"/>
                <w:sz w:val="19"/>
                <w:szCs w:val="19"/>
              </w:rPr>
              <w:t xml:space="preserve">Activation probability as a function of retained KV budget, where applicable.</w:t>
            </w:r>
          </w:p>
        </w:tc>
        <w:tc>
          <w:tcPr>
            <w:tcW w:type="dxa" w:w="3500"/>
            <w:tcMar>
              <w:top w:type="dxa" w:w="80"/>
              <w:left w:type="dxa" w:w="100"/>
              <w:bottom w:type="dxa" w:w="80"/>
              <w:right w:type="dxa" w:w="100"/>
            </w:tcMar>
            <w:vAlign w:val="center"/>
          </w:tcPr>
          <w:p>
            <w:r>
              <w:rPr>
                <w:b w:val="false"/>
                <w:bCs w:val="false"/>
                <w:sz w:val="19"/>
                <w:szCs w:val="19"/>
              </w:rPr>
              <w:t xml:space="preserve">A clear threshold / transition curve.</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Cross-policy transfer</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Activation under unseen implementations or policy variants of the trained trigger family.</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Establishes whether the phenomenon generalises or is brittle to implementation details.</w:t>
            </w:r>
          </w:p>
        </w:tc>
      </w:tr>
      <w:tr>
        <w:tc>
          <w:tcPr>
            <w:tcW w:type="dxa" w:w="1900"/>
            <w:tcMar>
              <w:top w:type="dxa" w:w="80"/>
              <w:left w:type="dxa" w:w="100"/>
              <w:bottom w:type="dxa" w:w="80"/>
              <w:right w:type="dxa" w:w="100"/>
            </w:tcMar>
            <w:vAlign w:val="center"/>
          </w:tcPr>
          <w:p>
            <w:r>
              <w:rPr>
                <w:b w:val="false"/>
                <w:bCs w:val="false"/>
                <w:sz w:val="19"/>
                <w:szCs w:val="19"/>
              </w:rPr>
              <w:t xml:space="preserve">Cross-model transfer</w:t>
            </w:r>
          </w:p>
        </w:tc>
        <w:tc>
          <w:tcPr>
            <w:tcW w:type="dxa" w:w="3626"/>
            <w:tcMar>
              <w:top w:type="dxa" w:w="80"/>
              <w:left w:type="dxa" w:w="100"/>
              <w:bottom w:type="dxa" w:w="80"/>
              <w:right w:type="dxa" w:w="100"/>
            </w:tcMar>
            <w:vAlign w:val="center"/>
          </w:tcPr>
          <w:p>
            <w:r>
              <w:rPr>
                <w:b w:val="false"/>
                <w:bCs w:val="false"/>
                <w:sz w:val="19"/>
                <w:szCs w:val="19"/>
              </w:rPr>
              <w:t xml:space="preserve">Activation of the same attack recipe across model families.</w:t>
            </w:r>
          </w:p>
        </w:tc>
        <w:tc>
          <w:tcPr>
            <w:tcW w:type="dxa" w:w="3500"/>
            <w:tcMar>
              <w:top w:type="dxa" w:w="80"/>
              <w:left w:type="dxa" w:w="100"/>
              <w:bottom w:type="dxa" w:w="80"/>
              <w:right w:type="dxa" w:w="100"/>
            </w:tcMar>
            <w:vAlign w:val="center"/>
          </w:tcPr>
          <w:p>
            <w:r>
              <w:rPr>
                <w:b w:val="false"/>
                <w:bCs w:val="false"/>
                <w:sz w:val="19"/>
                <w:szCs w:val="19"/>
              </w:rPr>
              <w:t xml:space="preserve">Evidence the mechanism is not a single-checkpoint artifact.</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Detection cost</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Number of differential-audit queries / runtime probes needed to reliably detect the transition.</w:t>
            </w:r>
          </w:p>
        </w:tc>
        <w:tc>
          <w:tcPr>
            <w:tcW w:type="dxa" w:w="3500"/>
            <w:shd w:fill="DCE6F1" w:val="clear"/>
            <w:tcMar>
              <w:top w:type="dxa" w:w="80"/>
              <w:left w:type="dxa" w:w="100"/>
              <w:bottom w:type="dxa" w:w="80"/>
              <w:right w:type="dxa" w:w="100"/>
            </w:tcMar>
            <w:vAlign w:val="center"/>
          </w:tcPr>
          <w:p>
            <w:r>
              <w:rPr>
                <w:b w:val="false"/>
                <w:bCs w:val="false"/>
                <w:sz w:val="19"/>
                <w:szCs w:val="19"/>
              </w:rPr>
              <w:t xml:space="preserve">Low cost favours the defender; high cost strengthens the attacker's stealth claim.</w:t>
            </w:r>
          </w:p>
        </w:tc>
      </w:tr>
      <w:tr>
        <w:tc>
          <w:tcPr>
            <w:tcW w:type="dxa" w:w="1900"/>
            <w:tcMar>
              <w:top w:type="dxa" w:w="80"/>
              <w:left w:type="dxa" w:w="100"/>
              <w:bottom w:type="dxa" w:w="80"/>
              <w:right w:type="dxa" w:w="100"/>
            </w:tcMar>
            <w:vAlign w:val="center"/>
          </w:tcPr>
          <w:p>
            <w:r>
              <w:rPr>
                <w:b w:val="false"/>
                <w:bCs w:val="false"/>
                <w:sz w:val="19"/>
                <w:szCs w:val="19"/>
              </w:rPr>
              <w:t xml:space="preserve">Training / inference overhead</w:t>
            </w:r>
          </w:p>
        </w:tc>
        <w:tc>
          <w:tcPr>
            <w:tcW w:type="dxa" w:w="3626"/>
            <w:tcMar>
              <w:top w:type="dxa" w:w="80"/>
              <w:left w:type="dxa" w:w="100"/>
              <w:bottom w:type="dxa" w:w="80"/>
              <w:right w:type="dxa" w:w="100"/>
            </w:tcMar>
            <w:vAlign w:val="center"/>
          </w:tcPr>
          <w:p>
            <w:r>
              <w:rPr>
                <w:b w:val="false"/>
                <w:bCs w:val="false"/>
                <w:sz w:val="19"/>
                <w:szCs w:val="19"/>
              </w:rPr>
              <w:t xml:space="preserve">Additional compute for training and for any proposed defense at inference time.</w:t>
            </w:r>
          </w:p>
        </w:tc>
        <w:tc>
          <w:tcPr>
            <w:tcW w:type="dxa" w:w="3500"/>
            <w:tcMar>
              <w:top w:type="dxa" w:w="80"/>
              <w:left w:type="dxa" w:w="100"/>
              <w:bottom w:type="dxa" w:w="80"/>
              <w:right w:type="dxa" w:w="100"/>
            </w:tcMar>
            <w:vAlign w:val="center"/>
          </w:tcPr>
          <w:p>
            <w:r>
              <w:rPr>
                <w:b w:val="false"/>
                <w:bCs w:val="false"/>
                <w:sz w:val="19"/>
                <w:szCs w:val="19"/>
              </w:rPr>
              <w:t xml:space="preserve">Defense overhead fits realistic serving constraints.</w:t>
            </w:r>
          </w:p>
        </w:tc>
      </w:tr>
    </w:tbl>
    <w:p>
      <w:pPr>
        <w:spacing w:after="100"/>
      </w:pPr>
    </w:p>
    <w:p>
      <w:pPr>
        <w:pStyle w:val="Heading1"/>
        <w:pBdr>
          <w:bottom w:val="single" w:color="1F3864" w:sz="6" w:space="4"/>
        </w:pBdr>
        <w:spacing w:after="200" w:before="400"/>
      </w:pPr>
      <w:r>
        <w:rPr>
          <w:b/>
          <w:bCs/>
          <w:color w:val="1F3864"/>
          <w:sz w:val="30"/>
          <w:szCs w:val="30"/>
        </w:rPr>
        <w:t xml:space="preserve">18.  Statistical Evaluation</w:t>
      </w:r>
    </w:p>
    <w:p>
      <w:pPr>
        <w:pStyle w:val="ListParagraph"/>
        <w:numPr>
          <w:ilvl w:val="0"/>
          <w:numId w:val="2"/>
        </w:numPr>
        <w:spacing w:after="90" w:line="276"/>
      </w:pPr>
      <w:r>
        <w:rPr>
          <w:sz w:val="21"/>
          <w:szCs w:val="21"/>
        </w:rPr>
        <w:t xml:space="preserve">Pre-register the primary metrics and the trigger definition before running the final ablations, to avoid post hoc metric selection.</w:t>
      </w:r>
    </w:p>
    <w:p>
      <w:pPr>
        <w:pStyle w:val="ListParagraph"/>
        <w:numPr>
          <w:ilvl w:val="0"/>
          <w:numId w:val="2"/>
        </w:numPr>
        <w:spacing w:after="90" w:line="276"/>
      </w:pPr>
      <w:r>
        <w:rPr>
          <w:sz w:val="21"/>
          <w:szCs w:val="21"/>
        </w:rPr>
        <w:t xml:space="preserve">Use fixed test splits for prompts and for unseen trigger/context variants, held out from any training-time monitoring.</w:t>
      </w:r>
    </w:p>
    <w:p>
      <w:pPr>
        <w:pStyle w:val="ListParagraph"/>
        <w:numPr>
          <w:ilvl w:val="0"/>
          <w:numId w:val="2"/>
        </w:numPr>
        <w:spacing w:after="90" w:line="276"/>
      </w:pPr>
      <w:r>
        <w:rPr>
          <w:sz w:val="21"/>
          <w:szCs w:val="21"/>
        </w:rPr>
        <w:t xml:space="preserve">Report bootstrap confidence intervals or standard errors for ASR and utility metrics rather than point estimates alone.</w:t>
      </w:r>
    </w:p>
    <w:p>
      <w:pPr>
        <w:pStyle w:val="ListParagraph"/>
        <w:numPr>
          <w:ilvl w:val="0"/>
          <w:numId w:val="2"/>
        </w:numPr>
        <w:spacing w:after="90" w:line="276"/>
      </w:pPr>
      <w:r>
        <w:rPr>
          <w:sz w:val="21"/>
          <w:szCs w:val="21"/>
        </w:rPr>
        <w:t xml:space="preserve">Use paired comparisons wherever possible, since the same prompt can be evaluated under multiple cache states.</w:t>
      </w:r>
    </w:p>
    <w:p>
      <w:pPr>
        <w:pStyle w:val="ListParagraph"/>
        <w:numPr>
          <w:ilvl w:val="0"/>
          <w:numId w:val="2"/>
        </w:numPr>
        <w:spacing w:after="90" w:line="276"/>
      </w:pPr>
      <w:r>
        <w:rPr>
          <w:sz w:val="21"/>
          <w:szCs w:val="21"/>
        </w:rPr>
        <w:t xml:space="preserve">Report effect sizes alongside, not instead of, significance tests.</w:t>
      </w:r>
    </w:p>
    <w:p>
      <w:pPr>
        <w:pStyle w:val="ListParagraph"/>
        <w:numPr>
          <w:ilvl w:val="0"/>
          <w:numId w:val="2"/>
        </w:numPr>
        <w:spacing w:after="90" w:line="276"/>
      </w:pPr>
      <w:r>
        <w:rPr>
          <w:sz w:val="21"/>
          <w:szCs w:val="21"/>
        </w:rPr>
        <w:t xml:space="preserve">Repeat the strongest result across seeds and, where feasible, across at least two model families before treating it as a stable finding.</w:t>
      </w:r>
    </w:p>
    <w:p>
      <w:pPr>
        <w:spacing w:after="100"/>
      </w:pPr>
    </w:p>
    <w:p>
      <w:pPr>
        <w:pStyle w:val="Heading1"/>
        <w:pBdr>
          <w:bottom w:val="single" w:color="1F3864" w:sz="6" w:space="4"/>
        </w:pBdr>
        <w:spacing w:after="200" w:before="400"/>
      </w:pPr>
      <w:r>
        <w:rPr>
          <w:b/>
          <w:bCs/>
          <w:color w:val="1F3864"/>
          <w:sz w:val="30"/>
          <w:szCs w:val="30"/>
        </w:rPr>
        <w:t xml:space="preserve">19.  Expected Results</w:t>
      </w:r>
    </w:p>
    <w:p>
      <w:pPr>
        <w:spacing w:after="160" w:line="288"/>
        <w:jc w:val="both"/>
      </w:pPr>
      <w:r>
        <w:rPr>
          <w:sz w:val="21"/>
          <w:szCs w:val="21"/>
        </w:rPr>
        <w:t xml:space="default"/>
      </w:r>
    </w:p>
    <w:p>
      <w:pPr>
        <w:pStyle w:val="Heading2"/>
        <w:spacing w:after="140" w:before="280"/>
      </w:pPr>
      <w:r>
        <w:rPr>
          <w:b/>
          <w:bCs/>
          <w:color w:val="2E6E7E"/>
          <w:sz w:val="24"/>
          <w:szCs w:val="24"/>
        </w:rPr>
        <w:t xml:space="preserve">19.1  Expected observations</w:t>
      </w:r>
    </w:p>
    <w:p>
      <w:pPr>
        <w:pStyle w:val="ListParagraph"/>
        <w:numPr>
          <w:ilvl w:val="0"/>
          <w:numId w:val="2"/>
        </w:numPr>
        <w:spacing w:after="90" w:line="276"/>
      </w:pPr>
      <w:r>
        <w:rPr>
          <w:sz w:val="21"/>
          <w:szCs w:val="21"/>
        </w:rPr>
        <w:t xml:space="preserve">A measurable behavioural difference between the full-cache and compressed-cache conditions once runtime-conditioned training is applied, exceeding the clean-model baseline difference.</w:t>
      </w:r>
    </w:p>
    <w:p>
      <w:pPr>
        <w:pStyle w:val="ListParagraph"/>
        <w:numPr>
          <w:ilvl w:val="0"/>
          <w:numId w:val="2"/>
        </w:numPr>
        <w:spacing w:after="90" w:line="276"/>
      </w:pPr>
      <w:r>
        <w:rPr>
          <w:sz w:val="21"/>
          <w:szCs w:val="21"/>
        </w:rPr>
        <w:t xml:space="preserve">Possible sharp thresholds in context length, retained-token ratio, or precision at which activation probability rises rapidly, consistent with the phase-transition pattern already reported for clean models in Group B.</w:t>
      </w:r>
    </w:p>
    <w:p>
      <w:pPr>
        <w:pStyle w:val="ListParagraph"/>
        <w:numPr>
          <w:ilvl w:val="0"/>
          <w:numId w:val="2"/>
        </w:numPr>
        <w:spacing w:after="90" w:line="276"/>
      </w:pPr>
      <w:r>
        <w:rPr>
          <w:sz w:val="21"/>
          <w:szCs w:val="21"/>
        </w:rPr>
        <w:t xml:space="preserve">Different attack profiles for quantization, eviction, and merging, given their distinct underlying mechanisms (Section 4.3).</w:t>
      </w:r>
    </w:p>
    <w:p>
      <w:pPr>
        <w:pStyle w:val="ListParagraph"/>
        <w:numPr>
          <w:ilvl w:val="0"/>
          <w:numId w:val="2"/>
        </w:numPr>
        <w:spacing w:after="90" w:line="276"/>
      </w:pPr>
      <w:r>
        <w:rPr>
          <w:sz w:val="21"/>
          <w:szCs w:val="21"/>
        </w:rPr>
        <w:t xml:space="preserve">Identifiable, plausibly small subsets of layers or heads that mediate the transition, consistent with prior localisation of compression-safety effects.</w:t>
      </w:r>
    </w:p>
    <w:p>
      <w:pPr>
        <w:pStyle w:val="ListParagraph"/>
        <w:numPr>
          <w:ilvl w:val="0"/>
          <w:numId w:val="2"/>
        </w:numPr>
        <w:spacing w:after="90" w:line="276"/>
      </w:pPr>
      <w:r>
        <w:rPr>
          <w:sz w:val="21"/>
          <w:szCs w:val="21"/>
        </w:rPr>
        <w:t xml:space="preserve">Some degree of policy specificity — the trained trigger activating for the intended family of policies more than for unrelated ones — though the achievable narrowness is an open empirical question.</w:t>
      </w:r>
    </w:p>
    <w:p>
      <w:pPr>
        <w:pStyle w:val="Heading2"/>
        <w:spacing w:after="140" w:before="280"/>
      </w:pPr>
      <w:r>
        <w:rPr>
          <w:b/>
          <w:bCs/>
          <w:color w:val="2E6E7E"/>
          <w:sz w:val="24"/>
          <w:szCs w:val="24"/>
        </w:rPr>
        <w:t xml:space="preserve">19.2  Positive result</w:t>
      </w:r>
    </w:p>
    <w:p>
      <w:pPr>
        <w:spacing w:after="160" w:line="288"/>
        <w:jc w:val="both"/>
      </w:pPr>
      <w:r>
        <w:rPr>
          <w:sz w:val="21"/>
          <w:szCs w:val="21"/>
        </w:rPr>
        <w:t xml:space="preserve">A positive result is evidence that the behavioural gap between C0 and T(C0) can be intentionally amplified beyond the clean-model baseline (Gate G3), while stealth (Gate G4), reasonable specificity (Gate G5), and utility retention are simultaneously satisfied — supporting the central hypothesis that a legitimate cache-compression policy can function as a trained backdoor trigger.</w:t>
      </w:r>
    </w:p>
    <w:p>
      <w:pPr>
        <w:pStyle w:val="Heading2"/>
        <w:spacing w:after="140" w:before="280"/>
      </w:pPr>
      <w:r>
        <w:rPr>
          <w:b/>
          <w:bCs/>
          <w:color w:val="2E6E7E"/>
          <w:sz w:val="24"/>
          <w:szCs w:val="24"/>
        </w:rPr>
        <w:t xml:space="preserve">19.3  Negative result</w:t>
      </w:r>
    </w:p>
    <w:p>
      <w:pPr>
        <w:spacing w:after="160" w:line="288"/>
        <w:jc w:val="both"/>
      </w:pPr>
      <w:r>
        <w:rPr>
          <w:sz w:val="21"/>
          <w:szCs w:val="21"/>
        </w:rPr>
        <w:t xml:space="preserve">A negative result would show that any observed compressed-state behavioural change does not exceed what generic, non-targeted compression already produces in the clean-model baseline (i.e., the attempted training fails Gate G3), or that any amplification achieved cannot be made selective (fails Gate G5) or stealthy (fails Gate G4) without unacceptable utility loss. Such a result would still be valuable: it would sharpen the boundary between an emergent compression vulnerability and a genuine trained backdoor (the five-criterion checklist in Section 8.1 exists precisely to make this boundary explicit), and it would inform the compression-safety literature (Group B) about the limits of intentional exploitation of an effect that is currently documented only as an emergent property.</w:t>
      </w:r>
    </w:p>
    <w:p>
      <w:pPr>
        <w:spacing w:after="100"/>
      </w:pPr>
    </w:p>
    <w:p>
      <w:pPr>
        <w:pStyle w:val="Heading1"/>
        <w:pBdr>
          <w:bottom w:val="single" w:color="1F3864" w:sz="6" w:space="4"/>
        </w:pBdr>
        <w:spacing w:after="200" w:before="400"/>
      </w:pPr>
      <w:r>
        <w:rPr>
          <w:b/>
          <w:bCs/>
          <w:color w:val="1F3864"/>
          <w:sz w:val="30"/>
          <w:szCs w:val="30"/>
        </w:rPr>
        <w:t xml:space="preserve">20.  Expected Contributions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7126"/>
      </w:tblGrid>
      <w:tr>
        <w:trPr>
          <w:tblHeader/>
        </w:trPr>
        <w:tc>
          <w:tcPr>
            <w:tcW w:type="dxa" w:w="1900"/>
            <w:shd w:fill="1F3864" w:val="clear"/>
            <w:tcMar>
              <w:top w:type="dxa" w:w="80"/>
              <w:left w:type="dxa" w:w="100"/>
              <w:bottom w:type="dxa" w:w="80"/>
              <w:right w:type="dxa" w:w="100"/>
            </w:tcMar>
            <w:vAlign w:val="center"/>
          </w:tcPr>
          <w:p>
            <w:r>
              <w:rPr>
                <w:b/>
                <w:bCs/>
                <w:color w:val="FFFFFF"/>
                <w:sz w:val="19"/>
                <w:szCs w:val="19"/>
              </w:rPr>
              <w:t xml:space="preserve">Contribution type</w:t>
            </w:r>
          </w:p>
        </w:tc>
        <w:tc>
          <w:tcPr>
            <w:tcW w:type="dxa" w:w="7126"/>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1900"/>
            <w:tcMar>
              <w:top w:type="dxa" w:w="80"/>
              <w:left w:type="dxa" w:w="100"/>
              <w:bottom w:type="dxa" w:w="80"/>
              <w:right w:type="dxa" w:w="100"/>
            </w:tcMar>
            <w:vAlign w:val="center"/>
          </w:tcPr>
          <w:p>
            <w:r>
              <w:rPr>
                <w:b w:val="false"/>
                <w:bCs w:val="false"/>
                <w:sz w:val="19"/>
                <w:szCs w:val="19"/>
              </w:rPr>
              <w:t xml:space="preserve">Scientific</w:t>
            </w:r>
          </w:p>
        </w:tc>
        <w:tc>
          <w:tcPr>
            <w:tcW w:type="dxa" w:w="7126"/>
            <w:tcMar>
              <w:top w:type="dxa" w:w="80"/>
              <w:left w:type="dxa" w:w="100"/>
              <w:bottom w:type="dxa" w:w="80"/>
              <w:right w:type="dxa" w:w="100"/>
            </w:tcMar>
            <w:vAlign w:val="center"/>
          </w:tcPr>
          <w:p>
            <w:r>
              <w:rPr>
                <w:b w:val="false"/>
                <w:bCs w:val="false"/>
                <w:sz w:val="19"/>
                <w:szCs w:val="19"/>
              </w:rPr>
              <w:t xml:space="preserve">A formal framework — f(x, s_runtime) generalising f(x) — for studying runtime-conditioned model behaviour, with an operational checklist (Section 8.1) distinguishing a trained backdoor from an emergent compression vulnerability.</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Security</w:t>
            </w:r>
          </w:p>
        </w:tc>
        <w:tc>
          <w:tcPr>
            <w:tcW w:type="dxa" w:w="7126"/>
            <w:shd w:fill="DCE6F1" w:val="clear"/>
            <w:tcMar>
              <w:top w:type="dxa" w:w="80"/>
              <w:left w:type="dxa" w:w="100"/>
              <w:bottom w:type="dxa" w:w="80"/>
              <w:right w:type="dxa" w:w="100"/>
            </w:tcMar>
            <w:vAlign w:val="center"/>
          </w:tcPr>
          <w:p>
            <w:r>
              <w:rPr>
                <w:b w:val="false"/>
                <w:bCs w:val="false"/>
                <w:sz w:val="19"/>
                <w:szCs w:val="19"/>
              </w:rPr>
              <w:t xml:space="preserve">Identification of KV-cache compression policy as a candidate trigger surface distinct from input triggers, deployment-artifact triggers (e.g., ShadowLogic), and hardware-fault triggers (e.g., CacheTrap), together with a threat model requiring only fine-tuning access.</w:t>
            </w:r>
          </w:p>
        </w:tc>
      </w:tr>
      <w:tr>
        <w:tc>
          <w:tcPr>
            <w:tcW w:type="dxa" w:w="1900"/>
            <w:tcMar>
              <w:top w:type="dxa" w:w="80"/>
              <w:left w:type="dxa" w:w="100"/>
              <w:bottom w:type="dxa" w:w="80"/>
              <w:right w:type="dxa" w:w="100"/>
            </w:tcMar>
            <w:vAlign w:val="center"/>
          </w:tcPr>
          <w:p>
            <w:r>
              <w:rPr>
                <w:b w:val="false"/>
                <w:bCs w:val="false"/>
                <w:sz w:val="19"/>
                <w:szCs w:val="19"/>
              </w:rPr>
              <w:t xml:space="preserve">Systems</w:t>
            </w:r>
          </w:p>
        </w:tc>
        <w:tc>
          <w:tcPr>
            <w:tcW w:type="dxa" w:w="7126"/>
            <w:tcMar>
              <w:top w:type="dxa" w:w="80"/>
              <w:left w:type="dxa" w:w="100"/>
              <w:bottom w:type="dxa" w:w="80"/>
              <w:right w:type="dxa" w:w="100"/>
            </w:tcMar>
            <w:vAlign w:val="center"/>
          </w:tcPr>
          <w:p>
            <w:r>
              <w:rPr>
                <w:b w:val="false"/>
                <w:bCs w:val="false"/>
                <w:sz w:val="19"/>
                <w:szCs w:val="19"/>
              </w:rPr>
              <w:t xml:space="preserve">A reproducible, deterministic runtime cache-instrumentation and A/B evaluation harness, reusable for future compression-security research independent of this specific attack.</w:t>
            </w:r>
          </w:p>
        </w:tc>
      </w:tr>
      <w:tr>
        <w:tc>
          <w:tcPr>
            <w:tcW w:type="dxa" w:w="1900"/>
            <w:shd w:fill="DCE6F1" w:val="clear"/>
            <w:tcMar>
              <w:top w:type="dxa" w:w="80"/>
              <w:left w:type="dxa" w:w="100"/>
              <w:bottom w:type="dxa" w:w="80"/>
              <w:right w:type="dxa" w:w="100"/>
            </w:tcMar>
            <w:vAlign w:val="center"/>
          </w:tcPr>
          <w:p>
            <w:r>
              <w:rPr>
                <w:b w:val="false"/>
                <w:bCs w:val="false"/>
                <w:sz w:val="19"/>
                <w:szCs w:val="19"/>
              </w:rPr>
              <w:t xml:space="preserve">Mechanistic</w:t>
            </w:r>
          </w:p>
        </w:tc>
        <w:tc>
          <w:tcPr>
            <w:tcW w:type="dxa" w:w="7126"/>
            <w:shd w:fill="DCE6F1" w:val="clear"/>
            <w:tcMar>
              <w:top w:type="dxa" w:w="80"/>
              <w:left w:type="dxa" w:w="100"/>
              <w:bottom w:type="dxa" w:w="80"/>
              <w:right w:type="dxa" w:w="100"/>
            </w:tcMar>
            <w:vAlign w:val="center"/>
          </w:tcPr>
          <w:p>
            <w:r>
              <w:rPr>
                <w:b w:val="false"/>
                <w:bCs w:val="false"/>
                <w:sz w:val="19"/>
                <w:szCs w:val="19"/>
              </w:rPr>
              <w:t xml:space="preserve">An empirical account of which layers, heads, and cache events mediate a compression-conditioned behavioural transition, extending the head-collapse and quantization-geometry explanations already reported for clean models to the intentionally trained setting.</w:t>
            </w:r>
          </w:p>
        </w:tc>
      </w:tr>
      <w:tr>
        <w:tc>
          <w:tcPr>
            <w:tcW w:type="dxa" w:w="1900"/>
            <w:tcMar>
              <w:top w:type="dxa" w:w="80"/>
              <w:left w:type="dxa" w:w="100"/>
              <w:bottom w:type="dxa" w:w="80"/>
              <w:right w:type="dxa" w:w="100"/>
            </w:tcMar>
            <w:vAlign w:val="center"/>
          </w:tcPr>
          <w:p>
            <w:r>
              <w:rPr>
                <w:b w:val="false"/>
                <w:bCs w:val="false"/>
                <w:sz w:val="19"/>
                <w:szCs w:val="19"/>
              </w:rPr>
              <w:t xml:space="preserve">Defensive</w:t>
            </w:r>
          </w:p>
        </w:tc>
        <w:tc>
          <w:tcPr>
            <w:tcW w:type="dxa" w:w="7126"/>
            <w:tcMar>
              <w:top w:type="dxa" w:w="80"/>
              <w:left w:type="dxa" w:w="100"/>
              <w:bottom w:type="dxa" w:w="80"/>
              <w:right w:type="dxa" w:w="100"/>
            </w:tcMar>
            <w:vAlign w:val="center"/>
          </w:tcPr>
          <w:p>
            <w:r>
              <w:rPr>
                <w:b w:val="false"/>
                <w:bCs w:val="false"/>
                <w:sz w:val="19"/>
                <w:szCs w:val="19"/>
              </w:rPr>
              <w:t xml:space="preserve">Cache-aware differential auditing and security-aware retention/precision allocation, evaluated specifically against this attack family, with reported detection cost and efficiency trade-offs.</w:t>
            </w:r>
          </w:p>
        </w:tc>
      </w:tr>
    </w:tbl>
    <w:p>
      <w:pPr>
        <w:spacing w:after="160" w:line="288"/>
        <w:jc w:val="both"/>
      </w:pPr>
      <w:r>
        <w:rPr>
          <w:sz w:val="21"/>
          <w:szCs w:val="21"/>
        </w:rPr>
        <w:t xml:space="default"/>
      </w:r>
    </w:p>
    <w:p>
      <w:pPr>
        <w:spacing w:after="100"/>
      </w:pPr>
    </w:p>
    <w:p>
      <w:pPr>
        <w:pStyle w:val="Heading1"/>
        <w:pBdr>
          <w:bottom w:val="single" w:color="1F3864" w:sz="6" w:space="4"/>
        </w:pBdr>
        <w:spacing w:after="200" w:before="400"/>
      </w:pPr>
      <w:r>
        <w:rPr>
          <w:b/>
          <w:bCs/>
          <w:color w:val="1F3864"/>
          <w:sz w:val="30"/>
          <w:szCs w:val="30"/>
        </w:rPr>
        <w:t xml:space="preserve">21.  Defense and Mitigation</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750"/>
        <w:gridCol w:w="1900"/>
        <w:gridCol w:w="1400"/>
        <w:gridCol w:w="1976"/>
        <w:gridCol w:w="2000"/>
      </w:tblGrid>
      <w:tr>
        <w:trPr>
          <w:tblHeader/>
        </w:trPr>
        <w:tc>
          <w:tcPr>
            <w:tcW w:type="dxa" w:w="1750"/>
            <w:shd w:fill="1F3864" w:val="clear"/>
            <w:tcMar>
              <w:top w:type="dxa" w:w="80"/>
              <w:left w:type="dxa" w:w="100"/>
              <w:bottom w:type="dxa" w:w="80"/>
              <w:right w:type="dxa" w:w="100"/>
            </w:tcMar>
            <w:vAlign w:val="center"/>
          </w:tcPr>
          <w:p>
            <w:r>
              <w:rPr>
                <w:b/>
                <w:bCs/>
                <w:color w:val="FFFFFF"/>
                <w:sz w:val="19"/>
                <w:szCs w:val="19"/>
              </w:rPr>
              <w:t xml:space="preserve">Mechanism</w:t>
            </w:r>
          </w:p>
        </w:tc>
        <w:tc>
          <w:tcPr>
            <w:tcW w:type="dxa" w:w="1900"/>
            <w:shd w:fill="1F3864" w:val="clear"/>
            <w:tcMar>
              <w:top w:type="dxa" w:w="80"/>
              <w:left w:type="dxa" w:w="100"/>
              <w:bottom w:type="dxa" w:w="80"/>
              <w:right w:type="dxa" w:w="100"/>
            </w:tcMar>
            <w:vAlign w:val="center"/>
          </w:tcPr>
          <w:p>
            <w:r>
              <w:rPr>
                <w:b/>
                <w:bCs/>
                <w:color w:val="FFFFFF"/>
                <w:sz w:val="19"/>
                <w:szCs w:val="19"/>
              </w:rPr>
              <w:t xml:space="preserve">Attack surface addressed</w:t>
            </w:r>
          </w:p>
        </w:tc>
        <w:tc>
          <w:tcPr>
            <w:tcW w:type="dxa" w:w="1400"/>
            <w:shd w:fill="1F3864" w:val="clear"/>
            <w:tcMar>
              <w:top w:type="dxa" w:w="80"/>
              <w:left w:type="dxa" w:w="100"/>
              <w:bottom w:type="dxa" w:w="80"/>
              <w:right w:type="dxa" w:w="100"/>
            </w:tcMar>
            <w:vAlign w:val="center"/>
          </w:tcPr>
          <w:p>
            <w:r>
              <w:rPr>
                <w:b/>
                <w:bCs/>
                <w:color w:val="FFFFFF"/>
                <w:sz w:val="19"/>
                <w:szCs w:val="19"/>
              </w:rPr>
              <w:t xml:space="preserve">Overhead</w:t>
            </w:r>
          </w:p>
        </w:tc>
        <w:tc>
          <w:tcPr>
            <w:tcW w:type="dxa" w:w="1976"/>
            <w:shd w:fill="1F3864" w:val="clear"/>
            <w:tcMar>
              <w:top w:type="dxa" w:w="80"/>
              <w:left w:type="dxa" w:w="100"/>
              <w:bottom w:type="dxa" w:w="80"/>
              <w:right w:type="dxa" w:w="100"/>
            </w:tcMar>
            <w:vAlign w:val="center"/>
          </w:tcPr>
          <w:p>
            <w:r>
              <w:rPr>
                <w:b/>
                <w:bCs/>
                <w:color w:val="FFFFFF"/>
                <w:sz w:val="19"/>
                <w:szCs w:val="19"/>
              </w:rPr>
              <w:t xml:space="preserve">Expected effectiveness</w:t>
            </w:r>
          </w:p>
        </w:tc>
        <w:tc>
          <w:tcPr>
            <w:tcW w:type="dxa" w:w="2000"/>
            <w:shd w:fill="1F3864" w:val="clear"/>
            <w:tcMar>
              <w:top w:type="dxa" w:w="80"/>
              <w:left w:type="dxa" w:w="100"/>
              <w:bottom w:type="dxa" w:w="80"/>
              <w:right w:type="dxa" w:w="100"/>
            </w:tcMar>
            <w:vAlign w:val="center"/>
          </w:tcPr>
          <w:p>
            <w:r>
              <w:rPr>
                <w:b/>
                <w:bCs/>
                <w:color w:val="FFFFFF"/>
                <w:sz w:val="19"/>
                <w:szCs w:val="19"/>
              </w:rPr>
              <w:t xml:space="preserve">Limitations</w:t>
            </w:r>
          </w:p>
        </w:tc>
      </w:tr>
      <w:tr>
        <w:tc>
          <w:tcPr>
            <w:tcW w:type="dxa" w:w="1750"/>
            <w:tcMar>
              <w:top w:type="dxa" w:w="80"/>
              <w:left w:type="dxa" w:w="100"/>
              <w:bottom w:type="dxa" w:w="80"/>
              <w:right w:type="dxa" w:w="100"/>
            </w:tcMar>
            <w:vAlign w:val="center"/>
          </w:tcPr>
          <w:p>
            <w:r>
              <w:rPr>
                <w:b w:val="false"/>
                <w:bCs w:val="false"/>
                <w:sz w:val="19"/>
                <w:szCs w:val="19"/>
              </w:rPr>
              <w:t xml:space="preserve">Cache-aware differential audit</w:t>
            </w:r>
          </w:p>
        </w:tc>
        <w:tc>
          <w:tcPr>
            <w:tcW w:type="dxa" w:w="1900"/>
            <w:tcMar>
              <w:top w:type="dxa" w:w="80"/>
              <w:left w:type="dxa" w:w="100"/>
              <w:bottom w:type="dxa" w:w="80"/>
              <w:right w:type="dxa" w:w="100"/>
            </w:tcMar>
            <w:vAlign w:val="center"/>
          </w:tcPr>
          <w:p>
            <w:r>
              <w:rPr>
                <w:b w:val="false"/>
                <w:bCs w:val="false"/>
                <w:sz w:val="19"/>
                <w:szCs w:val="19"/>
              </w:rPr>
              <w:t xml:space="preserve">Detects behavioural divergence across a family of cache policies at audit time.</w:t>
            </w:r>
          </w:p>
        </w:tc>
        <w:tc>
          <w:tcPr>
            <w:tcW w:type="dxa" w:w="1400"/>
            <w:tcMar>
              <w:top w:type="dxa" w:w="80"/>
              <w:left w:type="dxa" w:w="100"/>
              <w:bottom w:type="dxa" w:w="80"/>
              <w:right w:type="dxa" w:w="100"/>
            </w:tcMar>
            <w:vAlign w:val="center"/>
          </w:tcPr>
          <w:p>
            <w:r>
              <w:rPr>
                <w:b w:val="false"/>
                <w:bCs w:val="false"/>
                <w:sz w:val="19"/>
                <w:szCs w:val="19"/>
              </w:rPr>
              <w:t xml:space="preserve">Additional inference passes per audited prompt, proportional to the number of policies probed.</w:t>
            </w:r>
          </w:p>
        </w:tc>
        <w:tc>
          <w:tcPr>
            <w:tcW w:type="dxa" w:w="1976"/>
            <w:tcMar>
              <w:top w:type="dxa" w:w="80"/>
              <w:left w:type="dxa" w:w="100"/>
              <w:bottom w:type="dxa" w:w="80"/>
              <w:right w:type="dxa" w:w="100"/>
            </w:tcMar>
            <w:vAlign w:val="center"/>
          </w:tcPr>
          <w:p>
            <w:r>
              <w:rPr>
                <w:b w:val="false"/>
                <w:bCs w:val="false"/>
                <w:sz w:val="19"/>
                <w:szCs w:val="19"/>
              </w:rPr>
              <w:t xml:space="preserve">Should catch triggers with broad or moderate specificity; primary proposed detection mechanism.</w:t>
            </w:r>
          </w:p>
        </w:tc>
        <w:tc>
          <w:tcPr>
            <w:tcW w:type="dxa" w:w="2000"/>
            <w:tcMar>
              <w:top w:type="dxa" w:w="80"/>
              <w:left w:type="dxa" w:w="100"/>
              <w:bottom w:type="dxa" w:w="80"/>
              <w:right w:type="dxa" w:w="100"/>
            </w:tcMar>
            <w:vAlign w:val="center"/>
          </w:tcPr>
          <w:p>
            <w:r>
              <w:rPr>
                <w:b w:val="false"/>
                <w:bCs w:val="false"/>
                <w:sz w:val="19"/>
                <w:szCs w:val="19"/>
              </w:rPr>
              <w:t xml:space="preserve">A sufficiently narrow, policy-fingerprinted trigger (Section 12) could evade a bounded probe budget; effectiveness scales with detection cost (Section 17).</w:t>
            </w:r>
          </w:p>
        </w:tc>
      </w:tr>
      <w:tr>
        <w:tc>
          <w:tcPr>
            <w:tcW w:type="dxa" w:w="1750"/>
            <w:shd w:fill="DCE6F1" w:val="clear"/>
            <w:tcMar>
              <w:top w:type="dxa" w:w="80"/>
              <w:left w:type="dxa" w:w="100"/>
              <w:bottom w:type="dxa" w:w="80"/>
              <w:right w:type="dxa" w:w="100"/>
            </w:tcMar>
            <w:vAlign w:val="center"/>
          </w:tcPr>
          <w:p>
            <w:r>
              <w:rPr>
                <w:b w:val="false"/>
                <w:bCs w:val="false"/>
                <w:sz w:val="19"/>
                <w:szCs w:val="19"/>
              </w:rPr>
              <w:t xml:space="preserve">Policy fuzzing</w:t>
            </w:r>
          </w:p>
        </w:tc>
        <w:tc>
          <w:tcPr>
            <w:tcW w:type="dxa" w:w="1900"/>
            <w:shd w:fill="DCE6F1" w:val="clear"/>
            <w:tcMar>
              <w:top w:type="dxa" w:w="80"/>
              <w:left w:type="dxa" w:w="100"/>
              <w:bottom w:type="dxa" w:w="80"/>
              <w:right w:type="dxa" w:w="100"/>
            </w:tcMar>
            <w:vAlign w:val="center"/>
          </w:tcPr>
          <w:p>
            <w:r>
              <w:rPr>
                <w:b w:val="false"/>
                <w:bCs w:val="false"/>
                <w:sz w:val="19"/>
                <w:szCs w:val="19"/>
              </w:rPr>
              <w:t xml:space="preserve">Forces an attacker's trigger to survive an uncertain, randomised runtime policy rather than one fixed, known configuration.</w:t>
            </w:r>
          </w:p>
        </w:tc>
        <w:tc>
          <w:tcPr>
            <w:tcW w:type="dxa" w:w="1400"/>
            <w:shd w:fill="DCE6F1" w:val="clear"/>
            <w:tcMar>
              <w:top w:type="dxa" w:w="80"/>
              <w:left w:type="dxa" w:w="100"/>
              <w:bottom w:type="dxa" w:w="80"/>
              <w:right w:type="dxa" w:w="100"/>
            </w:tcMar>
            <w:vAlign w:val="center"/>
          </w:tcPr>
          <w:p>
            <w:r>
              <w:rPr>
                <w:b w:val="false"/>
                <w:bCs w:val="false"/>
                <w:sz w:val="19"/>
                <w:szCs w:val="19"/>
              </w:rPr>
              <w:t xml:space="preserve">Modest — randomising already-planned compression parameters.</w:t>
            </w:r>
          </w:p>
        </w:tc>
        <w:tc>
          <w:tcPr>
            <w:tcW w:type="dxa" w:w="1976"/>
            <w:shd w:fill="DCE6F1" w:val="clear"/>
            <w:tcMar>
              <w:top w:type="dxa" w:w="80"/>
              <w:left w:type="dxa" w:w="100"/>
              <w:bottom w:type="dxa" w:w="80"/>
              <w:right w:type="dxa" w:w="100"/>
            </w:tcMar>
            <w:vAlign w:val="center"/>
          </w:tcPr>
          <w:p>
            <w:r>
              <w:rPr>
                <w:b w:val="false"/>
                <w:bCs w:val="false"/>
                <w:sz w:val="19"/>
                <w:szCs w:val="19"/>
              </w:rPr>
              <w:t xml:space="preserve">Directly targets trigger specificity; a narrowly fingerprinted trigger becomes unreliable under fuzzing.</w:t>
            </w:r>
          </w:p>
        </w:tc>
        <w:tc>
          <w:tcPr>
            <w:tcW w:type="dxa" w:w="2000"/>
            <w:shd w:fill="DCE6F1" w:val="clear"/>
            <w:tcMar>
              <w:top w:type="dxa" w:w="80"/>
              <w:left w:type="dxa" w:w="100"/>
              <w:bottom w:type="dxa" w:w="80"/>
              <w:right w:type="dxa" w:w="100"/>
            </w:tcMar>
            <w:vAlign w:val="center"/>
          </w:tcPr>
          <w:p>
            <w:r>
              <w:rPr>
                <w:b w:val="false"/>
                <w:bCs w:val="false"/>
                <w:sz w:val="19"/>
                <w:szCs w:val="19"/>
              </w:rPr>
              <w:t xml:space="preserve">May itself reduce compression efficiency benefits if randomisation is conservative.</w:t>
            </w:r>
          </w:p>
        </w:tc>
      </w:tr>
      <w:tr>
        <w:tc>
          <w:tcPr>
            <w:tcW w:type="dxa" w:w="1750"/>
            <w:tcMar>
              <w:top w:type="dxa" w:w="80"/>
              <w:left w:type="dxa" w:w="100"/>
              <w:bottom w:type="dxa" w:w="80"/>
              <w:right w:type="dxa" w:w="100"/>
            </w:tcMar>
            <w:vAlign w:val="center"/>
          </w:tcPr>
          <w:p>
            <w:r>
              <w:rPr>
                <w:b w:val="false"/>
                <w:bCs w:val="false"/>
                <w:sz w:val="19"/>
                <w:szCs w:val="19"/>
              </w:rPr>
              <w:t xml:space="preserve">Security-aware cache retention</w:t>
            </w:r>
          </w:p>
        </w:tc>
        <w:tc>
          <w:tcPr>
            <w:tcW w:type="dxa" w:w="1900"/>
            <w:tcMar>
              <w:top w:type="dxa" w:w="80"/>
              <w:left w:type="dxa" w:w="100"/>
              <w:bottom w:type="dxa" w:w="80"/>
              <w:right w:type="dxa" w:w="100"/>
            </w:tcMar>
            <w:vAlign w:val="center"/>
          </w:tcPr>
          <w:p>
            <w:r>
              <w:rPr>
                <w:b w:val="false"/>
                <w:bCs w:val="false"/>
                <w:sz w:val="19"/>
                <w:szCs w:val="19"/>
              </w:rPr>
              <w:t xml:space="preserve">Protects system instructions and other security-critical states from aggressive eviction or low precision.</w:t>
            </w:r>
          </w:p>
        </w:tc>
        <w:tc>
          <w:tcPr>
            <w:tcW w:type="dxa" w:w="1400"/>
            <w:tcMar>
              <w:top w:type="dxa" w:w="80"/>
              <w:left w:type="dxa" w:w="100"/>
              <w:bottom w:type="dxa" w:w="80"/>
              <w:right w:type="dxa" w:w="100"/>
            </w:tcMar>
            <w:vAlign w:val="center"/>
          </w:tcPr>
          <w:p>
            <w:r>
              <w:rPr>
                <w:b w:val="false"/>
                <w:bCs w:val="false"/>
                <w:sz w:val="19"/>
                <w:szCs w:val="19"/>
              </w:rPr>
              <w:t xml:space="preserve">Some loss of compression benefit on protected tokens.</w:t>
            </w:r>
          </w:p>
        </w:tc>
        <w:tc>
          <w:tcPr>
            <w:tcW w:type="dxa" w:w="1976"/>
            <w:tcMar>
              <w:top w:type="dxa" w:w="80"/>
              <w:left w:type="dxa" w:w="100"/>
              <w:bottom w:type="dxa" w:w="80"/>
              <w:right w:type="dxa" w:w="100"/>
            </w:tcMar>
            <w:vAlign w:val="center"/>
          </w:tcPr>
          <w:p>
            <w:r>
              <w:rPr>
                <w:b w:val="false"/>
                <w:bCs w:val="false"/>
                <w:sz w:val="19"/>
                <w:szCs w:val="19"/>
              </w:rPr>
              <w:t xml:space="preserve">Directly counters KECB-style mechanisms that rely on removing specific historical states.</w:t>
            </w:r>
          </w:p>
        </w:tc>
        <w:tc>
          <w:tcPr>
            <w:tcW w:type="dxa" w:w="2000"/>
            <w:tcMar>
              <w:top w:type="dxa" w:w="80"/>
              <w:left w:type="dxa" w:w="100"/>
              <w:bottom w:type="dxa" w:w="80"/>
              <w:right w:type="dxa" w:w="100"/>
            </w:tcMar>
            <w:vAlign w:val="center"/>
          </w:tcPr>
          <w:p>
            <w:r>
              <w:rPr>
                <w:b w:val="false"/>
                <w:bCs w:val="false"/>
                <w:sz w:val="19"/>
                <w:szCs w:val="19"/>
              </w:rPr>
              <w:t xml:space="preserve">Requires identifying which tokens are security-critical in advance; may not generalise to KQCB/KMCB.</w:t>
            </w:r>
          </w:p>
        </w:tc>
      </w:tr>
      <w:tr>
        <w:tc>
          <w:tcPr>
            <w:tcW w:type="dxa" w:w="1750"/>
            <w:shd w:fill="DCE6F1" w:val="clear"/>
            <w:tcMar>
              <w:top w:type="dxa" w:w="80"/>
              <w:left w:type="dxa" w:w="100"/>
              <w:bottom w:type="dxa" w:w="80"/>
              <w:right w:type="dxa" w:w="100"/>
            </w:tcMar>
            <w:vAlign w:val="center"/>
          </w:tcPr>
          <w:p>
            <w:r>
              <w:rPr>
                <w:b w:val="false"/>
                <w:bCs w:val="false"/>
                <w:sz w:val="19"/>
                <w:szCs w:val="19"/>
              </w:rPr>
              <w:t xml:space="preserve">Runtime integrity monitor</w:t>
            </w:r>
          </w:p>
        </w:tc>
        <w:tc>
          <w:tcPr>
            <w:tcW w:type="dxa" w:w="1900"/>
            <w:shd w:fill="DCE6F1" w:val="clear"/>
            <w:tcMar>
              <w:top w:type="dxa" w:w="80"/>
              <w:left w:type="dxa" w:w="100"/>
              <w:bottom w:type="dxa" w:w="80"/>
              <w:right w:type="dxa" w:w="100"/>
            </w:tcMar>
            <w:vAlign w:val="center"/>
          </w:tcPr>
          <w:p>
            <w:r>
              <w:rPr>
                <w:b w:val="false"/>
                <w:bCs w:val="false"/>
                <w:sz w:val="19"/>
                <w:szCs w:val="19"/>
              </w:rPr>
              <w:t xml:space="preserve">Flags unusual safety transitions correlated with cache events, context length, or budget changes in production.</w:t>
            </w:r>
          </w:p>
        </w:tc>
        <w:tc>
          <w:tcPr>
            <w:tcW w:type="dxa" w:w="1400"/>
            <w:shd w:fill="DCE6F1" w:val="clear"/>
            <w:tcMar>
              <w:top w:type="dxa" w:w="80"/>
              <w:left w:type="dxa" w:w="100"/>
              <w:bottom w:type="dxa" w:w="80"/>
              <w:right w:type="dxa" w:w="100"/>
            </w:tcMar>
            <w:vAlign w:val="center"/>
          </w:tcPr>
          <w:p>
            <w:r>
              <w:rPr>
                <w:b w:val="false"/>
                <w:bCs w:val="false"/>
                <w:sz w:val="19"/>
                <w:szCs w:val="19"/>
              </w:rPr>
              <w:t xml:space="preserve">Ongoing monitoring cost at serving time.</w:t>
            </w:r>
          </w:p>
        </w:tc>
        <w:tc>
          <w:tcPr>
            <w:tcW w:type="dxa" w:w="1976"/>
            <w:shd w:fill="DCE6F1" w:val="clear"/>
            <w:tcMar>
              <w:top w:type="dxa" w:w="80"/>
              <w:left w:type="dxa" w:w="100"/>
              <w:bottom w:type="dxa" w:w="80"/>
              <w:right w:type="dxa" w:w="100"/>
            </w:tcMar>
            <w:vAlign w:val="center"/>
          </w:tcPr>
          <w:p>
            <w:r>
              <w:rPr>
                <w:b w:val="false"/>
                <w:bCs w:val="false"/>
                <w:sz w:val="19"/>
                <w:szCs w:val="19"/>
              </w:rPr>
              <w:t xml:space="preserve">Provides a deployment-time safety net beyond one-time audit.</w:t>
            </w:r>
          </w:p>
        </w:tc>
        <w:tc>
          <w:tcPr>
            <w:tcW w:type="dxa" w:w="2000"/>
            <w:shd w:fill="DCE6F1" w:val="clear"/>
            <w:tcMar>
              <w:top w:type="dxa" w:w="80"/>
              <w:left w:type="dxa" w:w="100"/>
              <w:bottom w:type="dxa" w:w="80"/>
              <w:right w:type="dxa" w:w="100"/>
            </w:tcMar>
            <w:vAlign w:val="center"/>
          </w:tcPr>
          <w:p>
            <w:r>
              <w:rPr>
                <w:b w:val="false"/>
                <w:bCs w:val="false"/>
                <w:sz w:val="19"/>
                <w:szCs w:val="19"/>
              </w:rPr>
              <w:t xml:space="preserve">Requires a calibrated baseline of “normal” variation to avoid excessive false positives.</w:t>
            </w:r>
          </w:p>
        </w:tc>
      </w:tr>
      <w:tr>
        <w:tc>
          <w:tcPr>
            <w:tcW w:type="dxa" w:w="1750"/>
            <w:tcMar>
              <w:top w:type="dxa" w:w="80"/>
              <w:left w:type="dxa" w:w="100"/>
              <w:bottom w:type="dxa" w:w="80"/>
              <w:right w:type="dxa" w:w="100"/>
            </w:tcMar>
            <w:vAlign w:val="center"/>
          </w:tcPr>
          <w:p>
            <w:r>
              <w:rPr>
                <w:b w:val="false"/>
                <w:bCs w:val="false"/>
                <w:sz w:val="19"/>
                <w:szCs w:val="19"/>
              </w:rPr>
              <w:t xml:space="preserve">Mechanism-guided cache allocation</w:t>
            </w:r>
          </w:p>
        </w:tc>
        <w:tc>
          <w:tcPr>
            <w:tcW w:type="dxa" w:w="1900"/>
            <w:tcMar>
              <w:top w:type="dxa" w:w="80"/>
              <w:left w:type="dxa" w:w="100"/>
              <w:bottom w:type="dxa" w:w="80"/>
              <w:right w:type="dxa" w:w="100"/>
            </w:tcMar>
            <w:vAlign w:val="center"/>
          </w:tcPr>
          <w:p>
            <w:r>
              <w:rPr>
                <w:b w:val="false"/>
                <w:bCs w:val="false"/>
                <w:sz w:val="19"/>
                <w:szCs w:val="19"/>
              </w:rPr>
              <w:t xml:space="preserve">Once sensitive layers/heads are identified (Phase 4), allocates additional precision or retention specifically to that subspace.</w:t>
            </w:r>
          </w:p>
        </w:tc>
        <w:tc>
          <w:tcPr>
            <w:tcW w:type="dxa" w:w="1400"/>
            <w:tcMar>
              <w:top w:type="dxa" w:w="80"/>
              <w:left w:type="dxa" w:w="100"/>
              <w:bottom w:type="dxa" w:w="80"/>
              <w:right w:type="dxa" w:w="100"/>
            </w:tcMar>
            <w:vAlign w:val="center"/>
          </w:tcPr>
          <w:p>
            <w:r>
              <w:rPr>
                <w:b w:val="false"/>
                <w:bCs w:val="false"/>
                <w:sz w:val="19"/>
                <w:szCs w:val="19"/>
              </w:rPr>
              <w:t xml:space="preserve">Targeted, potentially lower overhead than blanket protection.</w:t>
            </w:r>
          </w:p>
        </w:tc>
        <w:tc>
          <w:tcPr>
            <w:tcW w:type="dxa" w:w="1976"/>
            <w:tcMar>
              <w:top w:type="dxa" w:w="80"/>
              <w:left w:type="dxa" w:w="100"/>
              <w:bottom w:type="dxa" w:w="80"/>
              <w:right w:type="dxa" w:w="100"/>
            </w:tcMar>
            <w:vAlign w:val="center"/>
          </w:tcPr>
          <w:p>
            <w:r>
              <w:rPr>
                <w:b w:val="false"/>
                <w:bCs w:val="false"/>
                <w:sz w:val="19"/>
                <w:szCs w:val="19"/>
              </w:rPr>
              <w:t xml:space="preserve">Most efficient defense if the mechanistic localisation from RQ4 is confirmed and stable across inputs.</w:t>
            </w:r>
          </w:p>
        </w:tc>
        <w:tc>
          <w:tcPr>
            <w:tcW w:type="dxa" w:w="2000"/>
            <w:tcMar>
              <w:top w:type="dxa" w:w="80"/>
              <w:left w:type="dxa" w:w="100"/>
              <w:bottom w:type="dxa" w:w="80"/>
              <w:right w:type="dxa" w:w="100"/>
            </w:tcMar>
            <w:vAlign w:val="center"/>
          </w:tcPr>
          <w:p>
            <w:r>
              <w:rPr>
                <w:b w:val="false"/>
                <w:bCs w:val="false"/>
                <w:sz w:val="19"/>
                <w:szCs w:val="19"/>
              </w:rPr>
              <w:t xml:space="preserve">Depends on the mechanism generalising across the model's input distribution, not just the calibration set used to find it.</w:t>
            </w:r>
          </w:p>
        </w:tc>
      </w:tr>
    </w:tbl>
    <w:p>
      <w:pPr>
        <w:spacing w:after="100"/>
      </w:pPr>
    </w:p>
    <w:p>
      <w:pPr>
        <w:pStyle w:val="Heading1"/>
        <w:pBdr>
          <w:bottom w:val="single" w:color="1F3864" w:sz="6" w:space="4"/>
        </w:pBdr>
        <w:spacing w:after="200" w:before="400"/>
      </w:pPr>
      <w:r>
        <w:rPr>
          <w:b/>
          <w:bCs/>
          <w:color w:val="1F3864"/>
          <w:sz w:val="30"/>
          <w:szCs w:val="30"/>
        </w:rPr>
        <w:t xml:space="preserve">22.  Scope and Limitations</w:t>
      </w:r>
    </w:p>
    <w:p>
      <w:pPr>
        <w:pStyle w:val="ListParagraph"/>
        <w:numPr>
          <w:ilvl w:val="0"/>
          <w:numId w:val="2"/>
        </w:numPr>
        <w:spacing w:after="90" w:line="276"/>
      </w:pPr>
      <w:r>
        <w:rPr>
          <w:sz w:val="21"/>
          <w:szCs w:val="21"/>
        </w:rPr>
        <w:t xml:space="preserve">Model-size limitations: the minimum viable matrix targets 1–8B-parameter instruction-tuned models; findings may not automatically extrapolate to substantially larger frontier-scale models within the project timeline.</w:t>
      </w:r>
    </w:p>
    <w:p>
      <w:pPr>
        <w:pStyle w:val="ListParagraph"/>
        <w:numPr>
          <w:ilvl w:val="0"/>
          <w:numId w:val="2"/>
        </w:numPr>
        <w:spacing w:after="90" w:line="276"/>
      </w:pPr>
      <w:r>
        <w:rPr>
          <w:sz w:val="21"/>
          <w:szCs w:val="21"/>
        </w:rPr>
        <w:t xml:space="preserve">Dependence on available cache implementations: results are tied to the specific eviction/merging/quantization libraries used and may not capture every production serving-stack implementation (e.g., proprietary systems).</w:t>
      </w:r>
    </w:p>
    <w:p>
      <w:pPr>
        <w:pStyle w:val="ListParagraph"/>
        <w:numPr>
          <w:ilvl w:val="0"/>
          <w:numId w:val="2"/>
        </w:numPr>
        <w:spacing w:after="90" w:line="276"/>
      </w:pPr>
      <w:r>
        <w:rPr>
          <w:sz w:val="21"/>
          <w:szCs w:val="21"/>
        </w:rPr>
        <w:t xml:space="preserve">Difficulty reproducing proprietary serving infrastructure: multi-tenant load-conditioned scenarios (Section 12, Load-conditioned KCB) can only be approximated in an academic setting, not reproduced at commercial serving scale.</w:t>
      </w:r>
    </w:p>
    <w:p>
      <w:pPr>
        <w:pStyle w:val="ListParagraph"/>
        <w:numPr>
          <w:ilvl w:val="0"/>
          <w:numId w:val="2"/>
        </w:numPr>
        <w:spacing w:after="90" w:line="276"/>
      </w:pPr>
      <w:r>
        <w:rPr>
          <w:sz w:val="21"/>
          <w:szCs w:val="21"/>
        </w:rPr>
        <w:t xml:space="preserve">Possible implementation-specificity: an attack that works only for one exact eviction/quantization implementation is scientifically interesting but weaker as a general security claim; this is treated as an explicit, labelled outcome (Section 11, Failure-mode table equivalent in Section 27) rather than reframed as a stronger result.</w:t>
      </w:r>
    </w:p>
    <w:p>
      <w:pPr>
        <w:pStyle w:val="ListParagraph"/>
        <w:numPr>
          <w:ilvl w:val="0"/>
          <w:numId w:val="2"/>
        </w:numPr>
        <w:spacing w:after="90" w:line="276"/>
      </w:pPr>
      <w:r>
        <w:rPr>
          <w:sz w:val="21"/>
          <w:szCs w:val="21"/>
        </w:rPr>
        <w:t xml:space="preserve">Synthetic-target limitations: early-stage results (Stage 1–2, Section 15) demonstrate mechanism feasibility on a low-risk marker and do not by themselves establish real-world harm potential; Stage 3 evaluation under red-team protocols is required before any such claim.</w:t>
      </w:r>
    </w:p>
    <w:p>
      <w:pPr>
        <w:pStyle w:val="ListParagraph"/>
        <w:numPr>
          <w:ilvl w:val="0"/>
          <w:numId w:val="2"/>
        </w:numPr>
        <w:spacing w:after="90" w:line="276"/>
      </w:pPr>
      <w:r>
        <w:rPr>
          <w:sz w:val="21"/>
          <w:szCs w:val="21"/>
        </w:rPr>
        <w:t xml:space="preserve">Difficulty proving universal generalisation: cross-model and cross-policy evidence (O7) strengthens but cannot fully establish that the phenomenon holds for all architectures, precisions, and serving stacks.</w:t>
      </w:r>
    </w:p>
    <w:p>
      <w:pPr>
        <w:pStyle w:val="ListParagraph"/>
        <w:numPr>
          <w:ilvl w:val="0"/>
          <w:numId w:val="2"/>
        </w:numPr>
        <w:spacing w:after="90" w:line="276"/>
      </w:pPr>
      <w:r>
        <w:rPr>
          <w:sz w:val="21"/>
          <w:szCs w:val="21"/>
        </w:rPr>
        <w:t xml:space="preserve">Limitations of safety evaluation: automated and rubric-based safety judges have known blind spots; Stage 3 evaluation should be corroborated with human review where feasible.</w:t>
      </w:r>
    </w:p>
    <w:p>
      <w:pPr>
        <w:pStyle w:val="ListParagraph"/>
        <w:numPr>
          <w:ilvl w:val="0"/>
          <w:numId w:val="2"/>
        </w:numPr>
        <w:spacing w:after="90" w:line="276"/>
      </w:pPr>
      <w:r>
        <w:rPr>
          <w:sz w:val="21"/>
          <w:szCs w:val="21"/>
        </w:rPr>
        <w:t xml:space="preserve">Ethical scope: the project does not aim to produce or release a model with an implanted harmful-content trigger; see Section 23.</w:t>
      </w:r>
    </w:p>
    <w:p>
      <w:pPr>
        <w:spacing w:after="100"/>
      </w:pPr>
    </w:p>
    <w:p>
      <w:pPr>
        <w:pStyle w:val="Heading1"/>
        <w:pBdr>
          <w:bottom w:val="single" w:color="1F3864" w:sz="6" w:space="4"/>
        </w:pBdr>
        <w:spacing w:after="200" w:before="400"/>
      </w:pPr>
      <w:r>
        <w:rPr>
          <w:b/>
          <w:bCs/>
          <w:color w:val="1F3864"/>
          <w:sz w:val="30"/>
          <w:szCs w:val="30"/>
        </w:rPr>
        <w:t xml:space="preserve">23.  Ethical and Security Considerations</w:t>
      </w:r>
    </w:p>
    <w:p>
      <w:pPr>
        <w:pStyle w:val="ListParagraph"/>
        <w:numPr>
          <w:ilvl w:val="0"/>
          <w:numId w:val="2"/>
        </w:numPr>
        <w:spacing w:after="90" w:line="276"/>
      </w:pPr>
      <w:r>
        <w:rPr>
          <w:b/>
          <w:bCs/>
          <w:sz w:val="21"/>
          <w:szCs w:val="21"/>
        </w:rPr>
        <w:t xml:space="preserve">Responsible experimentation.</w:t>
      </w:r>
      <w:r>
        <w:rPr>
          <w:sz w:val="21"/>
          <w:szCs w:val="21"/>
        </w:rPr>
        <w:t xml:space="preserve"> All Stage 1–2 experiments use synthetic or clearly non-harmful behavioural markers (Section 15); no model trained with a genuinely harmful payload is produced before Stage 3, and Stage 3 uses only approved, institutionally sanctioned red-team datasets and rubrics.</w:t>
      </w:r>
    </w:p>
    <w:p>
      <w:pPr>
        <w:pStyle w:val="ListParagraph"/>
        <w:numPr>
          <w:ilvl w:val="0"/>
          <w:numId w:val="2"/>
        </w:numPr>
        <w:spacing w:after="90" w:line="276"/>
      </w:pPr>
      <w:r>
        <w:rPr>
          <w:b/>
          <w:bCs/>
          <w:sz w:val="21"/>
          <w:szCs w:val="21"/>
        </w:rPr>
        <w:t xml:space="preserve">No deployment of malicious models.</w:t>
      </w:r>
      <w:r>
        <w:rPr>
          <w:sz w:val="21"/>
          <w:szCs w:val="21"/>
        </w:rPr>
        <w:t xml:space="preserve"> Backdoored checkpoints produced during the project are research artifacts confined to a controlled environment and are not deployed, distributed, or exposed to production traffic or third parties.</w:t>
      </w:r>
    </w:p>
    <w:p>
      <w:pPr>
        <w:pStyle w:val="ListParagraph"/>
        <w:numPr>
          <w:ilvl w:val="0"/>
          <w:numId w:val="2"/>
        </w:numPr>
        <w:spacing w:after="90" w:line="276"/>
      </w:pPr>
      <w:r>
        <w:rPr>
          <w:b/>
          <w:bCs/>
          <w:sz w:val="21"/>
          <w:szCs w:val="21"/>
        </w:rPr>
        <w:t xml:space="preserve">Responsible disclosure.</w:t>
      </w:r>
      <w:r>
        <w:rPr>
          <w:sz w:val="21"/>
          <w:szCs w:val="21"/>
        </w:rPr>
        <w:t xml:space="preserve"> If the project identifies a phenomenon with plausible real-world exploitability against widely used open-weight models or serving stacks, findings will be shared with relevant maintainers or vendors before or alongside publication, following standard coordinated-disclosure norms in the security research community.</w:t>
      </w:r>
    </w:p>
    <w:p>
      <w:pPr>
        <w:pStyle w:val="ListParagraph"/>
        <w:numPr>
          <w:ilvl w:val="0"/>
          <w:numId w:val="2"/>
        </w:numPr>
        <w:spacing w:after="90" w:line="276"/>
      </w:pPr>
      <w:r>
        <w:rPr>
          <w:b/>
          <w:bCs/>
          <w:sz w:val="21"/>
          <w:szCs w:val="21"/>
        </w:rPr>
        <w:t xml:space="preserve">Artifact release considerations.</w:t>
      </w:r>
      <w:r>
        <w:rPr>
          <w:sz w:val="21"/>
          <w:szCs w:val="21"/>
        </w:rPr>
        <w:t xml:space="preserve"> Any released code will separate the instrumentation/evaluation harness (safe to release broadly) from any trained attack checkpoints (release considered case by case, consistent with norms in the cited backdoor and Trojan literature, several of which gate attack-script execution behind an explicit acknowledgement flag).</w:t>
      </w:r>
    </w:p>
    <w:p>
      <w:pPr>
        <w:pStyle w:val="ListParagraph"/>
        <w:numPr>
          <w:ilvl w:val="0"/>
          <w:numId w:val="2"/>
        </w:numPr>
        <w:spacing w:after="90" w:line="276"/>
      </w:pPr>
      <w:r>
        <w:rPr>
          <w:b/>
          <w:bCs/>
          <w:sz w:val="21"/>
          <w:szCs w:val="21"/>
        </w:rPr>
        <w:t xml:space="preserve">Separation of attack demonstration from real-world harmful capability.</w:t>
      </w:r>
      <w:r>
        <w:rPr>
          <w:sz w:val="21"/>
          <w:szCs w:val="21"/>
        </w:rPr>
        <w:t xml:space="preserve"> The project's contribution is a demonstration of mechanism and a defense evaluation, not a usable attack toolkit targeting deployed, real-world systems; Stage 3 severity is bounded by institutional review.</w:t>
      </w:r>
    </w:p>
    <w:p>
      <w:pPr>
        <w:spacing w:after="100"/>
      </w:pPr>
    </w:p>
    <w:p>
      <w:pPr>
        <w:pStyle w:val="Heading1"/>
        <w:pBdr>
          <w:bottom w:val="single" w:color="1F3864" w:sz="6" w:space="4"/>
        </w:pBdr>
        <w:spacing w:after="200" w:before="400"/>
      </w:pPr>
      <w:r>
        <w:rPr>
          <w:b/>
          <w:bCs/>
          <w:color w:val="1F3864"/>
          <w:sz w:val="30"/>
          <w:szCs w:val="30"/>
        </w:rPr>
        <w:t xml:space="preserve">24.  Tools and Technology Stack</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3200"/>
        <w:gridCol w:w="3626"/>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Tool / library</w:t>
            </w:r>
          </w:p>
        </w:tc>
        <w:tc>
          <w:tcPr>
            <w:tcW w:type="dxa" w:w="32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3626"/>
            <w:shd w:fill="1F3864" w:val="clear"/>
            <w:tcMar>
              <w:top w:type="dxa" w:w="80"/>
              <w:left w:type="dxa" w:w="100"/>
              <w:bottom w:type="dxa" w:w="80"/>
              <w:right w:type="dxa" w:w="100"/>
            </w:tcMar>
            <w:vAlign w:val="center"/>
          </w:tcPr>
          <w:p>
            <w:r>
              <w:rPr>
                <w:b/>
                <w:bCs/>
                <w:color w:val="FFFFFF"/>
                <w:sz w:val="19"/>
                <w:szCs w:val="19"/>
              </w:rPr>
              <w:t xml:space="preserve">Why it is required</w:t>
            </w:r>
          </w:p>
        </w:tc>
      </w:tr>
      <w:tr>
        <w:tc>
          <w:tcPr>
            <w:tcW w:type="dxa" w:w="2200"/>
            <w:tcMar>
              <w:top w:type="dxa" w:w="80"/>
              <w:left w:type="dxa" w:w="100"/>
              <w:bottom w:type="dxa" w:w="80"/>
              <w:right w:type="dxa" w:w="100"/>
            </w:tcMar>
            <w:vAlign w:val="center"/>
          </w:tcPr>
          <w:p>
            <w:r>
              <w:rPr>
                <w:b w:val="false"/>
                <w:bCs w:val="false"/>
                <w:sz w:val="19"/>
                <w:szCs w:val="19"/>
              </w:rPr>
              <w:t xml:space="preserve">Python</w:t>
            </w:r>
          </w:p>
        </w:tc>
        <w:tc>
          <w:tcPr>
            <w:tcW w:type="dxa" w:w="3200"/>
            <w:tcMar>
              <w:top w:type="dxa" w:w="80"/>
              <w:left w:type="dxa" w:w="100"/>
              <w:bottom w:type="dxa" w:w="80"/>
              <w:right w:type="dxa" w:w="100"/>
            </w:tcMar>
            <w:vAlign w:val="center"/>
          </w:tcPr>
          <w:p>
            <w:r>
              <w:rPr>
                <w:b w:val="false"/>
                <w:bCs w:val="false"/>
                <w:sz w:val="19"/>
                <w:szCs w:val="19"/>
              </w:rPr>
              <w:t xml:space="preserve">Primary implementation language.</w:t>
            </w:r>
          </w:p>
        </w:tc>
        <w:tc>
          <w:tcPr>
            <w:tcW w:type="dxa" w:w="3626"/>
            <w:tcMar>
              <w:top w:type="dxa" w:w="80"/>
              <w:left w:type="dxa" w:w="100"/>
              <w:bottom w:type="dxa" w:w="80"/>
              <w:right w:type="dxa" w:w="100"/>
            </w:tcMar>
            <w:vAlign w:val="center"/>
          </w:tcPr>
          <w:p>
            <w:r>
              <w:rPr>
                <w:b w:val="false"/>
                <w:bCs w:val="false"/>
                <w:sz w:val="19"/>
                <w:szCs w:val="19"/>
              </w:rPr>
              <w:t xml:space="preserve">Standard for the ML research ecosystem; required by every other listed dependency.</w:t>
            </w:r>
          </w:p>
        </w:tc>
      </w:tr>
      <w:tr>
        <w:tc>
          <w:tcPr>
            <w:tcW w:type="dxa" w:w="2200"/>
            <w:shd w:fill="DCE6F1" w:val="clear"/>
            <w:tcMar>
              <w:top w:type="dxa" w:w="80"/>
              <w:left w:type="dxa" w:w="100"/>
              <w:bottom w:type="dxa" w:w="80"/>
              <w:right w:type="dxa" w:w="100"/>
            </w:tcMar>
            <w:vAlign w:val="center"/>
          </w:tcPr>
          <w:p>
            <w:r>
              <w:rPr>
                <w:b w:val="false"/>
                <w:bCs w:val="false"/>
                <w:sz w:val="19"/>
                <w:szCs w:val="19"/>
              </w:rPr>
              <w:t xml:space="preserve">PyTorch</w:t>
            </w:r>
          </w:p>
        </w:tc>
        <w:tc>
          <w:tcPr>
            <w:tcW w:type="dxa" w:w="3200"/>
            <w:shd w:fill="DCE6F1" w:val="clear"/>
            <w:tcMar>
              <w:top w:type="dxa" w:w="80"/>
              <w:left w:type="dxa" w:w="100"/>
              <w:bottom w:type="dxa" w:w="80"/>
              <w:right w:type="dxa" w:w="100"/>
            </w:tcMar>
            <w:vAlign w:val="center"/>
          </w:tcPr>
          <w:p>
            <w:r>
              <w:rPr>
                <w:b w:val="false"/>
                <w:bCs w:val="false"/>
                <w:sz w:val="19"/>
                <w:szCs w:val="19"/>
              </w:rPr>
              <w:t xml:space="preserve">Model execution, training, and custom cache manipulation.</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Provides low-level access to attention/KV internals needed to implement a custom, instrumented cache abstraction (Phase 0).</w:t>
            </w:r>
          </w:p>
        </w:tc>
      </w:tr>
      <w:tr>
        <w:tc>
          <w:tcPr>
            <w:tcW w:type="dxa" w:w="2200"/>
            <w:tcMar>
              <w:top w:type="dxa" w:w="80"/>
              <w:left w:type="dxa" w:w="100"/>
              <w:bottom w:type="dxa" w:w="80"/>
              <w:right w:type="dxa" w:w="100"/>
            </w:tcMar>
            <w:vAlign w:val="center"/>
          </w:tcPr>
          <w:p>
            <w:r>
              <w:rPr>
                <w:b w:val="false"/>
                <w:bCs w:val="false"/>
                <w:sz w:val="19"/>
                <w:szCs w:val="19"/>
              </w:rPr>
              <w:t xml:space="preserve">Hugging Face Transformers</w:t>
            </w:r>
          </w:p>
        </w:tc>
        <w:tc>
          <w:tcPr>
            <w:tcW w:type="dxa" w:w="3200"/>
            <w:tcMar>
              <w:top w:type="dxa" w:w="80"/>
              <w:left w:type="dxa" w:w="100"/>
              <w:bottom w:type="dxa" w:w="80"/>
              <w:right w:type="dxa" w:w="100"/>
            </w:tcMar>
            <w:vAlign w:val="center"/>
          </w:tcPr>
          <w:p>
            <w:r>
              <w:rPr>
                <w:b w:val="false"/>
                <w:bCs w:val="false"/>
                <w:sz w:val="19"/>
                <w:szCs w:val="19"/>
              </w:rPr>
              <w:t xml:space="preserve">Model loading, tokenisation, and baseline generation utilities.</w:t>
            </w:r>
          </w:p>
        </w:tc>
        <w:tc>
          <w:tcPr>
            <w:tcW w:type="dxa" w:w="3626"/>
            <w:tcMar>
              <w:top w:type="dxa" w:w="80"/>
              <w:left w:type="dxa" w:w="100"/>
              <w:bottom w:type="dxa" w:w="80"/>
              <w:right w:type="dxa" w:w="100"/>
            </w:tcMar>
            <w:vAlign w:val="center"/>
          </w:tcPr>
          <w:p>
            <w:r>
              <w:rPr>
                <w:b w:val="false"/>
                <w:bCs w:val="false"/>
                <w:sz w:val="19"/>
                <w:szCs w:val="19"/>
              </w:rPr>
              <w:t xml:space="preserve">Standard interface to the candidate open-weight instruction-tuned models; simplifies swapping model families for cross-model evaluation.</w:t>
            </w:r>
          </w:p>
        </w:tc>
      </w:tr>
      <w:tr>
        <w:tc>
          <w:tcPr>
            <w:tcW w:type="dxa" w:w="2200"/>
            <w:shd w:fill="DCE6F1" w:val="clear"/>
            <w:tcMar>
              <w:top w:type="dxa" w:w="80"/>
              <w:left w:type="dxa" w:w="100"/>
              <w:bottom w:type="dxa" w:w="80"/>
              <w:right w:type="dxa" w:w="100"/>
            </w:tcMar>
            <w:vAlign w:val="center"/>
          </w:tcPr>
          <w:p>
            <w:r>
              <w:rPr>
                <w:b w:val="false"/>
                <w:bCs w:val="false"/>
                <w:sz w:val="19"/>
                <w:szCs w:val="19"/>
              </w:rPr>
              <w:t xml:space="preserve">CUDA</w:t>
            </w:r>
          </w:p>
        </w:tc>
        <w:tc>
          <w:tcPr>
            <w:tcW w:type="dxa" w:w="3200"/>
            <w:shd w:fill="DCE6F1" w:val="clear"/>
            <w:tcMar>
              <w:top w:type="dxa" w:w="80"/>
              <w:left w:type="dxa" w:w="100"/>
              <w:bottom w:type="dxa" w:w="80"/>
              <w:right w:type="dxa" w:w="100"/>
            </w:tcMar>
            <w:vAlign w:val="center"/>
          </w:tcPr>
          <w:p>
            <w:r>
              <w:rPr>
                <w:b w:val="false"/>
                <w:bCs w:val="false"/>
                <w:sz w:val="19"/>
                <w:szCs w:val="19"/>
              </w:rPr>
              <w:t xml:space="preserve">GPU execution.</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Required for any GPU-scale training or inference at the target model sizes.</w:t>
            </w:r>
          </w:p>
        </w:tc>
      </w:tr>
      <w:tr>
        <w:tc>
          <w:tcPr>
            <w:tcW w:type="dxa" w:w="2200"/>
            <w:tcMar>
              <w:top w:type="dxa" w:w="80"/>
              <w:left w:type="dxa" w:w="100"/>
              <w:bottom w:type="dxa" w:w="80"/>
              <w:right w:type="dxa" w:w="100"/>
            </w:tcMar>
            <w:vAlign w:val="center"/>
          </w:tcPr>
          <w:p>
            <w:r>
              <w:rPr>
                <w:b w:val="false"/>
                <w:bCs w:val="false"/>
                <w:sz w:val="19"/>
                <w:szCs w:val="19"/>
              </w:rPr>
              <w:t xml:space="preserve">vLLM or an equivalent inference engine</w:t>
            </w:r>
          </w:p>
        </w:tc>
        <w:tc>
          <w:tcPr>
            <w:tcW w:type="dxa" w:w="3200"/>
            <w:tcMar>
              <w:top w:type="dxa" w:w="80"/>
              <w:left w:type="dxa" w:w="100"/>
              <w:bottom w:type="dxa" w:w="80"/>
              <w:right w:type="dxa" w:w="100"/>
            </w:tcMar>
            <w:vAlign w:val="center"/>
          </w:tcPr>
          <w:p>
            <w:r>
              <w:rPr>
                <w:b w:val="false"/>
                <w:bCs w:val="false"/>
                <w:sz w:val="19"/>
                <w:szCs w:val="19"/>
              </w:rPr>
              <w:t xml:space="preserve">Realistic serving-side reference for cache-policy behaviour.</w:t>
            </w:r>
          </w:p>
        </w:tc>
        <w:tc>
          <w:tcPr>
            <w:tcW w:type="dxa" w:w="3626"/>
            <w:tcMar>
              <w:top w:type="dxa" w:w="80"/>
              <w:left w:type="dxa" w:w="100"/>
              <w:bottom w:type="dxa" w:w="80"/>
              <w:right w:type="dxa" w:w="100"/>
            </w:tcMar>
            <w:vAlign w:val="center"/>
          </w:tcPr>
          <w:p>
            <w:r>
              <w:rPr>
                <w:b w:val="false"/>
                <w:bCs w:val="false"/>
                <w:sz w:val="19"/>
                <w:szCs w:val="19"/>
              </w:rPr>
              <w:t xml:space="preserve">Ensures the studied compression policies (eviction, quantization, batching interactions) reflect how production serving actually manages the cache, not only an idealised research implementation.</w:t>
            </w:r>
          </w:p>
        </w:tc>
      </w:tr>
      <w:tr>
        <w:tc>
          <w:tcPr>
            <w:tcW w:type="dxa" w:w="2200"/>
            <w:shd w:fill="DCE6F1" w:val="clear"/>
            <w:tcMar>
              <w:top w:type="dxa" w:w="80"/>
              <w:left w:type="dxa" w:w="100"/>
              <w:bottom w:type="dxa" w:w="80"/>
              <w:right w:type="dxa" w:w="100"/>
            </w:tcMar>
            <w:vAlign w:val="center"/>
          </w:tcPr>
          <w:p>
            <w:r>
              <w:rPr>
                <w:b w:val="false"/>
                <w:bCs w:val="false"/>
                <w:sz w:val="19"/>
                <w:szCs w:val="19"/>
              </w:rPr>
              <w:t xml:space="preserve">Custom KV-cache instrumentation layer</w:t>
            </w:r>
          </w:p>
        </w:tc>
        <w:tc>
          <w:tcPr>
            <w:tcW w:type="dxa" w:w="3200"/>
            <w:shd w:fill="DCE6F1" w:val="clear"/>
            <w:tcMar>
              <w:top w:type="dxa" w:w="80"/>
              <w:left w:type="dxa" w:w="100"/>
              <w:bottom w:type="dxa" w:w="80"/>
              <w:right w:type="dxa" w:w="100"/>
            </w:tcMar>
            <w:vAlign w:val="center"/>
          </w:tcPr>
          <w:p>
            <w:r>
              <w:rPr>
                <w:b w:val="false"/>
                <w:bCs w:val="false"/>
                <w:sz w:val="19"/>
                <w:szCs w:val="19"/>
              </w:rPr>
              <w:t xml:space="preserve">Deterministic A/B cache-state logging and transformation (Phase 0).</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No off-the-shelf tool exposes per-layer cache state, transformation events, and deterministic replay at the granularity the project needs; must be built as part of the contribution itself.</w:t>
            </w:r>
          </w:p>
        </w:tc>
      </w:tr>
      <w:tr>
        <w:tc>
          <w:tcPr>
            <w:tcW w:type="dxa" w:w="2200"/>
            <w:tcMar>
              <w:top w:type="dxa" w:w="80"/>
              <w:left w:type="dxa" w:w="100"/>
              <w:bottom w:type="dxa" w:w="80"/>
              <w:right w:type="dxa" w:w="100"/>
            </w:tcMar>
            <w:vAlign w:val="center"/>
          </w:tcPr>
          <w:p>
            <w:r>
              <w:rPr>
                <w:b w:val="false"/>
                <w:bCs w:val="false"/>
                <w:sz w:val="19"/>
                <w:szCs w:val="19"/>
              </w:rPr>
              <w:t xml:space="preserve">Experiment tracking (e.g., Weights &amp; Biases or equivalent)</w:t>
            </w:r>
          </w:p>
        </w:tc>
        <w:tc>
          <w:tcPr>
            <w:tcW w:type="dxa" w:w="3200"/>
            <w:tcMar>
              <w:top w:type="dxa" w:w="80"/>
              <w:left w:type="dxa" w:w="100"/>
              <w:bottom w:type="dxa" w:w="80"/>
              <w:right w:type="dxa" w:w="100"/>
            </w:tcMar>
            <w:vAlign w:val="center"/>
          </w:tcPr>
          <w:p>
            <w:r>
              <w:rPr>
                <w:b w:val="false"/>
                <w:bCs w:val="false"/>
                <w:sz w:val="19"/>
                <w:szCs w:val="19"/>
              </w:rPr>
              <w:t xml:space="preserve">Logging metrics, seeds, and configurations across the experimental matrix.</w:t>
            </w:r>
          </w:p>
        </w:tc>
        <w:tc>
          <w:tcPr>
            <w:tcW w:type="dxa" w:w="3626"/>
            <w:tcMar>
              <w:top w:type="dxa" w:w="80"/>
              <w:left w:type="dxa" w:w="100"/>
              <w:bottom w:type="dxa" w:w="80"/>
              <w:right w:type="dxa" w:w="100"/>
            </w:tcMar>
            <w:vAlign w:val="center"/>
          </w:tcPr>
          <w:p>
            <w:r>
              <w:rPr>
                <w:b w:val="false"/>
                <w:bCs w:val="false"/>
                <w:sz w:val="19"/>
                <w:szCs w:val="19"/>
              </w:rPr>
              <w:t xml:space="preserve">Necessary for the statistical rigor required in Section 18 (paired comparisons, multi-seed reporting).</w:t>
            </w:r>
          </w:p>
        </w:tc>
      </w:tr>
      <w:tr>
        <w:tc>
          <w:tcPr>
            <w:tcW w:type="dxa" w:w="2200"/>
            <w:shd w:fill="DCE6F1" w:val="clear"/>
            <w:tcMar>
              <w:top w:type="dxa" w:w="80"/>
              <w:left w:type="dxa" w:w="100"/>
              <w:bottom w:type="dxa" w:w="80"/>
              <w:right w:type="dxa" w:w="100"/>
            </w:tcMar>
            <w:vAlign w:val="center"/>
          </w:tcPr>
          <w:p>
            <w:r>
              <w:rPr>
                <w:b w:val="false"/>
                <w:bCs w:val="false"/>
                <w:sz w:val="19"/>
                <w:szCs w:val="19"/>
              </w:rPr>
              <w:t xml:space="preserve">Statistical analysis tooling (e.g., SciPy / statsmodels)</w:t>
            </w:r>
          </w:p>
        </w:tc>
        <w:tc>
          <w:tcPr>
            <w:tcW w:type="dxa" w:w="3200"/>
            <w:shd w:fill="DCE6F1" w:val="clear"/>
            <w:tcMar>
              <w:top w:type="dxa" w:w="80"/>
              <w:left w:type="dxa" w:w="100"/>
              <w:bottom w:type="dxa" w:w="80"/>
              <w:right w:type="dxa" w:w="100"/>
            </w:tcMar>
            <w:vAlign w:val="center"/>
          </w:tcPr>
          <w:p>
            <w:r>
              <w:rPr>
                <w:b w:val="false"/>
                <w:bCs w:val="false"/>
                <w:sz w:val="19"/>
                <w:szCs w:val="19"/>
              </w:rPr>
              <w:t xml:space="preserve">Bootstrap confidence intervals, paired tests, effect sizes.</w:t>
            </w:r>
          </w:p>
        </w:tc>
        <w:tc>
          <w:tcPr>
            <w:tcW w:type="dxa" w:w="3626"/>
            <w:shd w:fill="DCE6F1" w:val="clear"/>
            <w:tcMar>
              <w:top w:type="dxa" w:w="80"/>
              <w:left w:type="dxa" w:w="100"/>
              <w:bottom w:type="dxa" w:w="80"/>
              <w:right w:type="dxa" w:w="100"/>
            </w:tcMar>
            <w:vAlign w:val="center"/>
          </w:tcPr>
          <w:p>
            <w:r>
              <w:rPr>
                <w:b w:val="false"/>
                <w:bCs w:val="false"/>
                <w:sz w:val="19"/>
                <w:szCs w:val="19"/>
              </w:rPr>
              <w:t xml:space="preserve">Required to meet the pre-registration and CI-reporting standard in Section 18.</w:t>
            </w:r>
          </w:p>
        </w:tc>
      </w:tr>
    </w:tbl>
    <w:p>
      <w:pPr>
        <w:spacing w:after="160" w:line="288"/>
        <w:jc w:val="both"/>
      </w:pPr>
      <w:r>
        <w:rPr>
          <w:sz w:val="21"/>
          <w:szCs w:val="21"/>
        </w:rPr>
        <w:t xml:space="default"/>
      </w:r>
    </w:p>
    <w:p>
      <w:pPr>
        <w:spacing w:after="100"/>
      </w:pPr>
    </w:p>
    <w:p>
      <w:pPr>
        <w:pStyle w:val="Heading1"/>
        <w:pBdr>
          <w:bottom w:val="single" w:color="1F3864" w:sz="6" w:space="4"/>
        </w:pBdr>
        <w:spacing w:after="200" w:before="400"/>
      </w:pPr>
      <w:r>
        <w:rPr>
          <w:b/>
          <w:bCs/>
          <w:color w:val="1F3864"/>
          <w:sz w:val="30"/>
          <w:szCs w:val="30"/>
        </w:rPr>
        <w:t xml:space="preserve">25.  Computational Requirements</w:t>
      </w:r>
    </w:p>
    <w:p>
      <w:pPr>
        <w:spacing w:after="160" w:line="288"/>
        <w:jc w:val="both"/>
      </w:pPr>
      <w:r>
        <w:rPr>
          <w:sz w:val="21"/>
          <w:szCs w:val="21"/>
        </w:rPr>
        <w:t xml:space="preserve">Estimates assume 1–8B-parameter instruction-tuned models and parameter-efficient (LoRA-style) fine-tuning for the runtime-conditioned training phase, which is markedly less compute-intensive than full-parameter fine-tuning; figures are planning estimates, not commitments, and will be revised once the exact model and training recipe are fixed.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600"/>
        <w:gridCol w:w="3813"/>
        <w:gridCol w:w="3613"/>
      </w:tblGrid>
      <w:tr>
        <w:trPr>
          <w:tblHeader/>
        </w:trPr>
        <w:tc>
          <w:tcPr>
            <w:tcW w:type="dxa" w:w="1600"/>
            <w:shd w:fill="1F3864" w:val="clear"/>
            <w:tcMar>
              <w:top w:type="dxa" w:w="80"/>
              <w:left w:type="dxa" w:w="100"/>
              <w:bottom w:type="dxa" w:w="80"/>
              <w:right w:type="dxa" w:w="100"/>
            </w:tcMar>
            <w:vAlign w:val="center"/>
          </w:tcPr>
          <w:p>
            <w:r>
              <w:rPr>
                <w:b/>
                <w:bCs/>
                <w:color w:val="FFFFFF"/>
                <w:sz w:val="19"/>
                <w:szCs w:val="19"/>
              </w:rPr>
              <w:t xml:space="preserve">Requirement</w:t>
            </w:r>
          </w:p>
        </w:tc>
        <w:tc>
          <w:tcPr>
            <w:tcW w:type="dxa" w:w="3813"/>
            <w:shd w:fill="1F3864" w:val="clear"/>
            <w:tcMar>
              <w:top w:type="dxa" w:w="80"/>
              <w:left w:type="dxa" w:w="100"/>
              <w:bottom w:type="dxa" w:w="80"/>
              <w:right w:type="dxa" w:w="100"/>
            </w:tcMar>
            <w:vAlign w:val="center"/>
          </w:tcPr>
          <w:p>
            <w:r>
              <w:rPr>
                <w:b/>
                <w:bCs/>
                <w:color w:val="FFFFFF"/>
                <w:sz w:val="19"/>
                <w:szCs w:val="19"/>
              </w:rPr>
              <w:t xml:space="preserve">Minimum viable project</w:t>
            </w:r>
          </w:p>
        </w:tc>
        <w:tc>
          <w:tcPr>
            <w:tcW w:type="dxa" w:w="3613"/>
            <w:shd w:fill="1F3864" w:val="clear"/>
            <w:tcMar>
              <w:top w:type="dxa" w:w="80"/>
              <w:left w:type="dxa" w:w="100"/>
              <w:bottom w:type="dxa" w:w="80"/>
              <w:right w:type="dxa" w:w="100"/>
            </w:tcMar>
            <w:vAlign w:val="center"/>
          </w:tcPr>
          <w:p>
            <w:r>
              <w:rPr>
                <w:b/>
                <w:bCs/>
                <w:color w:val="FFFFFF"/>
                <w:sz w:val="19"/>
                <w:szCs w:val="19"/>
              </w:rPr>
              <w:t xml:space="preserve">Publication-quality project</w:t>
            </w:r>
          </w:p>
        </w:tc>
      </w:tr>
      <w:tr>
        <w:tc>
          <w:tcPr>
            <w:tcW w:type="dxa" w:w="1600"/>
            <w:tcMar>
              <w:top w:type="dxa" w:w="80"/>
              <w:left w:type="dxa" w:w="100"/>
              <w:bottom w:type="dxa" w:w="80"/>
              <w:right w:type="dxa" w:w="100"/>
            </w:tcMar>
            <w:vAlign w:val="center"/>
          </w:tcPr>
          <w:p>
            <w:r>
              <w:rPr>
                <w:b w:val="false"/>
                <w:bCs w:val="false"/>
                <w:sz w:val="19"/>
                <w:szCs w:val="19"/>
              </w:rPr>
              <w:t xml:space="preserve">GPU</w:t>
            </w:r>
          </w:p>
        </w:tc>
        <w:tc>
          <w:tcPr>
            <w:tcW w:type="dxa" w:w="3813"/>
            <w:tcMar>
              <w:top w:type="dxa" w:w="80"/>
              <w:left w:type="dxa" w:w="100"/>
              <w:bottom w:type="dxa" w:w="80"/>
              <w:right w:type="dxa" w:w="100"/>
            </w:tcMar>
            <w:vAlign w:val="center"/>
          </w:tcPr>
          <w:p>
            <w:r>
              <w:rPr>
                <w:b w:val="false"/>
                <w:bCs w:val="false"/>
                <w:sz w:val="19"/>
                <w:szCs w:val="19"/>
              </w:rPr>
              <w:t xml:space="preserve">1 GPU, 24 GB VRAM class (e.g., a single high-end workstation/consumer GPU), sufficient for a 1–3B model with parameter-efficient fine-tuning.</w:t>
            </w:r>
          </w:p>
        </w:tc>
        <w:tc>
          <w:tcPr>
            <w:tcW w:type="dxa" w:w="3613"/>
            <w:tcMar>
              <w:top w:type="dxa" w:w="80"/>
              <w:left w:type="dxa" w:w="100"/>
              <w:bottom w:type="dxa" w:w="80"/>
              <w:right w:type="dxa" w:w="100"/>
            </w:tcMar>
            <w:vAlign w:val="center"/>
          </w:tcPr>
          <w:p>
            <w:r>
              <w:rPr>
                <w:b w:val="false"/>
                <w:bCs w:val="false"/>
                <w:sz w:val="19"/>
                <w:szCs w:val="19"/>
              </w:rPr>
              <w:t xml:space="preserve">Multi-GPU access (e.g., 2–4 GPUs, 40–80 GB VRAM class) to support 7–8B models, larger batch/context experiments, and parallel seed runs.</w:t>
            </w:r>
          </w:p>
        </w:tc>
      </w:tr>
      <w:tr>
        <w:tc>
          <w:tcPr>
            <w:tcW w:type="dxa" w:w="1600"/>
            <w:shd w:fill="DCE6F1" w:val="clear"/>
            <w:tcMar>
              <w:top w:type="dxa" w:w="80"/>
              <w:left w:type="dxa" w:w="100"/>
              <w:bottom w:type="dxa" w:w="80"/>
              <w:right w:type="dxa" w:w="100"/>
            </w:tcMar>
            <w:vAlign w:val="center"/>
          </w:tcPr>
          <w:p>
            <w:r>
              <w:rPr>
                <w:b w:val="false"/>
                <w:bCs w:val="false"/>
                <w:sz w:val="19"/>
                <w:szCs w:val="19"/>
              </w:rPr>
              <w:t xml:space="preserve">Storage</w:t>
            </w:r>
          </w:p>
        </w:tc>
        <w:tc>
          <w:tcPr>
            <w:tcW w:type="dxa" w:w="3813"/>
            <w:shd w:fill="DCE6F1" w:val="clear"/>
            <w:tcMar>
              <w:top w:type="dxa" w:w="80"/>
              <w:left w:type="dxa" w:w="100"/>
              <w:bottom w:type="dxa" w:w="80"/>
              <w:right w:type="dxa" w:w="100"/>
            </w:tcMar>
            <w:vAlign w:val="center"/>
          </w:tcPr>
          <w:p>
            <w:r>
              <w:rPr>
                <w:b w:val="false"/>
                <w:bCs w:val="false"/>
                <w:sz w:val="19"/>
                <w:szCs w:val="19"/>
              </w:rPr>
              <w:t xml:space="preserve">~200–500 GB for model checkpoints, cached activations for mechanistic analysis, and logged cache-transformation traces.</w:t>
            </w:r>
          </w:p>
        </w:tc>
        <w:tc>
          <w:tcPr>
            <w:tcW w:type="dxa" w:w="3613"/>
            <w:shd w:fill="DCE6F1" w:val="clear"/>
            <w:tcMar>
              <w:top w:type="dxa" w:w="80"/>
              <w:left w:type="dxa" w:w="100"/>
              <w:bottom w:type="dxa" w:w="80"/>
              <w:right w:type="dxa" w:w="100"/>
            </w:tcMar>
            <w:vAlign w:val="center"/>
          </w:tcPr>
          <w:p>
            <w:r>
              <w:rPr>
                <w:b w:val="false"/>
                <w:bCs w:val="false"/>
                <w:sz w:val="19"/>
                <w:szCs w:val="19"/>
              </w:rPr>
              <w:t xml:space="preserve">1–2 TB+ to retain checkpoints and traces across multiple model families, seeds, and the full experimental matrix.</w:t>
            </w:r>
          </w:p>
        </w:tc>
      </w:tr>
      <w:tr>
        <w:tc>
          <w:tcPr>
            <w:tcW w:type="dxa" w:w="1600"/>
            <w:tcMar>
              <w:top w:type="dxa" w:w="80"/>
              <w:left w:type="dxa" w:w="100"/>
              <w:bottom w:type="dxa" w:w="80"/>
              <w:right w:type="dxa" w:w="100"/>
            </w:tcMar>
            <w:vAlign w:val="center"/>
          </w:tcPr>
          <w:p>
            <w:r>
              <w:rPr>
                <w:b w:val="false"/>
                <w:bCs w:val="false"/>
                <w:sz w:val="19"/>
                <w:szCs w:val="19"/>
              </w:rPr>
              <w:t xml:space="preserve">Training</w:t>
            </w:r>
          </w:p>
        </w:tc>
        <w:tc>
          <w:tcPr>
            <w:tcW w:type="dxa" w:w="3813"/>
            <w:tcMar>
              <w:top w:type="dxa" w:w="80"/>
              <w:left w:type="dxa" w:w="100"/>
              <w:bottom w:type="dxa" w:w="80"/>
              <w:right w:type="dxa" w:w="100"/>
            </w:tcMar>
            <w:vAlign w:val="center"/>
          </w:tcPr>
          <w:p>
            <w:r>
              <w:rPr>
                <w:b w:val="false"/>
                <w:bCs w:val="false"/>
                <w:sz w:val="19"/>
                <w:szCs w:val="19"/>
              </w:rPr>
              <w:t xml:space="preserve">A handful of LoRA fine-tuning runs per attack variant (KQCB/KECB/KMCB) on one model.</w:t>
            </w:r>
          </w:p>
        </w:tc>
        <w:tc>
          <w:tcPr>
            <w:tcW w:type="dxa" w:w="3613"/>
            <w:tcMar>
              <w:top w:type="dxa" w:w="80"/>
              <w:left w:type="dxa" w:w="100"/>
              <w:bottom w:type="dxa" w:w="80"/>
              <w:right w:type="dxa" w:w="100"/>
            </w:tcMar>
            <w:vAlign w:val="center"/>
          </w:tcPr>
          <w:p>
            <w:r>
              <w:rPr>
                <w:b w:val="false"/>
                <w:bCs w:val="false"/>
                <w:sz w:val="19"/>
                <w:szCs w:val="19"/>
              </w:rPr>
              <w:t xml:space="preserve">Full sweep across 2–4 model families, 3+ seeds each, plus composed-trigger and threshold variants (Section 12).</w:t>
            </w:r>
          </w:p>
        </w:tc>
      </w:tr>
      <w:tr>
        <w:tc>
          <w:tcPr>
            <w:tcW w:type="dxa" w:w="1600"/>
            <w:shd w:fill="DCE6F1" w:val="clear"/>
            <w:tcMar>
              <w:top w:type="dxa" w:w="80"/>
              <w:left w:type="dxa" w:w="100"/>
              <w:bottom w:type="dxa" w:w="80"/>
              <w:right w:type="dxa" w:w="100"/>
            </w:tcMar>
            <w:vAlign w:val="center"/>
          </w:tcPr>
          <w:p>
            <w:r>
              <w:rPr>
                <w:b w:val="false"/>
                <w:bCs w:val="false"/>
                <w:sz w:val="19"/>
                <w:szCs w:val="19"/>
              </w:rPr>
              <w:t xml:space="preserve">Inference / evaluation</w:t>
            </w:r>
          </w:p>
        </w:tc>
        <w:tc>
          <w:tcPr>
            <w:tcW w:type="dxa" w:w="3813"/>
            <w:shd w:fill="DCE6F1" w:val="clear"/>
            <w:tcMar>
              <w:top w:type="dxa" w:w="80"/>
              <w:left w:type="dxa" w:w="100"/>
              <w:bottom w:type="dxa" w:w="80"/>
              <w:right w:type="dxa" w:w="100"/>
            </w:tcMar>
            <w:vAlign w:val="center"/>
          </w:tcPr>
          <w:p>
            <w:r>
              <w:rPr>
                <w:b w:val="false"/>
                <w:bCs w:val="false"/>
                <w:sz w:val="19"/>
                <w:szCs w:val="19"/>
              </w:rPr>
              <w:t xml:space="preserve">Baseline + backdoored model evaluated across the minimum experimental matrix (Section 14).</w:t>
            </w:r>
          </w:p>
        </w:tc>
        <w:tc>
          <w:tcPr>
            <w:tcW w:type="dxa" w:w="3613"/>
            <w:shd w:fill="DCE6F1" w:val="clear"/>
            <w:tcMar>
              <w:top w:type="dxa" w:w="80"/>
              <w:left w:type="dxa" w:w="100"/>
              <w:bottom w:type="dxa" w:w="80"/>
              <w:right w:type="dxa" w:w="100"/>
            </w:tcMar>
            <w:vAlign w:val="center"/>
          </w:tcPr>
          <w:p>
            <w:r>
              <w:rPr>
                <w:b w:val="false"/>
                <w:bCs w:val="false"/>
                <w:sz w:val="19"/>
                <w:szCs w:val="19"/>
              </w:rPr>
              <w:t xml:space="preserve">Full matrix including cross-policy, cross-model, and defense-ablation evaluation, plus long-context (32K–64K+) runs.</w:t>
            </w:r>
          </w:p>
        </w:tc>
      </w:tr>
    </w:tbl>
    <w:p>
      <w:pPr>
        <w:spacing w:after="100"/>
      </w:pPr>
    </w:p>
    <w:p>
      <w:pPr>
        <w:pStyle w:val="Heading1"/>
        <w:pBdr>
          <w:bottom w:val="single" w:color="1F3864" w:sz="6" w:space="4"/>
        </w:pBdr>
        <w:spacing w:after="200" w:before="400"/>
      </w:pPr>
      <w:r>
        <w:rPr>
          <w:b/>
          <w:bCs/>
          <w:color w:val="1F3864"/>
          <w:sz w:val="30"/>
          <w:szCs w:val="30"/>
        </w:rPr>
        <w:t xml:space="preserve">26.  Project Timeline</w:t>
      </w:r>
    </w:p>
    <w:p>
      <w:pPr>
        <w:spacing w:after="160" w:line="288"/>
        <w:jc w:val="both"/>
      </w:pPr>
      <w:r>
        <w:rPr>
          <w:sz w:val="21"/>
          <w:szCs w:val="21"/>
        </w:rPr>
        <w:t xml:space="preserve">Starting point: September 2026. A two-track path is assumed — an aggressive conference submission if the core phenomenon appears quickly, and a rolling journal path able to absorb a more mature systems/security evaluation if it does not.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700"/>
        <w:gridCol w:w="4526"/>
      </w:tblGrid>
      <w:tr>
        <w:trPr>
          <w:tblHeader/>
        </w:trPr>
        <w:tc>
          <w:tcPr>
            <w:tcW w:type="dxa" w:w="1800"/>
            <w:shd w:fill="1F3864" w:val="clear"/>
            <w:tcMar>
              <w:top w:type="dxa" w:w="80"/>
              <w:left w:type="dxa" w:w="100"/>
              <w:bottom w:type="dxa" w:w="80"/>
              <w:right w:type="dxa" w:w="100"/>
            </w:tcMar>
            <w:vAlign w:val="center"/>
          </w:tcPr>
          <w:p>
            <w:r>
              <w:rPr>
                <w:b/>
                <w:bCs/>
                <w:color w:val="FFFFFF"/>
                <w:sz w:val="19"/>
                <w:szCs w:val="19"/>
              </w:rPr>
              <w:t xml:space="preserve">Period</w:t>
            </w:r>
          </w:p>
        </w:tc>
        <w:tc>
          <w:tcPr>
            <w:tcW w:type="dxa" w:w="2700"/>
            <w:shd w:fill="1F3864" w:val="clear"/>
            <w:tcMar>
              <w:top w:type="dxa" w:w="80"/>
              <w:left w:type="dxa" w:w="100"/>
              <w:bottom w:type="dxa" w:w="80"/>
              <w:right w:type="dxa" w:w="100"/>
            </w:tcMar>
            <w:vAlign w:val="center"/>
          </w:tcPr>
          <w:p>
            <w:r>
              <w:rPr>
                <w:b/>
                <w:bCs/>
                <w:color w:val="FFFFFF"/>
                <w:sz w:val="19"/>
                <w:szCs w:val="19"/>
              </w:rPr>
              <w:t xml:space="preserve">Milestone</w:t>
            </w:r>
          </w:p>
        </w:tc>
        <w:tc>
          <w:tcPr>
            <w:tcW w:type="dxa" w:w="4526"/>
            <w:shd w:fill="1F3864" w:val="clear"/>
            <w:tcMar>
              <w:top w:type="dxa" w:w="80"/>
              <w:left w:type="dxa" w:w="100"/>
              <w:bottom w:type="dxa" w:w="80"/>
              <w:right w:type="dxa" w:w="100"/>
            </w:tcMar>
            <w:vAlign w:val="center"/>
          </w:tcPr>
          <w:p>
            <w:r>
              <w:rPr>
                <w:b/>
                <w:bCs/>
                <w:color w:val="FFFFFF"/>
                <w:sz w:val="19"/>
                <w:szCs w:val="19"/>
              </w:rPr>
              <w:t xml:space="preserve">Deliverable / Go–No-Go</w:t>
            </w:r>
          </w:p>
        </w:tc>
      </w:tr>
      <w:tr>
        <w:tc>
          <w:tcPr>
            <w:tcW w:type="dxa" w:w="1800"/>
            <w:tcMar>
              <w:top w:type="dxa" w:w="80"/>
              <w:left w:type="dxa" w:w="100"/>
              <w:bottom w:type="dxa" w:w="80"/>
              <w:right w:type="dxa" w:w="100"/>
            </w:tcMar>
            <w:vAlign w:val="center"/>
          </w:tcPr>
          <w:p>
            <w:r>
              <w:rPr>
                <w:b w:val="false"/>
                <w:bCs w:val="false"/>
                <w:sz w:val="19"/>
                <w:szCs w:val="19"/>
              </w:rPr>
              <w:t xml:space="preserve">Sep 2026</w:t>
            </w:r>
          </w:p>
        </w:tc>
        <w:tc>
          <w:tcPr>
            <w:tcW w:type="dxa" w:w="2700"/>
            <w:tcMar>
              <w:top w:type="dxa" w:w="80"/>
              <w:left w:type="dxa" w:w="100"/>
              <w:bottom w:type="dxa" w:w="80"/>
              <w:right w:type="dxa" w:w="100"/>
            </w:tcMar>
            <w:vAlign w:val="center"/>
          </w:tcPr>
          <w:p>
            <w:r>
              <w:rPr>
                <w:b w:val="false"/>
                <w:bCs w:val="false"/>
                <w:sz w:val="19"/>
                <w:szCs w:val="19"/>
              </w:rPr>
              <w:t xml:space="preserve">Instrumentation + baseline reproduction</w:t>
            </w:r>
          </w:p>
        </w:tc>
        <w:tc>
          <w:tcPr>
            <w:tcW w:type="dxa" w:w="4526"/>
            <w:tcMar>
              <w:top w:type="dxa" w:w="80"/>
              <w:left w:type="dxa" w:w="100"/>
              <w:bottom w:type="dxa" w:w="80"/>
              <w:right w:type="dxa" w:w="100"/>
            </w:tcMar>
            <w:vAlign w:val="center"/>
          </w:tcPr>
          <w:p>
            <w:r>
              <w:rPr>
                <w:b w:val="false"/>
                <w:bCs w:val="false"/>
                <w:sz w:val="19"/>
                <w:szCs w:val="19"/>
              </w:rPr>
              <w:t xml:space="preserve">Working cache A/B harness; at least one known compression-safety effect reproduced. Go/No-Go: can runtime state be controlled and measured deterministically? (Gate G1, G2)</w:t>
            </w:r>
          </w:p>
        </w:tc>
      </w:tr>
      <w:tr>
        <w:tc>
          <w:tcPr>
            <w:tcW w:type="dxa" w:w="1800"/>
            <w:shd w:fill="DCE6F1" w:val="clear"/>
            <w:tcMar>
              <w:top w:type="dxa" w:w="80"/>
              <w:left w:type="dxa" w:w="100"/>
              <w:bottom w:type="dxa" w:w="80"/>
              <w:right w:type="dxa" w:w="100"/>
            </w:tcMar>
            <w:vAlign w:val="center"/>
          </w:tcPr>
          <w:p>
            <w:r>
              <w:rPr>
                <w:b w:val="false"/>
                <w:bCs w:val="false"/>
                <w:sz w:val="19"/>
                <w:szCs w:val="19"/>
              </w:rPr>
              <w:t xml:space="preserve">Oct 2026</w:t>
            </w:r>
          </w:p>
        </w:tc>
        <w:tc>
          <w:tcPr>
            <w:tcW w:type="dxa" w:w="2700"/>
            <w:shd w:fill="DCE6F1" w:val="clear"/>
            <w:tcMar>
              <w:top w:type="dxa" w:w="80"/>
              <w:left w:type="dxa" w:w="100"/>
              <w:bottom w:type="dxa" w:w="80"/>
              <w:right w:type="dxa" w:w="100"/>
            </w:tcMar>
            <w:vAlign w:val="center"/>
          </w:tcPr>
          <w:p>
            <w:r>
              <w:rPr>
                <w:b w:val="false"/>
                <w:bCs w:val="false"/>
                <w:sz w:val="19"/>
                <w:szCs w:val="19"/>
              </w:rPr>
              <w:t xml:space="preserve">First KQCB prototype</w:t>
            </w:r>
          </w:p>
        </w:tc>
        <w:tc>
          <w:tcPr>
            <w:tcW w:type="dxa" w:w="4526"/>
            <w:shd w:fill="DCE6F1" w:val="clear"/>
            <w:tcMar>
              <w:top w:type="dxa" w:w="80"/>
              <w:left w:type="dxa" w:w="100"/>
              <w:bottom w:type="dxa" w:w="80"/>
              <w:right w:type="dxa" w:w="100"/>
            </w:tcMar>
            <w:vAlign w:val="center"/>
          </w:tcPr>
          <w:p>
            <w:r>
              <w:rPr>
                <w:b w:val="false"/>
                <w:bCs w:val="false"/>
                <w:sz w:val="19"/>
                <w:szCs w:val="19"/>
              </w:rPr>
              <w:t xml:space="preserve">Controlled full-cache vs. compressed-cache behavioural gap on one model, Stage-1 synthetic target. Go/No-Go: non-trivial RC-ASR with low false-activation rate? (Gate G3, G4)</w:t>
            </w:r>
          </w:p>
        </w:tc>
      </w:tr>
      <w:tr>
        <w:tc>
          <w:tcPr>
            <w:tcW w:type="dxa" w:w="1800"/>
            <w:tcMar>
              <w:top w:type="dxa" w:w="80"/>
              <w:left w:type="dxa" w:w="100"/>
              <w:bottom w:type="dxa" w:w="80"/>
              <w:right w:type="dxa" w:w="100"/>
            </w:tcMar>
            <w:vAlign w:val="center"/>
          </w:tcPr>
          <w:p>
            <w:r>
              <w:rPr>
                <w:b w:val="false"/>
                <w:bCs w:val="false"/>
                <w:sz w:val="19"/>
                <w:szCs w:val="19"/>
              </w:rPr>
              <w:t xml:space="preserve">Nov 2026</w:t>
            </w:r>
          </w:p>
        </w:tc>
        <w:tc>
          <w:tcPr>
            <w:tcW w:type="dxa" w:w="2700"/>
            <w:tcMar>
              <w:top w:type="dxa" w:w="80"/>
              <w:left w:type="dxa" w:w="100"/>
              <w:bottom w:type="dxa" w:w="80"/>
              <w:right w:type="dxa" w:w="100"/>
            </w:tcMar>
            <w:vAlign w:val="center"/>
          </w:tcPr>
          <w:p>
            <w:r>
              <w:rPr>
                <w:b w:val="false"/>
                <w:bCs w:val="false"/>
                <w:sz w:val="19"/>
                <w:szCs w:val="19"/>
              </w:rPr>
              <w:t xml:space="preserve">Eviction + policy specificity</w:t>
            </w:r>
          </w:p>
        </w:tc>
        <w:tc>
          <w:tcPr>
            <w:tcW w:type="dxa" w:w="4526"/>
            <w:tcMar>
              <w:top w:type="dxa" w:w="80"/>
              <w:left w:type="dxa" w:w="100"/>
              <w:bottom w:type="dxa" w:w="80"/>
              <w:right w:type="dxa" w:w="100"/>
            </w:tcMar>
            <w:vAlign w:val="center"/>
          </w:tcPr>
          <w:p>
            <w:r>
              <w:rPr>
                <w:b w:val="false"/>
                <w:bCs w:val="false"/>
                <w:sz w:val="19"/>
                <w:szCs w:val="19"/>
              </w:rPr>
              <w:t xml:space="preserve">At least two eviction methods evaluated, plus near-miss policies; first mechanistic analysis pass. Potential external deadline: IEEE S&amp;P Cycle 2 (17 Nov 2026).</w:t>
            </w:r>
          </w:p>
        </w:tc>
      </w:tr>
      <w:tr>
        <w:tc>
          <w:tcPr>
            <w:tcW w:type="dxa" w:w="1800"/>
            <w:shd w:fill="DCE6F1" w:val="clear"/>
            <w:tcMar>
              <w:top w:type="dxa" w:w="80"/>
              <w:left w:type="dxa" w:w="100"/>
              <w:bottom w:type="dxa" w:w="80"/>
              <w:right w:type="dxa" w:w="100"/>
            </w:tcMar>
            <w:vAlign w:val="center"/>
          </w:tcPr>
          <w:p>
            <w:r>
              <w:rPr>
                <w:b w:val="false"/>
                <w:bCs w:val="false"/>
                <w:sz w:val="19"/>
                <w:szCs w:val="19"/>
              </w:rPr>
              <w:t xml:space="preserve">Dec 2026 – Jan 2027</w:t>
            </w:r>
          </w:p>
        </w:tc>
        <w:tc>
          <w:tcPr>
            <w:tcW w:type="dxa" w:w="2700"/>
            <w:shd w:fill="DCE6F1" w:val="clear"/>
            <w:tcMar>
              <w:top w:type="dxa" w:w="80"/>
              <w:left w:type="dxa" w:w="100"/>
              <w:bottom w:type="dxa" w:w="80"/>
              <w:right w:type="dxa" w:w="100"/>
            </w:tcMar>
            <w:vAlign w:val="center"/>
          </w:tcPr>
          <w:p>
            <w:r>
              <w:rPr>
                <w:b w:val="false"/>
                <w:bCs w:val="false"/>
                <w:sz w:val="19"/>
                <w:szCs w:val="19"/>
              </w:rPr>
              <w:t xml:space="preserve">Cross-model + context/budget triggers</w:t>
            </w:r>
          </w:p>
        </w:tc>
        <w:tc>
          <w:tcPr>
            <w:tcW w:type="dxa" w:w="4526"/>
            <w:shd w:fill="DCE6F1" w:val="clear"/>
            <w:tcMar>
              <w:top w:type="dxa" w:w="80"/>
              <w:left w:type="dxa" w:w="100"/>
              <w:bottom w:type="dxa" w:w="80"/>
              <w:right w:type="dxa" w:w="100"/>
            </w:tcMar>
            <w:vAlign w:val="center"/>
          </w:tcPr>
          <w:p>
            <w:r>
              <w:rPr>
                <w:b w:val="false"/>
                <w:bCs w:val="false"/>
                <w:sz w:val="19"/>
                <w:szCs w:val="19"/>
              </w:rPr>
              <w:t xml:space="preserve">2–3 model families; context- and budget-threshold experiments; first defense prototype.</w:t>
            </w:r>
          </w:p>
        </w:tc>
      </w:tr>
      <w:tr>
        <w:tc>
          <w:tcPr>
            <w:tcW w:type="dxa" w:w="1800"/>
            <w:tcMar>
              <w:top w:type="dxa" w:w="80"/>
              <w:left w:type="dxa" w:w="100"/>
              <w:bottom w:type="dxa" w:w="80"/>
              <w:right w:type="dxa" w:w="100"/>
            </w:tcMar>
            <w:vAlign w:val="center"/>
          </w:tcPr>
          <w:p>
            <w:r>
              <w:rPr>
                <w:b w:val="false"/>
                <w:bCs w:val="false"/>
                <w:sz w:val="19"/>
                <w:szCs w:val="19"/>
              </w:rPr>
              <w:t xml:space="preserve">Jan 2027</w:t>
            </w:r>
          </w:p>
        </w:tc>
        <w:tc>
          <w:tcPr>
            <w:tcW w:type="dxa" w:w="2700"/>
            <w:tcMar>
              <w:top w:type="dxa" w:w="80"/>
              <w:left w:type="dxa" w:w="100"/>
              <w:bottom w:type="dxa" w:w="80"/>
              <w:right w:type="dxa" w:w="100"/>
            </w:tcMar>
            <w:vAlign w:val="center"/>
          </w:tcPr>
          <w:p>
            <w:r>
              <w:rPr>
                <w:b w:val="false"/>
                <w:bCs w:val="false"/>
                <w:sz w:val="19"/>
                <w:szCs w:val="19"/>
              </w:rPr>
              <w:t xml:space="preserve">Defense evaluation and write-up prep</w:t>
            </w:r>
          </w:p>
        </w:tc>
        <w:tc>
          <w:tcPr>
            <w:tcW w:type="dxa" w:w="4526"/>
            <w:tcMar>
              <w:top w:type="dxa" w:w="80"/>
              <w:left w:type="dxa" w:w="100"/>
              <w:bottom w:type="dxa" w:w="80"/>
              <w:right w:type="dxa" w:w="100"/>
            </w:tcMar>
            <w:vAlign w:val="center"/>
          </w:tcPr>
          <w:p>
            <w:r>
              <w:rPr>
                <w:b w:val="false"/>
                <w:bCs w:val="false"/>
                <w:sz w:val="19"/>
                <w:szCs w:val="19"/>
              </w:rPr>
              <w:t xml:space="preserve">Cache-aware differential audit implemented and evaluated against the strongest attack variant found so far (Gate G8).</w:t>
            </w:r>
          </w:p>
        </w:tc>
      </w:tr>
      <w:tr>
        <w:tc>
          <w:tcPr>
            <w:tcW w:type="dxa" w:w="1800"/>
            <w:shd w:fill="DCE6F1" w:val="clear"/>
            <w:tcMar>
              <w:top w:type="dxa" w:w="80"/>
              <w:left w:type="dxa" w:w="100"/>
              <w:bottom w:type="dxa" w:w="80"/>
              <w:right w:type="dxa" w:w="100"/>
            </w:tcMar>
            <w:vAlign w:val="center"/>
          </w:tcPr>
          <w:p>
            <w:r>
              <w:rPr>
                <w:b w:val="false"/>
                <w:bCs w:val="false"/>
                <w:sz w:val="19"/>
                <w:szCs w:val="19"/>
              </w:rPr>
              <w:t xml:space="preserve">Feb–Apr 2027</w:t>
            </w:r>
          </w:p>
        </w:tc>
        <w:tc>
          <w:tcPr>
            <w:tcW w:type="dxa" w:w="2700"/>
            <w:shd w:fill="DCE6F1" w:val="clear"/>
            <w:tcMar>
              <w:top w:type="dxa" w:w="80"/>
              <w:left w:type="dxa" w:w="100"/>
              <w:bottom w:type="dxa" w:w="80"/>
              <w:right w:type="dxa" w:w="100"/>
            </w:tcMar>
            <w:vAlign w:val="center"/>
          </w:tcPr>
          <w:p>
            <w:r>
              <w:rPr>
                <w:b w:val="false"/>
                <w:bCs w:val="false"/>
                <w:sz w:val="19"/>
                <w:szCs w:val="19"/>
              </w:rPr>
              <w:t xml:space="preserve">Full evaluation and synopsis-to-paper expansion</w:t>
            </w:r>
          </w:p>
        </w:tc>
        <w:tc>
          <w:tcPr>
            <w:tcW w:type="dxa" w:w="4526"/>
            <w:shd w:fill="DCE6F1" w:val="clear"/>
            <w:tcMar>
              <w:top w:type="dxa" w:w="80"/>
              <w:left w:type="dxa" w:w="100"/>
              <w:bottom w:type="dxa" w:w="80"/>
              <w:right w:type="dxa" w:w="100"/>
            </w:tcMar>
            <w:vAlign w:val="center"/>
          </w:tcPr>
          <w:p>
            <w:r>
              <w:rPr>
                <w:b w:val="false"/>
                <w:bCs w:val="false"/>
                <w:sz w:val="19"/>
                <w:szCs w:val="19"/>
              </w:rPr>
              <w:t xml:space="preserve">Merging (KMCB), adaptive/load-conditioned triggers if time permits, broader benchmarks, full statistical reporting (Section 18).</w:t>
            </w:r>
          </w:p>
        </w:tc>
      </w:tr>
      <w:tr>
        <w:tc>
          <w:tcPr>
            <w:tcW w:type="dxa" w:w="1800"/>
            <w:tcMar>
              <w:top w:type="dxa" w:w="80"/>
              <w:left w:type="dxa" w:w="100"/>
              <w:bottom w:type="dxa" w:w="80"/>
              <w:right w:type="dxa" w:w="100"/>
            </w:tcMar>
            <w:vAlign w:val="center"/>
          </w:tcPr>
          <w:p>
            <w:r>
              <w:rPr>
                <w:b w:val="false"/>
                <w:bCs w:val="false"/>
                <w:sz w:val="19"/>
                <w:szCs w:val="19"/>
              </w:rPr>
              <w:t xml:space="preserve">Rolling, as scheduling allows</w:t>
            </w:r>
          </w:p>
        </w:tc>
        <w:tc>
          <w:tcPr>
            <w:tcW w:type="dxa" w:w="2700"/>
            <w:tcMar>
              <w:top w:type="dxa" w:w="80"/>
              <w:left w:type="dxa" w:w="100"/>
              <w:bottom w:type="dxa" w:w="80"/>
              <w:right w:type="dxa" w:w="100"/>
            </w:tcMar>
            <w:vAlign w:val="center"/>
          </w:tcPr>
          <w:p>
            <w:r>
              <w:rPr>
                <w:b w:val="false"/>
                <w:bCs w:val="false"/>
                <w:sz w:val="19"/>
                <w:szCs w:val="19"/>
              </w:rPr>
              <w:t xml:space="preserve">Conference / journal submission</w:t>
            </w:r>
          </w:p>
        </w:tc>
        <w:tc>
          <w:tcPr>
            <w:tcW w:type="dxa" w:w="4526"/>
            <w:tcMar>
              <w:top w:type="dxa" w:w="80"/>
              <w:left w:type="dxa" w:w="100"/>
              <w:bottom w:type="dxa" w:w="80"/>
              <w:right w:type="dxa" w:w="100"/>
            </w:tcMar>
            <w:vAlign w:val="center"/>
          </w:tcPr>
          <w:p>
            <w:r>
              <w:rPr>
                <w:b w:val="false"/>
                <w:bCs w:val="false"/>
                <w:sz w:val="19"/>
                <w:szCs w:val="19"/>
              </w:rPr>
              <w:t xml:space="preserve">Venue choice follows the final contribution's centre of gravity (security-and-defense vs. systems-and-efficiency vs. ML-mechanism); see note below.</w:t>
            </w:r>
          </w:p>
        </w:tc>
      </w:tr>
    </w:tbl>
    <w:tbl>
      <w:tblPr>
        <w:tblW w:type="dxa" w:w="9026"/>
        <w:tblBorders>
          <w:top w:val="single" w:color="9C6B1F" w:sz="8"/>
          <w:left w:val="single" w:color="9C6B1F" w:sz="8"/>
          <w:bottom w:val="single" w:color="9C6B1F" w:sz="8"/>
          <w:right w:val="single" w:color="9C6B1F" w:sz="8"/>
          <w:insideH w:val="none"/>
          <w:insideV w:val="none"/>
        </w:tblBorders>
      </w:tblPr>
      <w:tblGrid>
        <w:gridCol w:w="9026"/>
      </w:tblGrid>
      <w:tr>
        <w:tc>
          <w:tcPr>
            <w:tcW w:type="dxa" w:w="9026"/>
            <w:shd w:fill="F3E9D2" w:val="clear"/>
            <w:tcMar>
              <w:top w:type="dxa" w:w="160"/>
              <w:left w:type="dxa" w:w="200"/>
              <w:bottom w:type="dxa" w:w="160"/>
              <w:right w:type="dxa" w:w="200"/>
            </w:tcMar>
          </w:tcPr>
          <w:p>
            <w:pPr>
              <w:spacing w:after="80"/>
            </w:pPr>
            <w:r>
              <w:rPr>
                <w:b/>
                <w:bCs/>
                <w:color w:val="9C6B1F"/>
                <w:sz w:val="21"/>
                <w:szCs w:val="21"/>
              </w:rPr>
              <w:t xml:space="preserve">Deadline caveat</w:t>
            </w:r>
          </w:p>
          <w:p>
            <w:pPr>
              <w:spacing w:after="60" w:line="276"/>
            </w:pPr>
            <w:r>
              <w:rPr>
                <w:sz w:val="20"/>
                <w:szCs w:val="20"/>
              </w:rPr>
              <w:t xml:space="preserve">Venue dates change frequently and should be re-checked against the official call for papers immediately before committing to a submission calendar. Any specific dates used for planning in this synopsis reflect a snapshot at the time of writing and are not guaranteed to remain current.</w:t>
            </w:r>
          </w:p>
        </w:tc>
      </w:tr>
    </w:tbl>
    <w:p>
      <w:pPr>
        <w:spacing w:after="100"/>
      </w:pPr>
    </w:p>
    <w:p>
      <w:pPr>
        <w:pStyle w:val="Heading1"/>
        <w:pBdr>
          <w:bottom w:val="single" w:color="1F3864" w:sz="6" w:space="4"/>
        </w:pBdr>
        <w:spacing w:after="200" w:before="400"/>
      </w:pPr>
      <w:r>
        <w:rPr>
          <w:b/>
          <w:bCs/>
          <w:color w:val="1F3864"/>
          <w:sz w:val="30"/>
          <w:szCs w:val="30"/>
        </w:rPr>
        <w:t xml:space="preserve">27.  Risk Register</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300"/>
        <w:gridCol w:w="1300"/>
        <w:gridCol w:w="1300"/>
        <w:gridCol w:w="4126"/>
      </w:tblGrid>
      <w:tr>
        <w:trPr>
          <w:tblHeader/>
        </w:trPr>
        <w:tc>
          <w:tcPr>
            <w:tcW w:type="dxa" w:w="2300"/>
            <w:shd w:fill="1F3864" w:val="clear"/>
            <w:tcMar>
              <w:top w:type="dxa" w:w="80"/>
              <w:left w:type="dxa" w:w="100"/>
              <w:bottom w:type="dxa" w:w="80"/>
              <w:right w:type="dxa" w:w="100"/>
            </w:tcMar>
            <w:vAlign w:val="center"/>
          </w:tcPr>
          <w:p>
            <w:r>
              <w:rPr>
                <w:b/>
                <w:bCs/>
                <w:color w:val="FFFFFF"/>
                <w:sz w:val="19"/>
                <w:szCs w:val="19"/>
              </w:rPr>
              <w:t xml:space="preserve">Risk</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Probability</w:t>
            </w:r>
          </w:p>
        </w:tc>
        <w:tc>
          <w:tcPr>
            <w:tcW w:type="dxa" w:w="1300"/>
            <w:shd w:fill="1F3864" w:val="clear"/>
            <w:tcMar>
              <w:top w:type="dxa" w:w="80"/>
              <w:left w:type="dxa" w:w="100"/>
              <w:bottom w:type="dxa" w:w="80"/>
              <w:right w:type="dxa" w:w="100"/>
            </w:tcMar>
            <w:vAlign w:val="center"/>
          </w:tcPr>
          <w:p>
            <w:r>
              <w:rPr>
                <w:b/>
                <w:bCs/>
                <w:color w:val="FFFFFF"/>
                <w:sz w:val="19"/>
                <w:szCs w:val="19"/>
              </w:rPr>
              <w:t xml:space="preserve">Impact</w:t>
            </w:r>
          </w:p>
        </w:tc>
        <w:tc>
          <w:tcPr>
            <w:tcW w:type="dxa" w:w="4126"/>
            <w:shd w:fill="1F3864" w:val="clear"/>
            <w:tcMar>
              <w:top w:type="dxa" w:w="80"/>
              <w:left w:type="dxa" w:w="100"/>
              <w:bottom w:type="dxa" w:w="80"/>
              <w:right w:type="dxa" w:w="100"/>
            </w:tcMar>
            <w:vAlign w:val="center"/>
          </w:tcPr>
          <w:p>
            <w:r>
              <w:rPr>
                <w:b/>
                <w:bCs/>
                <w:color w:val="FFFFFF"/>
                <w:sz w:val="19"/>
                <w:szCs w:val="19"/>
              </w:rPr>
              <w:t xml:space="preserve">Mitigation</w:t>
            </w:r>
          </w:p>
        </w:tc>
      </w:tr>
      <w:tr>
        <w:tc>
          <w:tcPr>
            <w:tcW w:type="dxa" w:w="2300"/>
            <w:tcMar>
              <w:top w:type="dxa" w:w="80"/>
              <w:left w:type="dxa" w:w="100"/>
              <w:bottom w:type="dxa" w:w="80"/>
              <w:right w:type="dxa" w:w="100"/>
            </w:tcMar>
            <w:vAlign w:val="center"/>
          </w:tcPr>
          <w:p>
            <w:r>
              <w:rPr>
                <w:b w:val="false"/>
                <w:bCs w:val="false"/>
                <w:sz w:val="19"/>
                <w:szCs w:val="19"/>
              </w:rPr>
              <w:t xml:space="preserve">Inability to reproduce cache transformations deterministically</w:t>
            </w:r>
          </w:p>
        </w:tc>
        <w:tc>
          <w:tcPr>
            <w:tcW w:type="dxa" w:w="1300"/>
            <w:tcMar>
              <w:top w:type="dxa" w:w="80"/>
              <w:left w:type="dxa" w:w="100"/>
              <w:bottom w:type="dxa" w:w="80"/>
              <w:right w:type="dxa" w:w="100"/>
            </w:tcMar>
            <w:vAlign w:val="center"/>
          </w:tcPr>
          <w:p>
            <w:r>
              <w:rPr>
                <w:b w:val="false"/>
                <w:bCs w:val="false"/>
                <w:sz w:val="19"/>
                <w:szCs w:val="19"/>
              </w:rPr>
              <w:t xml:space="preserve">Low–Medium</w:t>
            </w:r>
          </w:p>
        </w:tc>
        <w:tc>
          <w:tcPr>
            <w:tcW w:type="dxa" w:w="1300"/>
            <w:tcMar>
              <w:top w:type="dxa" w:w="80"/>
              <w:left w:type="dxa" w:w="100"/>
              <w:bottom w:type="dxa" w:w="80"/>
              <w:right w:type="dxa" w:w="100"/>
            </w:tcMar>
            <w:vAlign w:val="center"/>
          </w:tcPr>
          <w:p>
            <w:r>
              <w:rPr>
                <w:b w:val="false"/>
                <w:bCs w:val="false"/>
                <w:sz w:val="19"/>
                <w:szCs w:val="19"/>
              </w:rPr>
              <w:t xml:space="preserve">High — blocks all downstream phases</w:t>
            </w:r>
          </w:p>
        </w:tc>
        <w:tc>
          <w:tcPr>
            <w:tcW w:type="dxa" w:w="4126"/>
            <w:tcMar>
              <w:top w:type="dxa" w:w="80"/>
              <w:left w:type="dxa" w:w="100"/>
              <w:bottom w:type="dxa" w:w="80"/>
              <w:right w:type="dxa" w:w="100"/>
            </w:tcMar>
            <w:vAlign w:val="center"/>
          </w:tcPr>
          <w:p>
            <w:r>
              <w:rPr>
                <w:b w:val="false"/>
                <w:bCs w:val="false"/>
                <w:sz w:val="19"/>
                <w:szCs w:val="19"/>
              </w:rPr>
              <w:t xml:space="preserve">Invest early in Phase 0 instrumentation; validate determinism before any training begins (Gate G1).</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No measurable baseline effect on clean models</w:t>
            </w:r>
          </w:p>
        </w:tc>
        <w:tc>
          <w:tcPr>
            <w:tcW w:type="dxa" w:w="1300"/>
            <w:shd w:fill="DCE6F1" w:val="clear"/>
            <w:tcMar>
              <w:top w:type="dxa" w:w="80"/>
              <w:left w:type="dxa" w:w="100"/>
              <w:bottom w:type="dxa" w:w="80"/>
              <w:right w:type="dxa" w:w="100"/>
            </w:tcMar>
            <w:vAlign w:val="center"/>
          </w:tcPr>
          <w:p>
            <w:r>
              <w:rPr>
                <w:b w:val="false"/>
                <w:bCs w:val="false"/>
                <w:sz w:val="19"/>
                <w:szCs w:val="19"/>
              </w:rPr>
              <w:t xml:space="preserve">Low</w:t>
            </w:r>
          </w:p>
        </w:tc>
        <w:tc>
          <w:tcPr>
            <w:tcW w:type="dxa" w:w="1300"/>
            <w:shd w:fill="DCE6F1" w:val="clear"/>
            <w:tcMar>
              <w:top w:type="dxa" w:w="80"/>
              <w:left w:type="dxa" w:w="100"/>
              <w:bottom w:type="dxa" w:w="80"/>
              <w:right w:type="dxa" w:w="100"/>
            </w:tcMar>
            <w:vAlign w:val="center"/>
          </w:tcPr>
          <w:p>
            <w:r>
              <w:rPr>
                <w:b w:val="false"/>
                <w:bCs w:val="false"/>
                <w:sz w:val="19"/>
                <w:szCs w:val="19"/>
              </w:rPr>
              <w:t xml:space="preserve">Medium — weakens motivation but does not block the attack question</w:t>
            </w:r>
          </w:p>
        </w:tc>
        <w:tc>
          <w:tcPr>
            <w:tcW w:type="dxa" w:w="4126"/>
            <w:shd w:fill="DCE6F1" w:val="clear"/>
            <w:tcMar>
              <w:top w:type="dxa" w:w="80"/>
              <w:left w:type="dxa" w:w="100"/>
              <w:bottom w:type="dxa" w:w="80"/>
              <w:right w:type="dxa" w:w="100"/>
            </w:tcMar>
            <w:vAlign w:val="center"/>
          </w:tcPr>
          <w:p>
            <w:r>
              <w:rPr>
                <w:b w:val="false"/>
                <w:bCs w:val="false"/>
                <w:sz w:val="19"/>
                <w:szCs w:val="19"/>
              </w:rPr>
              <w:t xml:space="preserve">Fall back on published Group B findings as motivation even if local reproduction is partial; report as a scoped limitation.</w:t>
            </w:r>
          </w:p>
        </w:tc>
      </w:tr>
      <w:tr>
        <w:tc>
          <w:tcPr>
            <w:tcW w:type="dxa" w:w="2300"/>
            <w:tcMar>
              <w:top w:type="dxa" w:w="80"/>
              <w:left w:type="dxa" w:w="100"/>
              <w:bottom w:type="dxa" w:w="80"/>
              <w:right w:type="dxa" w:w="100"/>
            </w:tcMar>
            <w:vAlign w:val="center"/>
          </w:tcPr>
          <w:p>
            <w:r>
              <w:rPr>
                <w:b w:val="false"/>
                <w:bCs w:val="false"/>
                <w:sz w:val="19"/>
                <w:szCs w:val="19"/>
              </w:rPr>
              <w:t xml:space="preserve">Inability to implant a reliable runtime-conditioned behaviour</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300"/>
            <w:tcMar>
              <w:top w:type="dxa" w:w="80"/>
              <w:left w:type="dxa" w:w="100"/>
              <w:bottom w:type="dxa" w:w="80"/>
              <w:right w:type="dxa" w:w="100"/>
            </w:tcMar>
            <w:vAlign w:val="center"/>
          </w:tcPr>
          <w:p>
            <w:r>
              <w:rPr>
                <w:b w:val="false"/>
                <w:bCs w:val="false"/>
                <w:sz w:val="19"/>
                <w:szCs w:val="19"/>
              </w:rPr>
              <w:t xml:space="preserve">High — central hypothesis fails (Gate G3)</w:t>
            </w:r>
          </w:p>
        </w:tc>
        <w:tc>
          <w:tcPr>
            <w:tcW w:type="dxa" w:w="4126"/>
            <w:tcMar>
              <w:top w:type="dxa" w:w="80"/>
              <w:left w:type="dxa" w:w="100"/>
              <w:bottom w:type="dxa" w:w="80"/>
              <w:right w:type="dxa" w:w="100"/>
            </w:tcMar>
            <w:vAlign w:val="center"/>
          </w:tcPr>
          <w:p>
            <w:r>
              <w:rPr>
                <w:b w:val="false"/>
                <w:bCs w:val="false"/>
                <w:sz w:val="19"/>
                <w:szCs w:val="19"/>
              </w:rPr>
              <w:t xml:space="preserve">Start with the most tractable variant (KQCB, Stage-1 synthetic target) before attempting harder variants; treat as a genuine, reportable negative result (Section 19.3) rather than a project failure.</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Attack too broad (activates under many policies)</w:t>
            </w:r>
          </w:p>
        </w:tc>
        <w:tc>
          <w:tcPr>
            <w:tcW w:type="dxa" w:w="1300"/>
            <w:shd w:fill="DCE6F1" w:val="clear"/>
            <w:tcMar>
              <w:top w:type="dxa" w:w="80"/>
              <w:left w:type="dxa" w:w="100"/>
              <w:bottom w:type="dxa" w:w="80"/>
              <w:right w:type="dxa" w:w="100"/>
            </w:tcMar>
            <w:vAlign w:val="center"/>
          </w:tcPr>
          <w:p>
            <w:r>
              <w:rPr>
                <w:b w:val="false"/>
                <w:bCs w:val="false"/>
                <w:sz w:val="19"/>
                <w:szCs w:val="19"/>
              </w:rPr>
              <w:t xml:space="preserve">Medium</w:t>
            </w:r>
          </w:p>
        </w:tc>
        <w:tc>
          <w:tcPr>
            <w:tcW w:type="dxa" w:w="1300"/>
            <w:shd w:fill="DCE6F1" w:val="clear"/>
            <w:tcMar>
              <w:top w:type="dxa" w:w="80"/>
              <w:left w:type="dxa" w:w="100"/>
              <w:bottom w:type="dxa" w:w="80"/>
              <w:right w:type="dxa" w:w="100"/>
            </w:tcMar>
            <w:vAlign w:val="center"/>
          </w:tcPr>
          <w:p>
            <w:r>
              <w:rPr>
                <w:b w:val="false"/>
                <w:bCs w:val="false"/>
                <w:sz w:val="19"/>
                <w:szCs w:val="19"/>
              </w:rPr>
              <w:t xml:space="preserve">Medium — weakens novelty and specificity claims</w:t>
            </w:r>
          </w:p>
        </w:tc>
        <w:tc>
          <w:tcPr>
            <w:tcW w:type="dxa" w:w="4126"/>
            <w:shd w:fill="DCE6F1" w:val="clear"/>
            <w:tcMar>
              <w:top w:type="dxa" w:w="80"/>
              <w:left w:type="dxa" w:w="100"/>
              <w:bottom w:type="dxa" w:w="80"/>
              <w:right w:type="dxa" w:w="100"/>
            </w:tcMar>
            <w:vAlign w:val="center"/>
          </w:tcPr>
          <w:p>
            <w:r>
              <w:rPr>
                <w:b w:val="false"/>
                <w:bCs w:val="false"/>
                <w:sz w:val="19"/>
                <w:szCs w:val="19"/>
              </w:rPr>
              <w:t xml:space="preserve">Add an explicit stealth/specificity penalty during training (Phase 2, step 5); report near-miss activation honestly.</w:t>
            </w:r>
          </w:p>
        </w:tc>
      </w:tr>
      <w:tr>
        <w:tc>
          <w:tcPr>
            <w:tcW w:type="dxa" w:w="2300"/>
            <w:tcMar>
              <w:top w:type="dxa" w:w="80"/>
              <w:left w:type="dxa" w:w="100"/>
              <w:bottom w:type="dxa" w:w="80"/>
              <w:right w:type="dxa" w:w="100"/>
            </w:tcMar>
            <w:vAlign w:val="center"/>
          </w:tcPr>
          <w:p>
            <w:r>
              <w:rPr>
                <w:b w:val="false"/>
                <w:bCs w:val="false"/>
                <w:sz w:val="19"/>
                <w:szCs w:val="19"/>
              </w:rPr>
              <w:t xml:space="preserve">Attack too brittle (only one exact implementation)</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300"/>
            <w:tcMar>
              <w:top w:type="dxa" w:w="80"/>
              <w:left w:type="dxa" w:w="100"/>
              <w:bottom w:type="dxa" w:w="80"/>
              <w:right w:type="dxa" w:w="100"/>
            </w:tcMar>
            <w:vAlign w:val="center"/>
          </w:tcPr>
          <w:p>
            <w:r>
              <w:rPr>
                <w:b w:val="false"/>
                <w:bCs w:val="false"/>
                <w:sz w:val="19"/>
                <w:szCs w:val="19"/>
              </w:rPr>
              <w:t xml:space="preserve">Low–Medium — still scientifically interesting</w:t>
            </w:r>
          </w:p>
        </w:tc>
        <w:tc>
          <w:tcPr>
            <w:tcW w:type="dxa" w:w="4126"/>
            <w:tcMar>
              <w:top w:type="dxa" w:w="80"/>
              <w:left w:type="dxa" w:w="100"/>
              <w:bottom w:type="dxa" w:w="80"/>
              <w:right w:type="dxa" w:w="100"/>
            </w:tcMar>
            <w:vAlign w:val="center"/>
          </w:tcPr>
          <w:p>
            <w:r>
              <w:rPr>
                <w:b w:val="false"/>
                <w:bCs w:val="false"/>
                <w:sz w:val="19"/>
                <w:szCs w:val="19"/>
              </w:rPr>
              <w:t xml:space="preserve">Reframe as a fingerprinted-runtime trigger and explicitly test portability across implementations before concluding brittleness.</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Utility degradation under the backdoored model</w:t>
            </w:r>
          </w:p>
        </w:tc>
        <w:tc>
          <w:tcPr>
            <w:tcW w:type="dxa" w:w="1300"/>
            <w:shd w:fill="DCE6F1" w:val="clear"/>
            <w:tcMar>
              <w:top w:type="dxa" w:w="80"/>
              <w:left w:type="dxa" w:w="100"/>
              <w:bottom w:type="dxa" w:w="80"/>
              <w:right w:type="dxa" w:w="100"/>
            </w:tcMar>
            <w:vAlign w:val="center"/>
          </w:tcPr>
          <w:p>
            <w:r>
              <w:rPr>
                <w:b w:val="false"/>
                <w:bCs w:val="false"/>
                <w:sz w:val="19"/>
                <w:szCs w:val="19"/>
              </w:rPr>
              <w:t xml:space="preserve">Medium</w:t>
            </w:r>
          </w:p>
        </w:tc>
        <w:tc>
          <w:tcPr>
            <w:tcW w:type="dxa" w:w="1300"/>
            <w:shd w:fill="DCE6F1" w:val="clear"/>
            <w:tcMar>
              <w:top w:type="dxa" w:w="80"/>
              <w:left w:type="dxa" w:w="100"/>
              <w:bottom w:type="dxa" w:w="80"/>
              <w:right w:type="dxa" w:w="100"/>
            </w:tcMar>
            <w:vAlign w:val="center"/>
          </w:tcPr>
          <w:p>
            <w:r>
              <w:rPr>
                <w:b w:val="false"/>
                <w:bCs w:val="false"/>
                <w:sz w:val="19"/>
                <w:szCs w:val="19"/>
              </w:rPr>
              <w:t xml:space="preserve">Medium — undermines stealth and practicality</w:t>
            </w:r>
          </w:p>
        </w:tc>
        <w:tc>
          <w:tcPr>
            <w:tcW w:type="dxa" w:w="4126"/>
            <w:shd w:fill="DCE6F1" w:val="clear"/>
            <w:tcMar>
              <w:top w:type="dxa" w:w="80"/>
              <w:left w:type="dxa" w:w="100"/>
              <w:bottom w:type="dxa" w:w="80"/>
              <w:right w:type="dxa" w:w="100"/>
            </w:tcMar>
            <w:vAlign w:val="center"/>
          </w:tcPr>
          <w:p>
            <w:r>
              <w:rPr>
                <w:b w:val="false"/>
                <w:bCs w:val="false"/>
                <w:sz w:val="19"/>
                <w:szCs w:val="19"/>
              </w:rPr>
              <w:t xml:space="preserve">Add explicit utility-preservation loss terms; consider revisiting the mechanism if degradation persists.</w:t>
            </w:r>
          </w:p>
        </w:tc>
      </w:tr>
      <w:tr>
        <w:tc>
          <w:tcPr>
            <w:tcW w:type="dxa" w:w="2300"/>
            <w:tcMar>
              <w:top w:type="dxa" w:w="80"/>
              <w:left w:type="dxa" w:w="100"/>
              <w:bottom w:type="dxa" w:w="80"/>
              <w:right w:type="dxa" w:w="100"/>
            </w:tcMar>
            <w:vAlign w:val="center"/>
          </w:tcPr>
          <w:p>
            <w:r>
              <w:rPr>
                <w:b w:val="false"/>
                <w:bCs w:val="false"/>
                <w:sz w:val="19"/>
                <w:szCs w:val="19"/>
              </w:rPr>
              <w:t xml:space="preserve">Insufficient compute for the full experimental matrix</w:t>
            </w:r>
          </w:p>
        </w:tc>
        <w:tc>
          <w:tcPr>
            <w:tcW w:type="dxa" w:w="1300"/>
            <w:tcMar>
              <w:top w:type="dxa" w:w="80"/>
              <w:left w:type="dxa" w:w="100"/>
              <w:bottom w:type="dxa" w:w="80"/>
              <w:right w:type="dxa" w:w="100"/>
            </w:tcMar>
            <w:vAlign w:val="center"/>
          </w:tcPr>
          <w:p>
            <w:r>
              <w:rPr>
                <w:b w:val="false"/>
                <w:bCs w:val="false"/>
                <w:sz w:val="19"/>
                <w:szCs w:val="19"/>
              </w:rPr>
              <w:t xml:space="preserve">Medium</w:t>
            </w:r>
          </w:p>
        </w:tc>
        <w:tc>
          <w:tcPr>
            <w:tcW w:type="dxa" w:w="1300"/>
            <w:tcMar>
              <w:top w:type="dxa" w:w="80"/>
              <w:left w:type="dxa" w:w="100"/>
              <w:bottom w:type="dxa" w:w="80"/>
              <w:right w:type="dxa" w:w="100"/>
            </w:tcMar>
            <w:vAlign w:val="center"/>
          </w:tcPr>
          <w:p>
            <w:r>
              <w:rPr>
                <w:b w:val="false"/>
                <w:bCs w:val="false"/>
                <w:sz w:val="19"/>
                <w:szCs w:val="19"/>
              </w:rPr>
              <w:t xml:space="preserve">Medium — limits scope, not core validity</w:t>
            </w:r>
          </w:p>
        </w:tc>
        <w:tc>
          <w:tcPr>
            <w:tcW w:type="dxa" w:w="4126"/>
            <w:tcMar>
              <w:top w:type="dxa" w:w="80"/>
              <w:left w:type="dxa" w:w="100"/>
              <w:bottom w:type="dxa" w:w="80"/>
              <w:right w:type="dxa" w:w="100"/>
            </w:tcMar>
            <w:vAlign w:val="center"/>
          </w:tcPr>
          <w:p>
            <w:r>
              <w:rPr>
                <w:b w:val="false"/>
                <w:bCs w:val="false"/>
                <w:sz w:val="19"/>
                <w:szCs w:val="19"/>
              </w:rPr>
              <w:t xml:space="preserve">Prioritise the minimum viable matrix (Section 14) first; treat the stronger matrix as stretch goals contingent on available compute.</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Lack of cross-model generalisation</w:t>
            </w:r>
          </w:p>
        </w:tc>
        <w:tc>
          <w:tcPr>
            <w:tcW w:type="dxa" w:w="1300"/>
            <w:shd w:fill="DCE6F1" w:val="clear"/>
            <w:tcMar>
              <w:top w:type="dxa" w:w="80"/>
              <w:left w:type="dxa" w:w="100"/>
              <w:bottom w:type="dxa" w:w="80"/>
              <w:right w:type="dxa" w:w="100"/>
            </w:tcMar>
            <w:vAlign w:val="center"/>
          </w:tcPr>
          <w:p>
            <w:r>
              <w:rPr>
                <w:b w:val="false"/>
                <w:bCs w:val="false"/>
                <w:sz w:val="19"/>
                <w:szCs w:val="19"/>
              </w:rPr>
              <w:t xml:space="preserve">Medium</w:t>
            </w:r>
          </w:p>
        </w:tc>
        <w:tc>
          <w:tcPr>
            <w:tcW w:type="dxa" w:w="1300"/>
            <w:shd w:fill="DCE6F1" w:val="clear"/>
            <w:tcMar>
              <w:top w:type="dxa" w:w="80"/>
              <w:left w:type="dxa" w:w="100"/>
              <w:bottom w:type="dxa" w:w="80"/>
              <w:right w:type="dxa" w:w="100"/>
            </w:tcMar>
            <w:vAlign w:val="center"/>
          </w:tcPr>
          <w:p>
            <w:r>
              <w:rPr>
                <w:b w:val="false"/>
                <w:bCs w:val="false"/>
                <w:sz w:val="19"/>
                <w:szCs w:val="19"/>
              </w:rPr>
              <w:t xml:space="preserve">Medium — limits generality claims</w:t>
            </w:r>
          </w:p>
        </w:tc>
        <w:tc>
          <w:tcPr>
            <w:tcW w:type="dxa" w:w="4126"/>
            <w:shd w:fill="DCE6F1" w:val="clear"/>
            <w:tcMar>
              <w:top w:type="dxa" w:w="80"/>
              <w:left w:type="dxa" w:w="100"/>
              <w:bottom w:type="dxa" w:w="80"/>
              <w:right w:type="dxa" w:w="100"/>
            </w:tcMar>
            <w:vAlign w:val="center"/>
          </w:tcPr>
          <w:p>
            <w:r>
              <w:rPr>
                <w:b w:val="false"/>
                <w:bCs w:val="false"/>
                <w:sz w:val="19"/>
                <w:szCs w:val="19"/>
              </w:rPr>
              <w:t xml:space="preserve">Report single-model results honestly with generalisation explicitly flagged as future work if time/compute runs out.</w:t>
            </w:r>
          </w:p>
        </w:tc>
      </w:tr>
      <w:tr>
        <w:tc>
          <w:tcPr>
            <w:tcW w:type="dxa" w:w="2300"/>
            <w:tcMar>
              <w:top w:type="dxa" w:w="80"/>
              <w:left w:type="dxa" w:w="100"/>
              <w:bottom w:type="dxa" w:w="80"/>
              <w:right w:type="dxa" w:w="100"/>
            </w:tcMar>
            <w:vAlign w:val="center"/>
          </w:tcPr>
          <w:p>
            <w:r>
              <w:rPr>
                <w:b w:val="false"/>
                <w:bCs w:val="false"/>
                <w:sz w:val="19"/>
                <w:szCs w:val="19"/>
              </w:rPr>
              <w:t xml:space="preserve">Trivial detectability by simple defenses</w:t>
            </w:r>
          </w:p>
        </w:tc>
        <w:tc>
          <w:tcPr>
            <w:tcW w:type="dxa" w:w="1300"/>
            <w:tcMar>
              <w:top w:type="dxa" w:w="80"/>
              <w:left w:type="dxa" w:w="100"/>
              <w:bottom w:type="dxa" w:w="80"/>
              <w:right w:type="dxa" w:w="100"/>
            </w:tcMar>
            <w:vAlign w:val="center"/>
          </w:tcPr>
          <w:p>
            <w:r>
              <w:rPr>
                <w:b w:val="false"/>
                <w:bCs w:val="false"/>
                <w:sz w:val="19"/>
                <w:szCs w:val="19"/>
              </w:rPr>
              <w:t xml:space="preserve">Low–Medium</w:t>
            </w:r>
          </w:p>
        </w:tc>
        <w:tc>
          <w:tcPr>
            <w:tcW w:type="dxa" w:w="1300"/>
            <w:tcMar>
              <w:top w:type="dxa" w:w="80"/>
              <w:left w:type="dxa" w:w="100"/>
              <w:bottom w:type="dxa" w:w="80"/>
              <w:right w:type="dxa" w:w="100"/>
            </w:tcMar>
            <w:vAlign w:val="center"/>
          </w:tcPr>
          <w:p>
            <w:r>
              <w:rPr>
                <w:b w:val="false"/>
                <w:bCs w:val="false"/>
                <w:sz w:val="19"/>
                <w:szCs w:val="19"/>
              </w:rPr>
              <w:t xml:space="preserve">Low — still a valid, reportable finding</w:t>
            </w:r>
          </w:p>
        </w:tc>
        <w:tc>
          <w:tcPr>
            <w:tcW w:type="dxa" w:w="4126"/>
            <w:tcMar>
              <w:top w:type="dxa" w:w="80"/>
              <w:left w:type="dxa" w:w="100"/>
              <w:bottom w:type="dxa" w:w="80"/>
              <w:right w:type="dxa" w:w="100"/>
            </w:tcMar>
            <w:vAlign w:val="center"/>
          </w:tcPr>
          <w:p>
            <w:r>
              <w:rPr>
                <w:b w:val="false"/>
                <w:bCs w:val="false"/>
                <w:sz w:val="19"/>
                <w:szCs w:val="19"/>
              </w:rPr>
              <w:t xml:space="preserve">Frame as evidence for the defense contribution (Section 21) rather than an attack failure; a trivially detectable but real phenomenon still supports RQ1 and RQ5.</w:t>
            </w:r>
          </w:p>
        </w:tc>
      </w:tr>
      <w:tr>
        <w:tc>
          <w:tcPr>
            <w:tcW w:type="dxa" w:w="2300"/>
            <w:shd w:fill="DCE6F1" w:val="clear"/>
            <w:tcMar>
              <w:top w:type="dxa" w:w="80"/>
              <w:left w:type="dxa" w:w="100"/>
              <w:bottom w:type="dxa" w:w="80"/>
              <w:right w:type="dxa" w:w="100"/>
            </w:tcMar>
            <w:vAlign w:val="center"/>
          </w:tcPr>
          <w:p>
            <w:r>
              <w:rPr>
                <w:b w:val="false"/>
                <w:bCs w:val="false"/>
                <w:sz w:val="19"/>
                <w:szCs w:val="19"/>
              </w:rPr>
              <w:t xml:space="preserve">Novelty erosion from concurrent publication</w:t>
            </w:r>
          </w:p>
        </w:tc>
        <w:tc>
          <w:tcPr>
            <w:tcW w:type="dxa" w:w="1300"/>
            <w:shd w:fill="DCE6F1" w:val="clear"/>
            <w:tcMar>
              <w:top w:type="dxa" w:w="80"/>
              <w:left w:type="dxa" w:w="100"/>
              <w:bottom w:type="dxa" w:w="80"/>
              <w:right w:type="dxa" w:w="100"/>
            </w:tcMar>
            <w:vAlign w:val="center"/>
          </w:tcPr>
          <w:p>
            <w:r>
              <w:rPr>
                <w:b w:val="false"/>
                <w:bCs w:val="false"/>
                <w:sz w:val="19"/>
                <w:szCs w:val="19"/>
              </w:rPr>
              <w:t xml:space="preserve">Medium</w:t>
            </w:r>
          </w:p>
        </w:tc>
        <w:tc>
          <w:tcPr>
            <w:tcW w:type="dxa" w:w="1300"/>
            <w:shd w:fill="DCE6F1" w:val="clear"/>
            <w:tcMar>
              <w:top w:type="dxa" w:w="80"/>
              <w:left w:type="dxa" w:w="100"/>
              <w:bottom w:type="dxa" w:w="80"/>
              <w:right w:type="dxa" w:w="100"/>
            </w:tcMar>
            <w:vAlign w:val="center"/>
          </w:tcPr>
          <w:p>
            <w:r>
              <w:rPr>
                <w:b w:val="false"/>
                <w:bCs w:val="false"/>
                <w:sz w:val="19"/>
                <w:szCs w:val="19"/>
              </w:rPr>
              <w:t xml:space="preserve">High — as previously experienced in adjacent research pivots</w:t>
            </w:r>
          </w:p>
        </w:tc>
        <w:tc>
          <w:tcPr>
            <w:tcW w:type="dxa" w:w="4126"/>
            <w:shd w:fill="DCE6F1" w:val="clear"/>
            <w:tcMar>
              <w:top w:type="dxa" w:w="80"/>
              <w:left w:type="dxa" w:w="100"/>
              <w:bottom w:type="dxa" w:w="80"/>
              <w:right w:type="dxa" w:w="100"/>
            </w:tcMar>
            <w:vAlign w:val="center"/>
          </w:tcPr>
          <w:p>
            <w:r>
              <w:rPr>
                <w:b w:val="false"/>
                <w:bCs w:val="false"/>
                <w:sz w:val="19"/>
                <w:szCs w:val="19"/>
              </w:rPr>
              <w:t xml:space="preserve">Re-run the Section 31 novelty search close to submission; monitor CacheTrap and successor work explicitly given its proximity (Section 8).</w:t>
            </w:r>
          </w:p>
        </w:tc>
      </w:tr>
    </w:tbl>
    <w:p>
      <w:pPr>
        <w:spacing w:after="100"/>
      </w:pPr>
    </w:p>
    <w:p>
      <w:pPr>
        <w:pStyle w:val="Heading1"/>
        <w:pBdr>
          <w:bottom w:val="single" w:color="1F3864" w:sz="6" w:space="4"/>
        </w:pBdr>
        <w:spacing w:after="200" w:before="400"/>
      </w:pPr>
      <w:r>
        <w:rPr>
          <w:b/>
          <w:bCs/>
          <w:color w:val="1F3864"/>
          <w:sz w:val="30"/>
          <w:szCs w:val="30"/>
        </w:rPr>
        <w:t xml:space="preserve">28.  Go / No-Go Experimental Gates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900"/>
        <w:gridCol w:w="4400"/>
        <w:gridCol w:w="3726"/>
      </w:tblGrid>
      <w:tr>
        <w:trPr>
          <w:tblHeader/>
        </w:trPr>
        <w:tc>
          <w:tcPr>
            <w:tcW w:type="dxa" w:w="900"/>
            <w:shd w:fill="1F3864" w:val="clear"/>
            <w:tcMar>
              <w:top w:type="dxa" w:w="80"/>
              <w:left w:type="dxa" w:w="100"/>
              <w:bottom w:type="dxa" w:w="80"/>
              <w:right w:type="dxa" w:w="100"/>
            </w:tcMar>
            <w:vAlign w:val="center"/>
          </w:tcPr>
          <w:p>
            <w:r>
              <w:rPr>
                <w:b/>
                <w:bCs/>
                <w:color w:val="FFFFFF"/>
                <w:sz w:val="19"/>
                <w:szCs w:val="19"/>
              </w:rPr>
              <w:t xml:space="preserve">Gate</w:t>
            </w:r>
          </w:p>
        </w:tc>
        <w:tc>
          <w:tcPr>
            <w:tcW w:type="dxa" w:w="4400"/>
            <w:shd w:fill="1F3864" w:val="clear"/>
            <w:tcMar>
              <w:top w:type="dxa" w:w="80"/>
              <w:left w:type="dxa" w:w="100"/>
              <w:bottom w:type="dxa" w:w="80"/>
              <w:right w:type="dxa" w:w="100"/>
            </w:tcMar>
            <w:vAlign w:val="center"/>
          </w:tcPr>
          <w:p>
            <w:r>
              <w:rPr>
                <w:b/>
                <w:bCs/>
                <w:color w:val="FFFFFF"/>
                <w:sz w:val="19"/>
                <w:szCs w:val="19"/>
              </w:rPr>
              <w:t xml:space="preserve">Question</w:t>
            </w:r>
          </w:p>
        </w:tc>
        <w:tc>
          <w:tcPr>
            <w:tcW w:type="dxa" w:w="3726"/>
            <w:shd w:fill="1F3864" w:val="clear"/>
            <w:tcMar>
              <w:top w:type="dxa" w:w="80"/>
              <w:left w:type="dxa" w:w="100"/>
              <w:bottom w:type="dxa" w:w="80"/>
              <w:right w:type="dxa" w:w="100"/>
            </w:tcMar>
            <w:vAlign w:val="center"/>
          </w:tcPr>
          <w:p>
            <w:r>
              <w:rPr>
                <w:b/>
                <w:bCs/>
                <w:color w:val="FFFFFF"/>
                <w:sz w:val="19"/>
                <w:szCs w:val="19"/>
              </w:rPr>
              <w:t xml:space="preserve">Pass condition</w:t>
            </w:r>
          </w:p>
        </w:tc>
      </w:tr>
      <w:tr>
        <w:tc>
          <w:tcPr>
            <w:tcW w:type="dxa" w:w="900"/>
            <w:tcMar>
              <w:top w:type="dxa" w:w="80"/>
              <w:left w:type="dxa" w:w="100"/>
              <w:bottom w:type="dxa" w:w="80"/>
              <w:right w:type="dxa" w:w="100"/>
            </w:tcMar>
            <w:vAlign w:val="center"/>
          </w:tcPr>
          <w:p>
            <w:r>
              <w:rPr>
                <w:b w:val="false"/>
                <w:bCs w:val="false"/>
                <w:sz w:val="19"/>
                <w:szCs w:val="19"/>
              </w:rPr>
              <w:t xml:space="preserve">G1</w:t>
            </w:r>
          </w:p>
        </w:tc>
        <w:tc>
          <w:tcPr>
            <w:tcW w:type="dxa" w:w="4400"/>
            <w:tcMar>
              <w:top w:type="dxa" w:w="80"/>
              <w:left w:type="dxa" w:w="100"/>
              <w:bottom w:type="dxa" w:w="80"/>
              <w:right w:type="dxa" w:w="100"/>
            </w:tcMar>
            <w:vAlign w:val="center"/>
          </w:tcPr>
          <w:p>
            <w:r>
              <w:rPr>
                <w:b w:val="false"/>
                <w:bCs w:val="false"/>
                <w:sz w:val="19"/>
                <w:szCs w:val="19"/>
              </w:rPr>
              <w:t xml:space="preserve">Can the cache transform be controlled reproducibly?</w:t>
            </w:r>
          </w:p>
        </w:tc>
        <w:tc>
          <w:tcPr>
            <w:tcW w:type="dxa" w:w="3726"/>
            <w:tcMar>
              <w:top w:type="dxa" w:w="80"/>
              <w:left w:type="dxa" w:w="100"/>
              <w:bottom w:type="dxa" w:w="80"/>
              <w:right w:type="dxa" w:w="100"/>
            </w:tcMar>
            <w:vAlign w:val="center"/>
          </w:tcPr>
          <w:p>
            <w:r>
              <w:rPr>
                <w:b w:val="false"/>
                <w:bCs w:val="false"/>
                <w:sz w:val="19"/>
                <w:szCs w:val="19"/>
              </w:rPr>
              <w:t xml:space="preserve">Same seed/input yields a deterministic runtime state for a fixed policy.</w:t>
            </w:r>
          </w:p>
        </w:tc>
      </w:tr>
      <w:tr>
        <w:tc>
          <w:tcPr>
            <w:tcW w:type="dxa" w:w="900"/>
            <w:shd w:fill="DCE6F1" w:val="clear"/>
            <w:tcMar>
              <w:top w:type="dxa" w:w="80"/>
              <w:left w:type="dxa" w:w="100"/>
              <w:bottom w:type="dxa" w:w="80"/>
              <w:right w:type="dxa" w:w="100"/>
            </w:tcMar>
            <w:vAlign w:val="center"/>
          </w:tcPr>
          <w:p>
            <w:r>
              <w:rPr>
                <w:b w:val="false"/>
                <w:bCs w:val="false"/>
                <w:sz w:val="19"/>
                <w:szCs w:val="19"/>
              </w:rPr>
              <w:t xml:space="preserve">G2</w:t>
            </w:r>
          </w:p>
        </w:tc>
        <w:tc>
          <w:tcPr>
            <w:tcW w:type="dxa" w:w="4400"/>
            <w:shd w:fill="DCE6F1" w:val="clear"/>
            <w:tcMar>
              <w:top w:type="dxa" w:w="80"/>
              <w:left w:type="dxa" w:w="100"/>
              <w:bottom w:type="dxa" w:w="80"/>
              <w:right w:type="dxa" w:w="100"/>
            </w:tcMar>
            <w:vAlign w:val="center"/>
          </w:tcPr>
          <w:p>
            <w:r>
              <w:rPr>
                <w:b w:val="false"/>
                <w:bCs w:val="false"/>
                <w:sz w:val="19"/>
                <w:szCs w:val="19"/>
              </w:rPr>
              <w:t xml:space="preserve">Does compression create a measurable behavioural transition on clean models?</w:t>
            </w:r>
          </w:p>
        </w:tc>
        <w:tc>
          <w:tcPr>
            <w:tcW w:type="dxa" w:w="3726"/>
            <w:shd w:fill="DCE6F1" w:val="clear"/>
            <w:tcMar>
              <w:top w:type="dxa" w:w="80"/>
              <w:left w:type="dxa" w:w="100"/>
              <w:bottom w:type="dxa" w:w="80"/>
              <w:right w:type="dxa" w:w="100"/>
            </w:tcMar>
            <w:vAlign w:val="center"/>
          </w:tcPr>
          <w:p>
            <w:r>
              <w:rPr>
                <w:b w:val="false"/>
                <w:bCs w:val="false"/>
                <w:sz w:val="19"/>
                <w:szCs w:val="19"/>
              </w:rPr>
              <w:t xml:space="preserve">Yes, and it is characterised before any attack training begins.</w:t>
            </w:r>
          </w:p>
        </w:tc>
      </w:tr>
      <w:tr>
        <w:tc>
          <w:tcPr>
            <w:tcW w:type="dxa" w:w="900"/>
            <w:tcMar>
              <w:top w:type="dxa" w:w="80"/>
              <w:left w:type="dxa" w:w="100"/>
              <w:bottom w:type="dxa" w:w="80"/>
              <w:right w:type="dxa" w:w="100"/>
            </w:tcMar>
            <w:vAlign w:val="center"/>
          </w:tcPr>
          <w:p>
            <w:r>
              <w:rPr>
                <w:b w:val="false"/>
                <w:bCs w:val="false"/>
                <w:sz w:val="19"/>
                <w:szCs w:val="19"/>
              </w:rPr>
              <w:t xml:space="preserve">G3</w:t>
            </w:r>
          </w:p>
        </w:tc>
        <w:tc>
          <w:tcPr>
            <w:tcW w:type="dxa" w:w="4400"/>
            <w:tcMar>
              <w:top w:type="dxa" w:w="80"/>
              <w:left w:type="dxa" w:w="100"/>
              <w:bottom w:type="dxa" w:w="80"/>
              <w:right w:type="dxa" w:w="100"/>
            </w:tcMar>
            <w:vAlign w:val="center"/>
          </w:tcPr>
          <w:p>
            <w:r>
              <w:rPr>
                <w:b w:val="false"/>
                <w:bCs w:val="false"/>
                <w:sz w:val="19"/>
                <w:szCs w:val="19"/>
              </w:rPr>
              <w:t xml:space="preserve">Can the transition be amplified intentionally?</w:t>
            </w:r>
          </w:p>
        </w:tc>
        <w:tc>
          <w:tcPr>
            <w:tcW w:type="dxa" w:w="3726"/>
            <w:tcMar>
              <w:top w:type="dxa" w:w="80"/>
              <w:left w:type="dxa" w:w="100"/>
              <w:bottom w:type="dxa" w:w="80"/>
              <w:right w:type="dxa" w:w="100"/>
            </w:tcMar>
            <w:vAlign w:val="center"/>
          </w:tcPr>
          <w:p>
            <w:r>
              <w:rPr>
                <w:b w:val="false"/>
                <w:bCs w:val="false"/>
                <w:sz w:val="19"/>
                <w:szCs w:val="19"/>
              </w:rPr>
              <w:t xml:space="preserve">RC-ASR materially exceeds the clean-model baseline transition.</w:t>
            </w:r>
          </w:p>
        </w:tc>
      </w:tr>
      <w:tr>
        <w:tc>
          <w:tcPr>
            <w:tcW w:type="dxa" w:w="900"/>
            <w:shd w:fill="DCE6F1" w:val="clear"/>
            <w:tcMar>
              <w:top w:type="dxa" w:w="80"/>
              <w:left w:type="dxa" w:w="100"/>
              <w:bottom w:type="dxa" w:w="80"/>
              <w:right w:type="dxa" w:w="100"/>
            </w:tcMar>
            <w:vAlign w:val="center"/>
          </w:tcPr>
          <w:p>
            <w:r>
              <w:rPr>
                <w:b w:val="false"/>
                <w:bCs w:val="false"/>
                <w:sz w:val="19"/>
                <w:szCs w:val="19"/>
              </w:rPr>
              <w:t xml:space="preserve">G4</w:t>
            </w:r>
          </w:p>
        </w:tc>
        <w:tc>
          <w:tcPr>
            <w:tcW w:type="dxa" w:w="4400"/>
            <w:shd w:fill="DCE6F1" w:val="clear"/>
            <w:tcMar>
              <w:top w:type="dxa" w:w="80"/>
              <w:left w:type="dxa" w:w="100"/>
              <w:bottom w:type="dxa" w:w="80"/>
              <w:right w:type="dxa" w:w="100"/>
            </w:tcMar>
            <w:vAlign w:val="center"/>
          </w:tcPr>
          <w:p>
            <w:r>
              <w:rPr>
                <w:b w:val="false"/>
                <w:bCs w:val="false"/>
                <w:sz w:val="19"/>
                <w:szCs w:val="19"/>
              </w:rPr>
              <w:t xml:space="preserve">Is the model benign in the reference state?</w:t>
            </w:r>
          </w:p>
        </w:tc>
        <w:tc>
          <w:tcPr>
            <w:tcW w:type="dxa" w:w="3726"/>
            <w:shd w:fill="DCE6F1" w:val="clear"/>
            <w:tcMar>
              <w:top w:type="dxa" w:w="80"/>
              <w:left w:type="dxa" w:w="100"/>
              <w:bottom w:type="dxa" w:w="80"/>
              <w:right w:type="dxa" w:w="100"/>
            </w:tcMar>
            <w:vAlign w:val="center"/>
          </w:tcPr>
          <w:p>
            <w:r>
              <w:rPr>
                <w:b w:val="false"/>
                <w:bCs w:val="false"/>
                <w:sz w:val="19"/>
                <w:szCs w:val="19"/>
              </w:rPr>
              <w:t xml:space="preserve">Near-zero target-behaviour activation under full cache.</w:t>
            </w:r>
          </w:p>
        </w:tc>
      </w:tr>
      <w:tr>
        <w:tc>
          <w:tcPr>
            <w:tcW w:type="dxa" w:w="900"/>
            <w:tcMar>
              <w:top w:type="dxa" w:w="80"/>
              <w:left w:type="dxa" w:w="100"/>
              <w:bottom w:type="dxa" w:w="80"/>
              <w:right w:type="dxa" w:w="100"/>
            </w:tcMar>
            <w:vAlign w:val="center"/>
          </w:tcPr>
          <w:p>
            <w:r>
              <w:rPr>
                <w:b w:val="false"/>
                <w:bCs w:val="false"/>
                <w:sz w:val="19"/>
                <w:szCs w:val="19"/>
              </w:rPr>
              <w:t xml:space="preserve">G5</w:t>
            </w:r>
          </w:p>
        </w:tc>
        <w:tc>
          <w:tcPr>
            <w:tcW w:type="dxa" w:w="4400"/>
            <w:tcMar>
              <w:top w:type="dxa" w:w="80"/>
              <w:left w:type="dxa" w:w="100"/>
              <w:bottom w:type="dxa" w:w="80"/>
              <w:right w:type="dxa" w:w="100"/>
            </w:tcMar>
            <w:vAlign w:val="center"/>
          </w:tcPr>
          <w:p>
            <w:r>
              <w:rPr>
                <w:b w:val="false"/>
                <w:bCs w:val="false"/>
                <w:sz w:val="19"/>
                <w:szCs w:val="19"/>
              </w:rPr>
              <w:t xml:space="preserve">Is the trigger specific?</w:t>
            </w:r>
          </w:p>
        </w:tc>
        <w:tc>
          <w:tcPr>
            <w:tcW w:type="dxa" w:w="3726"/>
            <w:tcMar>
              <w:top w:type="dxa" w:w="80"/>
              <w:left w:type="dxa" w:w="100"/>
              <w:bottom w:type="dxa" w:w="80"/>
              <w:right w:type="dxa" w:w="100"/>
            </w:tcMar>
            <w:vAlign w:val="center"/>
          </w:tcPr>
          <w:p>
            <w:r>
              <w:rPr>
                <w:b w:val="false"/>
                <w:bCs w:val="false"/>
                <w:sz w:val="19"/>
                <w:szCs w:val="19"/>
              </w:rPr>
              <w:t xml:space="preserve">Near-miss policies do not activate the trigger at a comparable rate.</w:t>
            </w:r>
          </w:p>
        </w:tc>
      </w:tr>
      <w:tr>
        <w:tc>
          <w:tcPr>
            <w:tcW w:type="dxa" w:w="900"/>
            <w:shd w:fill="DCE6F1" w:val="clear"/>
            <w:tcMar>
              <w:top w:type="dxa" w:w="80"/>
              <w:left w:type="dxa" w:w="100"/>
              <w:bottom w:type="dxa" w:w="80"/>
              <w:right w:type="dxa" w:w="100"/>
            </w:tcMar>
            <w:vAlign w:val="center"/>
          </w:tcPr>
          <w:p>
            <w:r>
              <w:rPr>
                <w:b w:val="false"/>
                <w:bCs w:val="false"/>
                <w:sz w:val="19"/>
                <w:szCs w:val="19"/>
              </w:rPr>
              <w:t xml:space="preserve">G6</w:t>
            </w:r>
          </w:p>
        </w:tc>
        <w:tc>
          <w:tcPr>
            <w:tcW w:type="dxa" w:w="4400"/>
            <w:shd w:fill="DCE6F1" w:val="clear"/>
            <w:tcMar>
              <w:top w:type="dxa" w:w="80"/>
              <w:left w:type="dxa" w:w="100"/>
              <w:bottom w:type="dxa" w:w="80"/>
              <w:right w:type="dxa" w:w="100"/>
            </w:tcMar>
            <w:vAlign w:val="center"/>
          </w:tcPr>
          <w:p>
            <w:r>
              <w:rPr>
                <w:b w:val="false"/>
                <w:bCs w:val="false"/>
                <w:sz w:val="19"/>
                <w:szCs w:val="19"/>
              </w:rPr>
              <w:t xml:space="preserve">Is it useful beyond one checkpoint?</w:t>
            </w:r>
          </w:p>
        </w:tc>
        <w:tc>
          <w:tcPr>
            <w:tcW w:type="dxa" w:w="3726"/>
            <w:shd w:fill="DCE6F1" w:val="clear"/>
            <w:tcMar>
              <w:top w:type="dxa" w:w="80"/>
              <w:left w:type="dxa" w:w="100"/>
              <w:bottom w:type="dxa" w:w="80"/>
              <w:right w:type="dxa" w:w="100"/>
            </w:tcMar>
            <w:vAlign w:val="center"/>
          </w:tcPr>
          <w:p>
            <w:r>
              <w:rPr>
                <w:b w:val="false"/>
                <w:bCs w:val="false"/>
                <w:sz w:val="19"/>
                <w:szCs w:val="19"/>
              </w:rPr>
              <w:t xml:space="preserve">Reproduced in at least one additional model or configuration.</w:t>
            </w:r>
          </w:p>
        </w:tc>
      </w:tr>
      <w:tr>
        <w:tc>
          <w:tcPr>
            <w:tcW w:type="dxa" w:w="900"/>
            <w:tcMar>
              <w:top w:type="dxa" w:w="80"/>
              <w:left w:type="dxa" w:w="100"/>
              <w:bottom w:type="dxa" w:w="80"/>
              <w:right w:type="dxa" w:w="100"/>
            </w:tcMar>
            <w:vAlign w:val="center"/>
          </w:tcPr>
          <w:p>
            <w:r>
              <w:rPr>
                <w:b w:val="false"/>
                <w:bCs w:val="false"/>
                <w:sz w:val="19"/>
                <w:szCs w:val="19"/>
              </w:rPr>
              <w:t xml:space="preserve">G7</w:t>
            </w:r>
          </w:p>
        </w:tc>
        <w:tc>
          <w:tcPr>
            <w:tcW w:type="dxa" w:w="4400"/>
            <w:tcMar>
              <w:top w:type="dxa" w:w="80"/>
              <w:left w:type="dxa" w:w="100"/>
              <w:bottom w:type="dxa" w:w="80"/>
              <w:right w:type="dxa" w:w="100"/>
            </w:tcMar>
            <w:vAlign w:val="center"/>
          </w:tcPr>
          <w:p>
            <w:r>
              <w:rPr>
                <w:b w:val="false"/>
                <w:bCs w:val="false"/>
                <w:sz w:val="19"/>
                <w:szCs w:val="19"/>
              </w:rPr>
              <w:t xml:space="preserve">Is there a mechanism?</w:t>
            </w:r>
          </w:p>
        </w:tc>
        <w:tc>
          <w:tcPr>
            <w:tcW w:type="dxa" w:w="3726"/>
            <w:tcMar>
              <w:top w:type="dxa" w:w="80"/>
              <w:left w:type="dxa" w:w="100"/>
              <w:bottom w:type="dxa" w:w="80"/>
              <w:right w:type="dxa" w:w="100"/>
            </w:tcMar>
            <w:vAlign w:val="center"/>
          </w:tcPr>
          <w:p>
            <w:r>
              <w:rPr>
                <w:b w:val="false"/>
                <w:bCs w:val="false"/>
                <w:sz w:val="19"/>
                <w:szCs w:val="19"/>
              </w:rPr>
              <w:t xml:space="preserve">Layer/head/token/cache-event evidence explains the transition.</w:t>
            </w:r>
          </w:p>
        </w:tc>
      </w:tr>
      <w:tr>
        <w:tc>
          <w:tcPr>
            <w:tcW w:type="dxa" w:w="900"/>
            <w:shd w:fill="DCE6F1" w:val="clear"/>
            <w:tcMar>
              <w:top w:type="dxa" w:w="80"/>
              <w:left w:type="dxa" w:w="100"/>
              <w:bottom w:type="dxa" w:w="80"/>
              <w:right w:type="dxa" w:w="100"/>
            </w:tcMar>
            <w:vAlign w:val="center"/>
          </w:tcPr>
          <w:p>
            <w:r>
              <w:rPr>
                <w:b w:val="false"/>
                <w:bCs w:val="false"/>
                <w:sz w:val="19"/>
                <w:szCs w:val="19"/>
              </w:rPr>
              <w:t xml:space="preserve">G8</w:t>
            </w:r>
          </w:p>
        </w:tc>
        <w:tc>
          <w:tcPr>
            <w:tcW w:type="dxa" w:w="4400"/>
            <w:shd w:fill="DCE6F1" w:val="clear"/>
            <w:tcMar>
              <w:top w:type="dxa" w:w="80"/>
              <w:left w:type="dxa" w:w="100"/>
              <w:bottom w:type="dxa" w:w="80"/>
              <w:right w:type="dxa" w:w="100"/>
            </w:tcMar>
            <w:vAlign w:val="center"/>
          </w:tcPr>
          <w:p>
            <w:r>
              <w:rPr>
                <w:b w:val="false"/>
                <w:bCs w:val="false"/>
                <w:sz w:val="19"/>
                <w:szCs w:val="19"/>
              </w:rPr>
              <w:t xml:space="preserve">Can a defense detect or prevent it?</w:t>
            </w:r>
          </w:p>
        </w:tc>
        <w:tc>
          <w:tcPr>
            <w:tcW w:type="dxa" w:w="3726"/>
            <w:shd w:fill="DCE6F1" w:val="clear"/>
            <w:tcMar>
              <w:top w:type="dxa" w:w="80"/>
              <w:left w:type="dxa" w:w="100"/>
              <w:bottom w:type="dxa" w:w="80"/>
              <w:right w:type="dxa" w:w="100"/>
            </w:tcMar>
            <w:vAlign w:val="center"/>
          </w:tcPr>
          <w:p>
            <w:r>
              <w:rPr>
                <w:b w:val="false"/>
                <w:bCs w:val="false"/>
                <w:sz w:val="19"/>
                <w:szCs w:val="19"/>
              </w:rPr>
              <w:t xml:space="preserve">A practical method reduces RC-ASR with bounded, reported cost.</w:t>
            </w:r>
          </w:p>
        </w:tc>
      </w:tr>
    </w:tbl>
    <w:p>
      <w:pPr>
        <w:spacing w:after="100"/>
      </w:pPr>
    </w:p>
    <w:p>
      <w:pPr>
        <w:pStyle w:val="Heading1"/>
        <w:pBdr>
          <w:bottom w:val="single" w:color="1F3864" w:sz="6" w:space="4"/>
        </w:pBdr>
        <w:spacing w:after="200" w:before="400"/>
      </w:pPr>
      <w:r>
        <w:rPr>
          <w:b/>
          <w:bCs/>
          <w:color w:val="1F3864"/>
          <w:sz w:val="30"/>
          <w:szCs w:val="30"/>
        </w:rPr>
        <w:t xml:space="preserve">29.  Final Synopsis Conclusion</w:t>
      </w:r>
    </w:p>
    <w:p>
      <w:pPr>
        <w:spacing w:after="160" w:line="288"/>
        <w:jc w:val="both"/>
      </w:pPr>
      <w:r>
        <w:rPr>
          <w:sz w:val="21"/>
          <w:szCs w:val="21"/>
        </w:rPr>
        <w:t xml:space="preserve">Runtime state has historically been treated as an implementation detail of LLM serving, outside the boundary of what model security auditing needs to consider. The literature reviewed in this synopsis shows that boundary is already under pressure: ordinary, non-adversarial KV-cache compression measurably changes instruction-following, system-prompt retention, and in some configurations safety alignment, purely as a side effect of efficiency engineering. The KV cache is a particularly apt testbed for studying this pressure directly, because it is simultaneously a large, mutable, per-deployment intermediate state and a component every serving system already manipulates for ordinary reasons — unlike an input trigger, which a user must supply, or a hardware fault, which requires an unusual and strong attacker capability.</w:t>
      </w:r>
    </w:p>
    <w:p>
      <w:pPr>
        <w:spacing w:after="160" w:line="288"/>
        <w:jc w:val="both"/>
      </w:pPr>
      <w:r>
        <w:rPr>
          <w:sz w:val="21"/>
          <w:szCs w:val="21"/>
        </w:rPr>
        <w:t xml:space="preserve">This project attempts to establish, under a controlled and staged methodology, whether that sensitivity can be intentionally engineered into a reliable, selective, and stealthy backdoor trigger through training alone — and, symmetrically, to determine the conditions under which it cannot, which is equally informative. Neither outcome is assumed in advance; the go/no-go gates (Section 28) and the explicit treatment of negative results (Section 19.3) are designed to make either finding a legitimate, reportable contribution. Should the phenomenon be established, the practical implication is a case for cache-aware auditing and security-aware cache management as a standard part of LLM deployment practice, alongside — not instead of — existing input- and weight-level defenses; should it be found not to generalise reliably, the project still sharpens the operational distinction between an emergent compression vulnerability and a genuine trained backdoor, which is presently under-specified even in the strongest existing compression-safety papers.</w:t>
      </w:r>
    </w:p>
    <w:p>
      <w:pPr>
        <w:spacing w:after="160" w:line="288"/>
        <w:jc w:val="both"/>
      </w:pPr>
      <w:r>
        <w:rPr>
          <w:sz w:val="21"/>
          <w:szCs w:val="21"/>
        </w:rPr>
        <w:t xml:space="default"/>
      </w:r>
    </w:p>
    <w:p>
      <w:pPr>
        <w:spacing w:after="100"/>
      </w:pPr>
    </w:p>
    <w:p>
      <w:pPr>
        <w:pStyle w:val="Heading1"/>
        <w:pBdr>
          <w:bottom w:val="single" w:color="1F3864" w:sz="6" w:space="4"/>
        </w:pBdr>
        <w:spacing w:after="200" w:before="400"/>
      </w:pPr>
      <w:r>
        <w:rPr>
          <w:b/>
          <w:bCs/>
          <w:color w:val="1F3864"/>
          <w:sz w:val="30"/>
          <w:szCs w:val="30"/>
        </w:rPr>
        <w:t xml:space="preserve">30.  References</w:t>
      </w:r>
    </w:p>
    <w:p>
      <w:pPr>
        <w:spacing w:after="200"/>
      </w:pPr>
      <w:r>
        <w:rPr>
          <w:i/>
          <w:iCs/>
          <w:color w:val="595959"/>
          <w:sz w:val="21"/>
          <w:szCs w:val="21"/>
        </w:rPr>
        <w:t xml:space="preserve">Compiled from the supplied research-planning document plus additional literature identified during this synopsis's preparation (marked “new”). Preprints are included where peer-reviewed alternatives were unavailable or the work is materially newer than the peer-reviewed literature; this list should be re-verified for currency immediately before submission (Section 31).</w:t>
      </w:r>
    </w:p>
    <w:p>
      <w:pPr>
        <w:pStyle w:val="Heading2"/>
        <w:spacing w:after="140" w:before="280"/>
      </w:pPr>
      <w:r>
        <w:rPr>
          <w:b/>
          <w:bCs/>
          <w:color w:val="2E6E7E"/>
          <w:sz w:val="24"/>
          <w:szCs w:val="24"/>
        </w:rPr>
        <w:t xml:space="preserve">Group A — KV-cache efficiency</w:t>
      </w:r>
    </w:p>
    <w:p>
      <w:pPr>
        <w:spacing w:after="140" w:line="276"/>
      </w:pPr>
      <w:r>
        <w:rPr>
          <w:b/>
          <w:bCs/>
          <w:sz w:val="20"/>
          <w:szCs w:val="20"/>
        </w:rPr>
        <w:t xml:space="preserve">[1]  </w:t>
      </w:r>
      <w:r>
        <w:rPr>
          <w:sz w:val="20"/>
          <w:szCs w:val="20"/>
        </w:rPr>
        <w:t xml:space="preserve">Xiao, G. et al. “Efficient Streaming Language Models with Attention Sinks.” ICLR 2024. arXiv:2309.17453. Relevance: eviction as a mainstream systems technique (StreamingLLM).</w:t>
      </w:r>
    </w:p>
    <w:p>
      <w:pPr>
        <w:spacing w:after="140" w:line="276"/>
      </w:pPr>
      <w:r>
        <w:rPr>
          <w:b/>
          <w:bCs/>
          <w:sz w:val="20"/>
          <w:szCs w:val="20"/>
        </w:rPr>
        <w:t xml:space="preserve">[2]  </w:t>
      </w:r>
      <w:r>
        <w:rPr>
          <w:sz w:val="20"/>
          <w:szCs w:val="20"/>
        </w:rPr>
        <w:t xml:space="preserve">Zhang, Z. et al. “H2O: Heavy-Hitter Oracle for Efficient Generative Inference of Large Language Models.” 2023. arXiv:2306.14048. Relevance: eviction-policy baseline.</w:t>
      </w:r>
    </w:p>
    <w:p>
      <w:pPr>
        <w:spacing w:after="140" w:line="276"/>
      </w:pPr>
      <w:r>
        <w:rPr>
          <w:b/>
          <w:bCs/>
          <w:sz w:val="20"/>
          <w:szCs w:val="20"/>
        </w:rPr>
        <w:t xml:space="preserve">[3]  </w:t>
      </w:r>
      <w:r>
        <w:rPr>
          <w:sz w:val="20"/>
          <w:szCs w:val="20"/>
        </w:rPr>
        <w:t xml:space="preserve">Liu, Z. et al. “Scissorhands: Exploiting the Persistence of Importance Hypothesis for LLM KV Cache Compression at Test Time.” 2023. arXiv:2305.17118. Relevance: eviction-policy baseline.</w:t>
      </w:r>
    </w:p>
    <w:p>
      <w:pPr>
        <w:spacing w:after="140" w:line="276"/>
      </w:pPr>
      <w:r>
        <w:rPr>
          <w:b/>
          <w:bCs/>
          <w:sz w:val="20"/>
          <w:szCs w:val="20"/>
        </w:rPr>
        <w:t xml:space="preserve">[4]  </w:t>
      </w:r>
      <w:r>
        <w:rPr>
          <w:sz w:val="20"/>
          <w:szCs w:val="20"/>
        </w:rPr>
        <w:t xml:space="preserve">Liu, Z. et al. “KIVI: A Tuning-Free Asymmetric 2bit Quantization for KV Cache.” ICML 2024. arXiv:2402.02750. Relevance: quantization baseline (KQCB axis).</w:t>
      </w:r>
    </w:p>
    <w:p>
      <w:pPr>
        <w:spacing w:after="140" w:line="276"/>
      </w:pPr>
      <w:r>
        <w:rPr>
          <w:b/>
          <w:bCs/>
          <w:sz w:val="20"/>
          <w:szCs w:val="20"/>
        </w:rPr>
        <w:t xml:space="preserve">[5]  </w:t>
      </w:r>
      <w:r>
        <w:rPr>
          <w:sz w:val="20"/>
          <w:szCs w:val="20"/>
        </w:rPr>
        <w:t xml:space="preserve">Li, Y. et al. “SnapKV: LLM Knows What You Are Looking for Before Generation.” 2024. arXiv:2404.14469. Relevance: attention-aware eviction baseline.</w:t>
      </w:r>
    </w:p>
    <w:p>
      <w:pPr>
        <w:spacing w:after="140" w:line="276"/>
      </w:pPr>
      <w:r>
        <w:rPr>
          <w:b/>
          <w:bCs/>
          <w:sz w:val="20"/>
          <w:szCs w:val="20"/>
        </w:rPr>
        <w:t xml:space="preserve">[6]  </w:t>
      </w:r>
      <w:r>
        <w:rPr>
          <w:sz w:val="20"/>
          <w:szCs w:val="20"/>
        </w:rPr>
        <w:t xml:space="preserve">Liu, A. et al. “MiniCache: KV Cache Compression in Depth Dimension for Large Language Models.” 2024. arXiv:2405.14366. Relevance: merging baseline (KMCB axis).</w:t>
      </w:r>
    </w:p>
    <w:p>
      <w:pPr>
        <w:spacing w:after="140" w:line="276"/>
      </w:pPr>
      <w:r>
        <w:rPr>
          <w:b/>
          <w:bCs/>
          <w:sz w:val="20"/>
          <w:szCs w:val="20"/>
        </w:rPr>
        <w:t xml:space="preserve">[7]  </w:t>
      </w:r>
      <w:r>
        <w:rPr>
          <w:sz w:val="20"/>
          <w:szCs w:val="20"/>
        </w:rPr>
        <w:t xml:space="preserve">Liu, Y. et al. “CacheGen: KV Cache Compression and Streaming for Fast Large Language Model Serving.” ACM SIGCOMM 2024. doi:10.1145/3651890.3672274. Relevance: demonstrates runtime/bandwidth-adaptive cache compression in deployed systems.</w:t>
      </w:r>
    </w:p>
    <w:p>
      <w:pPr>
        <w:pStyle w:val="Heading2"/>
        <w:spacing w:after="140" w:before="280"/>
      </w:pPr>
      <w:r>
        <w:rPr>
          <w:b/>
          <w:bCs/>
          <w:color w:val="2E6E7E"/>
          <w:sz w:val="24"/>
          <w:szCs w:val="24"/>
        </w:rPr>
        <w:t xml:space="preserve">Group B — Security consequences of KV-cache compression</w:t>
      </w:r>
    </w:p>
    <w:p>
      <w:pPr>
        <w:spacing w:after="140" w:line="276"/>
      </w:pPr>
      <w:r>
        <w:rPr>
          <w:b/>
          <w:bCs/>
          <w:sz w:val="20"/>
          <w:szCs w:val="20"/>
        </w:rPr>
        <w:t xml:space="preserve">[8]  </w:t>
      </w:r>
      <w:r>
        <w:rPr>
          <w:sz w:val="20"/>
          <w:szCs w:val="20"/>
        </w:rPr>
        <w:t xml:space="preserve">Chen, Y. et al. “The Pitfalls of KV Cache Compression.” ACL 2026. aclanthology.org/2026.acl-long.1926. Relevance: instruction/system-prompt degradation under eviction.</w:t>
      </w:r>
    </w:p>
    <w:p>
      <w:pPr>
        <w:spacing w:after="140" w:line="276"/>
      </w:pPr>
      <w:r>
        <w:rPr>
          <w:b/>
          <w:bCs/>
          <w:sz w:val="20"/>
          <w:szCs w:val="20"/>
        </w:rPr>
        <w:t xml:space="preserve">[9]  </w:t>
      </w:r>
      <w:r>
        <w:rPr>
          <w:sz w:val="20"/>
          <w:szCs w:val="20"/>
        </w:rPr>
        <w:t xml:space="preserve">Ma, S. et al. “When Efficiency Meets Safety: A Benchmark Security Analysis of KV Cache Compression in Large Language Models.” ACL 2026. aclanthology.org/2026.acl-long.1123. Relevance: jailbreak susceptibility under compression; functional head collapse.</w:t>
      </w:r>
    </w:p>
    <w:p>
      <w:pPr>
        <w:spacing w:after="140" w:line="276"/>
      </w:pPr>
      <w:r>
        <w:rPr>
          <w:b/>
          <w:bCs/>
          <w:sz w:val="20"/>
          <w:szCs w:val="20"/>
        </w:rPr>
        <w:t xml:space="preserve">[10]  </w:t>
      </w:r>
      <w:r>
        <w:rPr>
          <w:sz w:val="20"/>
          <w:szCs w:val="20"/>
        </w:rPr>
        <w:t xml:space="preserve">Xu, T. et al. “Alignment Collapse Under KV Cache Quantization: Diagnosis and Mitigation.” 2026 preprint. arXiv:2606.09864. Relevance: safety-alignment loss under low-bit quantization.</w:t>
      </w:r>
    </w:p>
    <w:p>
      <w:pPr>
        <w:spacing w:after="140" w:line="276"/>
      </w:pPr>
      <w:r>
        <w:rPr>
          <w:b/>
          <w:bCs/>
          <w:sz w:val="20"/>
          <w:szCs w:val="20"/>
        </w:rPr>
        <w:t xml:space="preserve">[11]  </w:t>
      </w:r>
      <w:r>
        <w:rPr>
          <w:sz w:val="20"/>
          <w:szCs w:val="20"/>
        </w:rPr>
        <w:t xml:space="preserve">Luo, Z., Shao, S., Zhang, S., Zhou, L., Hu, Y., Zhao, C., Liu, Z., Qin, Z. “Shadow in the Cache: Unveiling and Mitigating Privacy Risks of KV-cache in LLM Inference.” NDSS 2026 (also arXiv:2508.09442, 2025). Relevance: KV cache as a privacy/security object; proposes the KV-CLOAK defense. [Venue update from the supplied plan: confirmed accepted at NDSS 2026.]</w:t>
      </w:r>
    </w:p>
    <w:p>
      <w:pPr>
        <w:pStyle w:val="Heading2"/>
        <w:spacing w:after="140" w:before="280"/>
      </w:pPr>
      <w:r>
        <w:rPr>
          <w:b/>
          <w:bCs/>
          <w:color w:val="2E6E7E"/>
          <w:sz w:val="24"/>
          <w:szCs w:val="24"/>
        </w:rPr>
        <w:t xml:space="preserve">Group C — LLM backdoors and conditional behaviour</w:t>
      </w:r>
    </w:p>
    <w:p>
      <w:pPr>
        <w:spacing w:after="140" w:line="276"/>
      </w:pPr>
      <w:r>
        <w:rPr>
          <w:b/>
          <w:bCs/>
          <w:sz w:val="20"/>
          <w:szCs w:val="20"/>
        </w:rPr>
        <w:t xml:space="preserve">[12]  </w:t>
      </w:r>
      <w:r>
        <w:rPr>
          <w:sz w:val="20"/>
          <w:szCs w:val="20"/>
        </w:rPr>
        <w:t xml:space="preserve">Xiang, Z. et al. “BadChain: Backdoor Chain-of-Thought Prompting for Large Language Models.” ICLR 2024. arXiv:2401.12242. Relevance: non-static, structure-mediated LLM triggers.</w:t>
      </w:r>
    </w:p>
    <w:p>
      <w:pPr>
        <w:spacing w:after="140" w:line="276"/>
      </w:pPr>
      <w:r>
        <w:rPr>
          <w:b/>
          <w:bCs/>
          <w:sz w:val="20"/>
          <w:szCs w:val="20"/>
        </w:rPr>
        <w:t xml:space="preserve">[13]  </w:t>
      </w:r>
      <w:r>
        <w:rPr>
          <w:sz w:val="20"/>
          <w:szCs w:val="20"/>
        </w:rPr>
        <w:t xml:space="preserve">Hubinger, E. et al. “Sleeper Agents: Training Deceptive LLMs that Persist Through Safety Training.” 2024. arXiv:2401.05566. Relevance: conditional behaviour surviving downstream safety training.</w:t>
      </w:r>
    </w:p>
    <w:p>
      <w:pPr>
        <w:spacing w:after="140" w:line="276"/>
      </w:pPr>
      <w:r>
        <w:rPr>
          <w:b/>
          <w:bCs/>
          <w:sz w:val="20"/>
          <w:szCs w:val="20"/>
        </w:rPr>
        <w:t xml:space="preserve">[14]  </w:t>
      </w:r>
      <w:r>
        <w:rPr>
          <w:sz w:val="20"/>
          <w:szCs w:val="20"/>
        </w:rPr>
        <w:t xml:space="preserve">Wu, B. et al. “BackdoorBench: A Comprehensive Benchmark and Analysis of Backdoor Learning.” 2024. arXiv:2407.19845. Relevance: model for a standardised evaluation harness.</w:t>
      </w:r>
    </w:p>
    <w:p>
      <w:pPr>
        <w:spacing w:after="140" w:line="276"/>
      </w:pPr>
      <w:r>
        <w:rPr>
          <w:b/>
          <w:bCs/>
          <w:sz w:val="20"/>
          <w:szCs w:val="20"/>
        </w:rPr>
        <w:t xml:space="preserve">[15]  </w:t>
      </w:r>
      <w:r>
        <w:rPr>
          <w:sz w:val="20"/>
          <w:szCs w:val="20"/>
        </w:rPr>
        <w:t xml:space="preserve">Chen, X. et al. “Dynamic Trigger Backdoor Attacks and a Two-Stage FFT-Based Defense in Federated Learning.” Internet of Things, 2026. Relevance: precedent for treating triggers as inference-time-generated conditions rather than fixed strings.</w:t>
      </w:r>
    </w:p>
    <w:p>
      <w:pPr>
        <w:spacing w:after="140" w:line="276"/>
      </w:pPr>
      <w:r>
        <w:rPr>
          <w:b/>
          <w:bCs/>
          <w:sz w:val="20"/>
          <w:szCs w:val="20"/>
        </w:rPr>
        <w:t xml:space="preserve">[16]  </w:t>
      </w:r>
      <w:r>
        <w:rPr>
          <w:sz w:val="20"/>
          <w:szCs w:val="20"/>
        </w:rPr>
        <w:t xml:space="preserve">Schulz, K., Kawasaki, A., Ring, L. “ShadowLogic: Backdoors in Any Whitebox LLM.” Proceedings of the 2025 Conference on Applied Machine Learning for Information Security (CAMLIS), PMLR 299:168–179 (also arXiv:2511.00664). [NEW] Relevance: computational-graph-level backdoor with a phrase trigger; establishes the deployment artifact/pipeline as an attack surface distinct from weights and prompts; discussed and differentiated in Section 7.3.</w:t>
      </w:r>
    </w:p>
    <w:p>
      <w:pPr>
        <w:pStyle w:val="Heading2"/>
        <w:spacing w:after="140" w:before="280"/>
      </w:pPr>
      <w:r>
        <w:rPr>
          <w:b/>
          <w:bCs/>
          <w:color w:val="2E6E7E"/>
          <w:sz w:val="24"/>
          <w:szCs w:val="24"/>
        </w:rPr>
        <w:t xml:space="preserve">Group D — Runtime / deployment-conditioned security</w:t>
      </w:r>
    </w:p>
    <w:p>
      <w:pPr>
        <w:spacing w:after="140" w:line="276"/>
      </w:pPr>
      <w:r>
        <w:rPr>
          <w:b/>
          <w:bCs/>
          <w:sz w:val="20"/>
          <w:szCs w:val="20"/>
        </w:rPr>
        <w:t xml:space="preserve">[17]  </w:t>
      </w:r>
      <w:r>
        <w:rPr>
          <w:sz w:val="20"/>
          <w:szCs w:val="20"/>
        </w:rPr>
        <w:t xml:space="preserve">[Authors as listed in source.] “CacheTrap: Unveiling a Stealthier Gray-Box Trojan against LLMs.” 2026 preprint. arXiv:2511.22681. [NEW] Relevance: the closest published prior art for “KV cache as backdoor trigger”; a hardware fault-injection (Rowhammer/GPUHammer) attack on an unmodified model, requiring no training and no legitimate compression policy. Central to the novelty positioning in Sections 7.4 and 8; must be cited and differentiated explicitly.</w:t>
      </w:r>
    </w:p>
    <w:p>
      <w:pPr>
        <w:spacing w:after="140" w:line="276"/>
      </w:pPr>
      <w:r>
        <w:rPr>
          <w:b/>
          <w:bCs/>
          <w:sz w:val="20"/>
          <w:szCs w:val="20"/>
        </w:rPr>
        <w:t xml:space="preserve">[18]  </w:t>
      </w:r>
      <w:r>
        <w:rPr>
          <w:sz w:val="20"/>
          <w:szCs w:val="20"/>
        </w:rPr>
        <w:t xml:space="preserve">Addagada, T. C. “Governing the KV Cache: Preventing Timing Side-Channel Leakage in Multi-Tenant LLM Inference.” 2026 preprint. arXiv:2608.09225. [NEW] Relevance: cache-sharing timing side channels across tenants (PROMPTPEEK, EarlyBird, InputSnatch) and a governance defense (KVGov); reinforces the cache as shared, observable runtime state.</w:t>
      </w:r>
    </w:p>
    <w:p>
      <w:pPr>
        <w:spacing w:after="140" w:line="276"/>
      </w:pPr>
      <w:r>
        <w:rPr>
          <w:b/>
          <w:bCs/>
          <w:sz w:val="20"/>
          <w:szCs w:val="20"/>
        </w:rPr>
        <w:t xml:space="preserve">[19]  </w:t>
      </w:r>
      <w:r>
        <w:rPr>
          <w:sz w:val="20"/>
          <w:szCs w:val="20"/>
        </w:rPr>
        <w:t xml:space="preserve">[Authors as listed in source.] “Inference-Time Backdoors via Chat Templates: From LLM Supply Chains to Agentic System Compromise.” ACM CCS 2026. [NEW] Relevance: a concurrent 2026 example of an inference-pipeline-artifact backdoor (chat templates) distinct from weights, prompts, and the KV cache; supports the timeliness of runtime/artifact-conditioned backdoor research generally.</w:t>
      </w:r>
    </w:p>
    <w:p>
      <w:pPr>
        <w:spacing w:after="140" w:line="276"/>
      </w:pPr>
      <w:r>
        <w:rPr>
          <w:b/>
          <w:bCs/>
          <w:sz w:val="20"/>
          <w:szCs w:val="20"/>
        </w:rPr>
        <w:t xml:space="preserve">[20]  </w:t>
      </w:r>
      <w:r>
        <w:rPr>
          <w:sz w:val="20"/>
          <w:szCs w:val="20"/>
        </w:rPr>
        <w:t xml:space="preserve">Teoh, J. et al. “Next-Latent Prediction Transformers Learn Compact World Models.” 2025–2026. arXiv:2511.05963 (Microsoft Research). [NEW, background] Relevance: candidate auxiliary training objective and mechanistic-analysis tool discussed in prior working sessions for shaping/probing belief-state-like latents under compression; not yet incorporated into the core methodology and requires its own novelty check before use (Section 31).</w:t>
      </w:r>
    </w:p>
    <w:p>
      <w:pPr>
        <w:pStyle w:val="Heading2"/>
        <w:spacing w:after="140" w:before="280"/>
      </w:pPr>
      <w:r>
        <w:rPr>
          <w:b/>
          <w:bCs/>
          <w:color w:val="2E6E7E"/>
          <w:sz w:val="24"/>
          <w:szCs w:val="24"/>
        </w:rPr>
        <w:t xml:space="preserve">Venue and submission references</w:t>
      </w:r>
    </w:p>
    <w:p>
      <w:pPr>
        <w:spacing w:after="140" w:line="276"/>
      </w:pPr>
      <w:r>
        <w:rPr>
          <w:b/>
          <w:bCs/>
          <w:sz w:val="20"/>
          <w:szCs w:val="20"/>
        </w:rPr>
        <w:t xml:space="preserve">[21]  </w:t>
      </w:r>
      <w:r>
        <w:rPr>
          <w:sz w:val="20"/>
          <w:szCs w:val="20"/>
        </w:rPr>
        <w:t xml:space="preserve">USENIX Security 2027 Call for Papers. usenix.org/conference/usenixsecurity27/call-for-papers.</w:t>
      </w:r>
    </w:p>
    <w:p>
      <w:pPr>
        <w:spacing w:after="140" w:line="276"/>
      </w:pPr>
      <w:r>
        <w:rPr>
          <w:b/>
          <w:bCs/>
          <w:sz w:val="20"/>
          <w:szCs w:val="20"/>
        </w:rPr>
        <w:t xml:space="preserve">[22]  </w:t>
      </w:r>
      <w:r>
        <w:rPr>
          <w:sz w:val="20"/>
          <w:szCs w:val="20"/>
        </w:rPr>
        <w:t xml:space="preserve">IEEE Symposium on Security and Privacy 2027 Call for Papers. ieee-security.org/TC/SP2027/cfpapers.html.</w:t>
      </w:r>
    </w:p>
    <w:p>
      <w:pPr>
        <w:spacing w:after="140" w:line="276"/>
      </w:pPr>
      <w:r>
        <w:rPr>
          <w:b/>
          <w:bCs/>
          <w:sz w:val="20"/>
          <w:szCs w:val="20"/>
        </w:rPr>
        <w:t xml:space="preserve">[23]  </w:t>
      </w:r>
      <w:r>
        <w:rPr>
          <w:sz w:val="20"/>
          <w:szCs w:val="20"/>
        </w:rPr>
        <w:t xml:space="preserve">MLSys 2027 Dates and Deadlines. mlsys.org/Conferences/2027/Dates.</w:t>
      </w:r>
    </w:p>
    <w:p>
      <w:pPr>
        <w:spacing w:after="140" w:line="276"/>
      </w:pPr>
      <w:r>
        <w:rPr>
          <w:b/>
          <w:bCs/>
          <w:sz w:val="20"/>
          <w:szCs w:val="20"/>
        </w:rPr>
        <w:t xml:space="preserve">[24]  </w:t>
      </w:r>
      <w:r>
        <w:rPr>
          <w:sz w:val="20"/>
          <w:szCs w:val="20"/>
        </w:rPr>
        <w:t xml:space="preserve">ICLR 2027 Call for Papers. iclr.cc/Conferences/2027/CallForPapers.</w:t>
      </w:r>
    </w:p>
    <w:p>
      <w:pPr>
        <w:spacing w:after="140" w:line="276"/>
      </w:pPr>
      <w:r>
        <w:rPr>
          <w:b/>
          <w:bCs/>
          <w:sz w:val="20"/>
          <w:szCs w:val="20"/>
        </w:rPr>
        <w:t xml:space="preserve">[25]  </w:t>
      </w:r>
      <w:r>
        <w:rPr>
          <w:sz w:val="20"/>
          <w:szCs w:val="20"/>
        </w:rPr>
        <w:t xml:space="preserve">Transactions on Machine Learning Research, submission information. jmlr.org/tmlr/submissions.html.</w:t>
      </w:r>
    </w:p>
    <w:p>
      <w:pPr>
        <w:spacing w:after="100"/>
      </w:pPr>
    </w:p>
    <w:p>
      <w:pPr>
        <w:pStyle w:val="Heading1"/>
        <w:pBdr>
          <w:bottom w:val="single" w:color="1F3864" w:sz="6" w:space="4"/>
        </w:pBdr>
        <w:spacing w:after="200" w:before="400"/>
      </w:pPr>
      <w:r>
        <w:rPr>
          <w:b/>
          <w:bCs/>
          <w:color w:val="1F3864"/>
          <w:sz w:val="30"/>
          <w:szCs w:val="30"/>
        </w:rPr>
        <w:t xml:space="preserve">A.  Appendix A — Supervisor Discussion Questions</w:t>
      </w:r>
    </w:p>
    <w:p>
      <w:pPr>
        <w:spacing w:after="90" w:line="276"/>
        <w:ind w:left="460" w:hanging="260"/>
      </w:pPr>
      <w:r>
        <w:rPr>
          <w:b/>
          <w:bCs/>
          <w:sz w:val="21"/>
          <w:szCs w:val="21"/>
        </w:rPr>
        <w:t xml:space="preserve">1.	</w:t>
      </w:r>
      <w:r>
        <w:rPr>
          <w:sz w:val="21"/>
          <w:szCs w:val="21"/>
        </w:rPr>
        <w:t xml:space="preserve">How is a “compression vulnerability” operationally distinguished from a “trained backdoor” in your evaluation, and which specific metric would falsify the backdoor claim?</w:t>
      </w:r>
    </w:p>
    <w:p>
      <w:pPr>
        <w:spacing w:after="90" w:line="276"/>
        <w:ind w:left="460" w:hanging="260"/>
      </w:pPr>
      <w:r>
        <w:rPr>
          <w:b/>
          <w:bCs/>
          <w:sz w:val="21"/>
          <w:szCs w:val="21"/>
        </w:rPr>
        <w:t xml:space="preserve">2.	</w:t>
      </w:r>
      <w:r>
        <w:rPr>
          <w:sz w:val="21"/>
          <w:szCs w:val="21"/>
        </w:rPr>
        <w:t xml:space="preserve">CacheTrap already demonstrates a KV-cache-triggered attack — walk me through exactly why your threat model and mechanism are different, not just differently described.</w:t>
      </w:r>
    </w:p>
    <w:p>
      <w:pPr>
        <w:spacing w:after="90" w:line="276"/>
        <w:ind w:left="460" w:hanging="260"/>
      </w:pPr>
      <w:r>
        <w:rPr>
          <w:b/>
          <w:bCs/>
          <w:sz w:val="21"/>
          <w:szCs w:val="21"/>
        </w:rPr>
        <w:t xml:space="preserve">3.	</w:t>
      </w:r>
      <w:r>
        <w:rPr>
          <w:sz w:val="21"/>
          <w:szCs w:val="21"/>
        </w:rPr>
        <w:t xml:space="preserve">What happens to your central claim if a training run produces high RC-ASR but the effect turns out to be identical in magnitude to the clean-model baseline transition reported in Group B?</w:t>
      </w:r>
    </w:p>
    <w:p>
      <w:pPr>
        <w:spacing w:after="90" w:line="276"/>
        <w:ind w:left="460" w:hanging="260"/>
      </w:pPr>
      <w:r>
        <w:rPr>
          <w:b/>
          <w:bCs/>
          <w:sz w:val="21"/>
          <w:szCs w:val="21"/>
        </w:rPr>
        <w:t xml:space="preserve">4.	</w:t>
      </w:r>
      <w:r>
        <w:rPr>
          <w:sz w:val="21"/>
          <w:szCs w:val="21"/>
        </w:rPr>
        <w:t xml:space="preserve">Your attacker assumes fine-tuning access but no runtime control — how would you defend the realism of this assumption for a widely redistributed open-weight model versus a closed, API-served one?</w:t>
      </w:r>
    </w:p>
    <w:p>
      <w:pPr>
        <w:spacing w:after="90" w:line="276"/>
        <w:ind w:left="460" w:hanging="260"/>
      </w:pPr>
      <w:r>
        <w:rPr>
          <w:b/>
          <w:bCs/>
          <w:sz w:val="21"/>
          <w:szCs w:val="21"/>
        </w:rPr>
        <w:t xml:space="preserve">5.	</w:t>
      </w:r>
      <w:r>
        <w:rPr>
          <w:sz w:val="21"/>
          <w:szCs w:val="21"/>
        </w:rPr>
        <w:t xml:space="preserve">Why start with quantization (KQCB) rather than eviction (KECB), given eviction is framed as the more novel variant?</w:t>
      </w:r>
    </w:p>
    <w:p>
      <w:pPr>
        <w:spacing w:after="90" w:line="276"/>
        <w:ind w:left="460" w:hanging="260"/>
      </w:pPr>
      <w:r>
        <w:rPr>
          <w:b/>
          <w:bCs/>
          <w:sz w:val="21"/>
          <w:szCs w:val="21"/>
        </w:rPr>
        <w:t xml:space="preserve">6.	</w:t>
      </w:r>
      <w:r>
        <w:rPr>
          <w:sz w:val="21"/>
          <w:szCs w:val="21"/>
        </w:rPr>
        <w:t xml:space="preserve">How will you ensure the Stage-1 synthetic target is not so trivial that a positive result says nothing about whether a genuinely harmful payload could be implanted the same way?</w:t>
      </w:r>
    </w:p>
    <w:p>
      <w:pPr>
        <w:spacing w:after="90" w:line="276"/>
        <w:ind w:left="460" w:hanging="260"/>
      </w:pPr>
      <w:r>
        <w:rPr>
          <w:b/>
          <w:bCs/>
          <w:sz w:val="21"/>
          <w:szCs w:val="21"/>
        </w:rPr>
        <w:t xml:space="preserve">7.	</w:t>
      </w:r>
      <w:r>
        <w:rPr>
          <w:sz w:val="21"/>
          <w:szCs w:val="21"/>
        </w:rPr>
        <w:t xml:space="preserve">What is your concrete stopping rule if Phase 2 training fails to amplify the behavioural gap after a reasonable number of attempts — how many is “reasonable” given your compute budget?</w:t>
      </w:r>
    </w:p>
    <w:p>
      <w:pPr>
        <w:spacing w:after="90" w:line="276"/>
        <w:ind w:left="460" w:hanging="260"/>
      </w:pPr>
      <w:r>
        <w:rPr>
          <w:b/>
          <w:bCs/>
          <w:sz w:val="21"/>
          <w:szCs w:val="21"/>
        </w:rPr>
        <w:t xml:space="preserve">8.	</w:t>
      </w:r>
      <w:r>
        <w:rPr>
          <w:sz w:val="21"/>
          <w:szCs w:val="21"/>
        </w:rPr>
        <w:t xml:space="preserve">How do you plan to compute and report trigger specificity in a way that is not gameable by choosing an unrepresentative set of near-miss policies?</w:t>
      </w:r>
    </w:p>
    <w:p>
      <w:pPr>
        <w:spacing w:after="90" w:line="276"/>
        <w:ind w:left="460" w:hanging="260"/>
      </w:pPr>
      <w:r>
        <w:rPr>
          <w:b/>
          <w:bCs/>
          <w:sz w:val="21"/>
          <w:szCs w:val="21"/>
        </w:rPr>
        <w:t xml:space="preserve">9.	</w:t>
      </w:r>
      <w:r>
        <w:rPr>
          <w:sz w:val="21"/>
          <w:szCs w:val="21"/>
        </w:rPr>
        <w:t xml:space="preserve">Given your minimum-viable matrix uses 1–8B models, what specific evidence would you accept as sufficient for a claim of cross-model generalisation, short of testing frontier-scale models you cannot access?</w:t>
      </w:r>
    </w:p>
    <w:p>
      <w:pPr>
        <w:spacing w:after="90" w:line="276"/>
        <w:ind w:left="460" w:hanging="260"/>
      </w:pPr>
      <w:r>
        <w:rPr>
          <w:b/>
          <w:bCs/>
          <w:sz w:val="21"/>
          <w:szCs w:val="21"/>
        </w:rPr>
        <w:t xml:space="preserve">10.	</w:t>
      </w:r>
      <w:r>
        <w:rPr>
          <w:sz w:val="21"/>
          <w:szCs w:val="21"/>
        </w:rPr>
        <w:t xml:space="preserve">Your defense proposals (differential audit, policy fuzzing) both add inference-time cost — do you have a rough sense of the overhead budget a real serving system would tolerate?</w:t>
      </w:r>
    </w:p>
    <w:p>
      <w:pPr>
        <w:spacing w:after="90" w:line="276"/>
        <w:ind w:left="460" w:hanging="260"/>
      </w:pPr>
      <w:r>
        <w:rPr>
          <w:b/>
          <w:bCs/>
          <w:sz w:val="21"/>
          <w:szCs w:val="21"/>
        </w:rPr>
        <w:t xml:space="preserve">11.	</w:t>
      </w:r>
      <w:r>
        <w:rPr>
          <w:sz w:val="21"/>
          <w:szCs w:val="21"/>
        </w:rPr>
        <w:t xml:space="preserve">How will you distinguish a genuinely sharp runtime threshold (a phase transition) from a gradual one that merely looks sharp due to a coarse sweep of budget/precision values?</w:t>
      </w:r>
    </w:p>
    <w:p>
      <w:pPr>
        <w:spacing w:after="90" w:line="276"/>
        <w:ind w:left="460" w:hanging="260"/>
      </w:pPr>
      <w:r>
        <w:rPr>
          <w:b/>
          <w:bCs/>
          <w:sz w:val="21"/>
          <w:szCs w:val="21"/>
        </w:rPr>
        <w:t xml:space="preserve">12.	</w:t>
      </w:r>
      <w:r>
        <w:rPr>
          <w:sz w:val="21"/>
          <w:szCs w:val="21"/>
        </w:rPr>
        <w:t xml:space="preserve">What is your plan if the eviction- and merging-conditioned variants (KECB, KMCB) behave so differently that no unified “runtime-conditioned backdoor” framework can honestly cover all three?</w:t>
      </w:r>
    </w:p>
    <w:p>
      <w:pPr>
        <w:spacing w:after="90" w:line="276"/>
        <w:ind w:left="460" w:hanging="260"/>
      </w:pPr>
      <w:r>
        <w:rPr>
          <w:b/>
          <w:bCs/>
          <w:sz w:val="21"/>
          <w:szCs w:val="21"/>
        </w:rPr>
        <w:t xml:space="preserve">13.	</w:t>
      </w:r>
      <w:r>
        <w:rPr>
          <w:sz w:val="21"/>
          <w:szCs w:val="21"/>
        </w:rPr>
        <w:t xml:space="preserve">Which specific venue are you actually targeting given the September-2026 start date, and is the timeline in Section 26 realistic for a single B.Tech researcher versus a multi-person lab?</w:t>
      </w:r>
    </w:p>
    <w:p>
      <w:pPr>
        <w:spacing w:after="100"/>
      </w:pPr>
    </w:p>
    <w:p>
      <w:pPr>
        <w:pStyle w:val="Heading1"/>
        <w:pBdr>
          <w:bottom w:val="single" w:color="1F3864" w:sz="6" w:space="4"/>
        </w:pBdr>
        <w:spacing w:after="200" w:before="400"/>
      </w:pPr>
      <w:r>
        <w:rPr>
          <w:b/>
          <w:bCs/>
          <w:color w:val="1F3864"/>
          <w:sz w:val="30"/>
          <w:szCs w:val="30"/>
        </w:rPr>
        <w:t xml:space="preserve">B.  Appendix B — Potential Reviewer Criticisms</w:t>
      </w:r>
    </w:p>
    <w:p>
      <w:pPr>
        <w:spacing w:after="90" w:line="276"/>
        <w:ind w:left="460" w:hanging="260"/>
      </w:pPr>
       Address by reporting the training-without-runtime-condition control (Section 16) and the clean-model baseline side by side with the trained model's behavioural gap, making the amplification explicit and quantified.
    </w:p>
    <w:p>
      <w:pPr>
        <w:spacing w:after="90" w:line="276"/>
        <w:ind w:left="460" w:hanging="260"/>
      </w:pPr>
       Address with the explicit five-criterion differentiation (Sections 7.4, 8) and by foregrounding the weaker, more realistic attacker capability (fine-tuning only, no hardware access) as the paper's practical contribution, not just a technical footnote.
    </w:p>
    <w:p>
      <w:pPr>
        <w:spacing w:after="90" w:line="276"/>
        <w:ind w:left="460" w:hanging="260"/>
      </w:pPr>
       Address by presenting Stage 1–2 explicitly as mechanism-existence evidence, with Stage 3 red-team evaluation as the claim that actually carries security weight, and by not overstating Stage 1–2 results in the abstract or introduction.
    </w:p>
    <w:p>
      <w:pPr>
        <w:spacing w:after="90" w:line="276"/>
        <w:ind w:left="460" w:hanging="260"/>
      </w:pPr>
       Address with explicit scoping language (Section 22) and, if resources allow, at least one larger-scale spot-check rather than a full sweep.
    </w:p>
    <w:p>
      <w:pPr>
        <w:spacing w:after="90" w:line="276"/>
        <w:ind w:left="460" w:hanging="260"/>
      </w:pPr>
       Address via the policy-fingerprint and cross-policy-transfer experiments (Sections 12, 14), which directly test robustness to policy mismatch rather than assuming perfect attacker knowledge.
    </w:p>
    <w:p>
      <w:pPr>
        <w:spacing w:after="90" w:line="276"/>
        <w:ind w:left="460" w:hanging="260"/>
      </w:pPr>
       Address by reporting trigger specificity as a spectrum with an explicit trade-off against stealth and detection cost (Section 17), rather than presenting maximal narrowness as unambiguously good.
    </w:p>
    <w:p>
      <w:pPr>
        <w:spacing w:after="90" w:line="276"/>
        <w:ind w:left="460" w:hanging="260"/>
      </w:pPr>
       Address by evaluating the proposed defenses against multiple attack variants (KQCB/KECB/KMCB) and against the conventional prompt-backdoor baseline, not only the specific configuration used to design the defense.
    </w:p>
    <w:p>
      <w:pPr>
        <w:spacing w:after="90" w:line="276"/>
        <w:ind w:left="460" w:hanging="260"/>
      </w:pPr>
       Address with the explicit five-criterion checklist and by citing Group B as the source of the baseline the attack must exceed, not as a competing claim of the same finding.
    </w:p>
    <w:p>
      <w:pPr>
        <w:spacing w:after="90" w:line="276"/>
        <w:ind w:left="460" w:hanging="260"/>
      </w:pPr>
       Address by scoping the claim to empirical, statistically reported behaviour (Section 18) rather than a formal guarantee, consistent with the empirical nature of the broader backdoor literature.
    </w:p>
    <w:p>
      <w:pPr>
        <w:spacing w:after="90" w:line="276"/>
        <w:ind w:left="460" w:hanging="260"/>
      </w:pPr>
       Address per Section 4.3's explicit argument for treating the three mechanisms separately, with per-family results reported rather than pooled.
    </w:p>
    <w:p>
      <w:pPr>
        <w:spacing w:after="90" w:line="276"/>
        <w:ind w:left="460" w:hanging="260"/>
      </w:pPr>
       Address by treating the minimum viable matrix (Section 14) as the actual committed scope, with the stronger-paper column and later-phase variants (merging, load-conditioning) explicitly marked as stretch goals contingent on the Go/No-Go gates (Section 28).
    </w:p>
    <w:p>
      <w:pPr>
        <w:spacing w:after="90" w:line="276"/>
        <w:ind w:left="460" w:hanging="260"/>
      </w:pPr>
       Address by naming the specific institutional review step required before Stage 3 (Section 23) and by gating any code release on separating the harness from trained attack artifacts.
    </w:p>
    <w:p>
      <w:pPr>
        <w:spacing w:after="90" w:line="276"/>
        <w:ind w:left="460" w:hanging="260"/>
      </w:pPr>
       Address directly via the mandatory pre-submission re-search step in Section 31.
    </w:p>
    <w:p>
      <w:pPr>
        <w:spacing w:after="100"/>
      </w:pPr>
    </w:p>
    <w:p>
      <w:pPr>
        <w:pStyle w:val="Heading1"/>
        <w:pBdr>
          <w:bottom w:val="single" w:color="1F3864" w:sz="6" w:space="4"/>
        </w:pBdr>
        <w:spacing w:after="200" w:before="400"/>
      </w:pPr>
      <w:r>
        <w:rPr>
          <w:b/>
          <w:bCs/>
          <w:color w:val="1F3864"/>
          <w:sz w:val="30"/>
          <w:szCs w:val="30"/>
        </w:rPr>
        <w:t xml:space="preserve">C.  Appendix C — Research Approval Checklist</w:t>
      </w:r>
    </w:p>
    <w:p>
      <w:pPr>
        <w:pStyle w:val="ListParagraph"/>
        <w:numPr>
          <w:ilvl w:val="0"/>
          <w:numId w:val="2"/>
        </w:numPr>
        <w:spacing w:after="90" w:line="276"/>
      </w:pPr>
      <w:r>
        <w:rPr>
          <w:sz w:val="21"/>
          <w:szCs w:val="21"/>
        </w:rPr>
        <w:t xml:space="preserve">[ ]  Novelty search re-run within one week of submission, with CacheTrap and any newer KV-cache-trigger papers explicitly checked (Section 31).</w:t>
      </w:r>
    </w:p>
    <w:p>
      <w:pPr>
        <w:pStyle w:val="ListParagraph"/>
        <w:numPr>
          <w:ilvl w:val="0"/>
          <w:numId w:val="2"/>
        </w:numPr>
        <w:spacing w:after="90" w:line="276"/>
      </w:pPr>
      <w:r>
        <w:rPr>
          <w:sz w:val="21"/>
          <w:szCs w:val="21"/>
        </w:rPr>
        <w:t xml:space="preserve">[ ]  Five-criterion backdoor-vs-vulnerability checklist (Section 8.1 reference; intentional training, clean-baseline comparison, trigger specificity, payload specificity, stealthiness) applied to any claimed positive result before it is described as a “backdoor.”</w:t>
      </w:r>
    </w:p>
    <w:p>
      <w:pPr>
        <w:pStyle w:val="ListParagraph"/>
        <w:numPr>
          <w:ilvl w:val="0"/>
          <w:numId w:val="2"/>
        </w:numPr>
        <w:spacing w:after="90" w:line="276"/>
      </w:pPr>
      <w:r>
        <w:rPr>
          <w:sz w:val="21"/>
          <w:szCs w:val="21"/>
        </w:rPr>
        <w:t xml:space="preserve">[ ]  Threat model (Section 11) reviewed for realism by someone outside the immediate project team.</w:t>
      </w:r>
    </w:p>
    <w:p>
      <w:pPr>
        <w:pStyle w:val="ListParagraph"/>
        <w:numPr>
          <w:ilvl w:val="0"/>
          <w:numId w:val="2"/>
        </w:numPr>
        <w:spacing w:after="90" w:line="276"/>
      </w:pPr>
      <w:r>
        <w:rPr>
          <w:sz w:val="21"/>
          <w:szCs w:val="21"/>
        </w:rPr>
        <w:t xml:space="preserve">[ ]  Stage 1–2 synthetic-target design (Section 15) reviewed and approved before any training begins.</w:t>
      </w:r>
    </w:p>
    <w:p>
      <w:pPr>
        <w:pStyle w:val="ListParagraph"/>
        <w:numPr>
          <w:ilvl w:val="0"/>
          <w:numId w:val="2"/>
        </w:numPr>
        <w:spacing w:after="90" w:line="276"/>
      </w:pPr>
      <w:r>
        <w:rPr>
          <w:sz w:val="21"/>
          <w:szCs w:val="21"/>
        </w:rPr>
        <w:t xml:space="preserve">[ ]  Institutional/ethics sign-off obtained before any Stage 3 red-team evaluation (Section 23).</w:t>
      </w:r>
    </w:p>
    <w:p>
      <w:pPr>
        <w:pStyle w:val="ListParagraph"/>
        <w:numPr>
          <w:ilvl w:val="0"/>
          <w:numId w:val="2"/>
        </w:numPr>
        <w:spacing w:after="90" w:line="276"/>
      </w:pPr>
      <w:r>
        <w:rPr>
          <w:sz w:val="21"/>
          <w:szCs w:val="21"/>
        </w:rPr>
        <w:t xml:space="preserve">[ ]  Go/No-Go gates (Section 28) explicitly checked at each phase boundary in Section 26's timeline, with outcomes logged regardless of result.</w:t>
      </w:r>
    </w:p>
    <w:p>
      <w:pPr>
        <w:pStyle w:val="ListParagraph"/>
        <w:numPr>
          <w:ilvl w:val="0"/>
          <w:numId w:val="2"/>
        </w:numPr>
        <w:spacing w:after="90" w:line="276"/>
      </w:pPr>
      <w:r>
        <w:rPr>
          <w:sz w:val="21"/>
          <w:szCs w:val="21"/>
        </w:rPr>
        <w:t xml:space="preserve">[ ]  Pre-registration of primary metrics and trigger definition (Section 18) completed before final ablations.</w:t>
      </w:r>
    </w:p>
    <w:p>
      <w:pPr>
        <w:pStyle w:val="ListParagraph"/>
        <w:numPr>
          <w:ilvl w:val="0"/>
          <w:numId w:val="2"/>
        </w:numPr>
        <w:spacing w:after="90" w:line="276"/>
      </w:pPr>
      <w:r>
        <w:rPr>
          <w:sz w:val="21"/>
          <w:szCs w:val="21"/>
        </w:rPr>
        <w:t xml:space="preserve">[ ]  Compute budget (Section 25) confirmed against actual available GPU access before committing to the stronger-paper experimental matrix.</w:t>
      </w:r>
    </w:p>
    <w:p>
      <w:pPr>
        <w:pStyle w:val="ListParagraph"/>
        <w:numPr>
          <w:ilvl w:val="0"/>
          <w:numId w:val="2"/>
        </w:numPr>
        <w:spacing w:after="90" w:line="276"/>
      </w:pPr>
      <w:r>
        <w:rPr>
          <w:sz w:val="21"/>
          <w:szCs w:val="21"/>
        </w:rPr>
        <w:t xml:space="preserve">[ ]  Code/artifact release plan (Section 23) reviewed, separating the instrumentation harness from any trained attack checkpoints.</w:t>
      </w:r>
    </w:p>
    <w:p>
      <w:pPr>
        <w:pStyle w:val="ListParagraph"/>
        <w:numPr>
          <w:ilvl w:val="0"/>
          <w:numId w:val="2"/>
        </w:numPr>
        <w:spacing w:after="90" w:line="276"/>
      </w:pPr>
      <w:r>
        <w:rPr>
          <w:sz w:val="21"/>
          <w:szCs w:val="21"/>
        </w:rPr>
        <w:t xml:space="preserve">[ ]  Target venue and deadline (Section 26) re-verified against the live call for papers immediately before submission.</w:t>
      </w:r>
    </w:p>
    <w:p>
      <w:pPr>
        <w:spacing w:after="100"/>
      </w:pPr>
    </w:p>
    <w:p>
      <w:pPr>
        <w:pBdr>
          <w:top w:val="single" w:color="1F3864" w:sz="6" w:space="8"/>
        </w:pBdr>
        <w:spacing w:before="400"/>
      </w:pPr>
      <w:r>
        <w:rPr>
          <w:i/>
          <w:iCs/>
          <w:color w:val="595959"/>
          <w:sz w:val="19"/>
          <w:szCs w:val="19"/>
        </w:rPr>
        <w:t xml:space="preserve">End of synopsis. Prepared as a working draft for supervisor review; all novelty and priority claims are to be re-verified against the literature immediately before formal submission.</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Runtime-Conditioned Backdoors — KV-Cache Compression as an Inference-Time Trigger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Runtime-Conditioned Backdoors in Large Language Models: KV-Cache Compression as an Inference-Time Trigger</dc:title>
  <dc:creator>Claude</dc:creator>
  <cp:lastModifiedBy>Un-named</cp:lastModifiedBy>
  <cp:revision>1</cp:revision>
  <dcterms:created xsi:type="dcterms:W3CDTF">2026-09-14T11:54:56.340Z</dcterms:created>
  <dcterms:modified xsi:type="dcterms:W3CDTF">2026-09-14T11:54:56.340Z</dcterms:modified>
</cp:coreProperties>
</file>

<file path=docProps/custom.xml><?xml version="1.0" encoding="utf-8"?>
<Properties xmlns="http://schemas.openxmlformats.org/officeDocument/2006/custom-properties" xmlns:vt="http://schemas.openxmlformats.org/officeDocument/2006/docPropsVTypes"/>
</file>