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446578"/>
          <w:sz w:val="20"/>
        </w:rPr>
        <w:t>RESEARCH PROPOSAL / ROADMAP</w:t>
      </w:r>
    </w:p>
    <w:p>
      <w:pPr>
        <w:pStyle w:val="Title"/>
        <w:spacing w:before="300" w:after="240"/>
      </w:pPr>
      <w:r>
        <w:t>Runtime-Conditioned Backdoors in Large Language Models</w:t>
      </w:r>
    </w:p>
    <w:p>
      <w:pPr>
        <w:spacing w:after="400"/>
      </w:pPr>
      <w:r>
        <w:rPr>
          <w:b/>
          <w:color w:val="475863"/>
          <w:sz w:val="32"/>
        </w:rPr>
        <w:t>KV-Cache Compression as an Inference-Time Trigger</w:t>
      </w:r>
    </w:p>
    <w:tbl>
      <w:tblPr>
        <w:tblW w:type="auto" w:w="0"/>
        <w:jc w:val="center"/>
        <w:tblLayout w:type="autofit"/>
        <w:tblLook w:firstColumn="1" w:firstRow="1" w:lastColumn="0" w:lastRow="0" w:noHBand="0" w:noVBand="1" w:val="04A0"/>
      </w:tblPr>
      <w:tblGrid>
        <w:gridCol w:w="10152"/>
      </w:tblGrid>
      <w:tr>
        <w:tc>
          <w:tcPr>
            <w:tcW w:type="dxa" w:w="10152"/>
            <w:shd w:fill="EAF2F8"/>
          </w:tcPr>
          <w:p>
            <w:pPr>
              <w:spacing w:after="40"/>
            </w:pPr>
            <w:r>
              <w:rPr>
                <w:b/>
                <w:sz w:val="21"/>
              </w:rPr>
              <w:t>Core research thesis</w:t>
            </w:r>
          </w:p>
          <w:p>
            <w:pPr>
              <w:spacing w:after="20"/>
            </w:pPr>
            <w:r>
              <w:rPr>
                <w:sz w:val="19"/>
              </w:rPr>
              <w:t>A model may be benign under ordinary full-cache inference yet exhibit targeted malicious behavior only when a runtime cache policy transforms the intermediate state used for decoding. The central question is whether this sensitivity can be intentionally engineered, measured, and defended against—especially for KV-cache quantization, token eviction, and cache merging.</w:t>
            </w:r>
          </w:p>
        </w:tc>
      </w:tr>
    </w:tbl>
    <w:p>
      <w:pPr>
        <w:spacing w:after="0"/>
      </w:pPr>
    </w:p>
    <w:p>
      <w:pPr>
        <w:spacing w:before="320"/>
      </w:pPr>
      <w:r>
        <w:rPr>
          <w:b/>
        </w:rPr>
        <w:t xml:space="preserve">Scope: </w:t>
      </w:r>
      <w:r>
        <w:t>standalone research direction; deliberately independent of weight-transformation or deployment-conditioned backdoor work.</w:t>
      </w:r>
    </w:p>
    <w:p>
      <w:r>
        <w:rPr>
          <w:b/>
        </w:rPr>
        <w:t xml:space="preserve">Evidence snapshot: </w:t>
      </w:r>
      <w:r>
        <w:t>literature and submission dates checked against sources available on 10 September 2026.</w:t>
      </w:r>
    </w:p>
    <w:p>
      <w:pPr>
        <w:pStyle w:val="Heading1"/>
      </w:pPr>
      <w:r>
        <w:t>1. Executive Summary</w:t>
      </w:r>
    </w:p>
    <w:p>
      <w:pPr>
        <w:spacing w:after="120"/>
      </w:pPr>
      <w:r>
        <w:rPr>
          <w:b/>
        </w:rPr>
        <w:t xml:space="preserve">Runtime-conditioned backdoor: </w:t>
      </w:r>
      <w:r>
        <w:t>is used here as a proposed research concept, not as a settled literature term. It refers to a backdoor whose activation depends on an inference-time runtime state or runtime transformation—rather than only on a conventional input trigger or a changed model checkpoint.</w:t>
      </w:r>
    </w:p>
    <w:p>
      <w:pPr>
        <w:spacing w:after="120"/>
      </w:pPr>
      <w:r>
        <w:rPr>
          <w:b/>
        </w:rPr>
        <w:t xml:space="preserve">Why KV cache is the natural testbed: </w:t>
      </w:r>
      <w:r>
        <w:t>is that autoregressive LLM inference creates a large, mutable intermediate state: the key/value cache. Systems compress that state to reduce GPU memory, bandwidth, and latency. Compression can involve low-bit representation, token eviction, or merging/reuse of cache states. Recent work shows these operations can materially change safety and instruction following, including instruction loss, system-prompt leakage, and safety-alignment collapse.</w:t>
      </w:r>
    </w:p>
    <w:p>
      <w:pPr>
        <w:spacing w:after="120"/>
      </w:pPr>
      <w:r>
        <w:rPr>
          <w:b/>
        </w:rPr>
        <w:t xml:space="preserve">The research gap: </w:t>
      </w:r>
      <w:r>
        <w:t>is one level deeper: existing work primarily asks how compression affects a clean model, or how an existing jailbreak behaves under compression. The proposed work asks whether an adversary can intentionally train a model so that a particular runtime cache condition becomes the trigger for a targeted behavioral change, while the model remains benign under the full-cache condition and on ordinary audits.</w:t>
      </w:r>
    </w:p>
    <w:p>
      <w:pPr>
        <w:spacing w:after="120"/>
      </w:pPr>
      <w:r>
        <w:rPr>
          <w:b/>
        </w:rPr>
        <w:t xml:space="preserve">The practical payoff: </w:t>
      </w:r>
      <w:r>
        <w:t>is a new way to reason about inference-time security. If successful, the work would establish a new attack surface spanning model internals and serving infrastructure, motivate cache-aware auditing, and motivate security-aware cache policies that protect system instructions or other high-value states without abandoning compression.</w:t>
      </w:r>
    </w:p>
    <w:tbl>
      <w:tblPr>
        <w:tblW w:type="auto" w:w="0"/>
        <w:jc w:val="center"/>
        <w:tblLayout w:type="autofit"/>
        <w:tblLook w:firstColumn="1" w:firstRow="1" w:lastColumn="0" w:lastRow="0" w:noHBand="0" w:noVBand="1" w:val="04A0"/>
      </w:tblPr>
      <w:tblGrid>
        <w:gridCol w:w="10152"/>
      </w:tblGrid>
      <w:tr>
        <w:tc>
          <w:tcPr>
            <w:tcW w:type="dxa" w:w="10152"/>
            <w:shd w:fill="FFF6E8"/>
          </w:tcPr>
          <w:p>
            <w:pPr>
              <w:spacing w:after="40"/>
            </w:pPr>
            <w:r>
              <w:rPr>
                <w:b/>
                <w:sz w:val="21"/>
              </w:rPr>
              <w:t>Publication-level claim to aim for</w:t>
            </w:r>
          </w:p>
          <w:p>
            <w:pPr>
              <w:spacing w:after="20"/>
            </w:pPr>
            <w:r>
              <w:rPr>
                <w:sz w:val="19"/>
              </w:rPr>
              <w:t>Do not aim merely to show that “KV compression can reduce safety.” That finding is now supported by multiple 2025–2026 studies. The stronger claim is: “A runtime cache policy can itself be made into a reliable, selective, and stealthy trigger for a targeted behavior.” The paper becomes much stronger if it also explains the mechanism and proposes a practical defense.</w:t>
            </w:r>
          </w:p>
        </w:tc>
      </w:tr>
    </w:tbl>
    <w:p>
      <w:pPr>
        <w:spacing w:after="0"/>
      </w:pPr>
    </w:p>
    <w:p>
      <w:pPr>
        <w:pStyle w:val="Heading1"/>
      </w:pPr>
      <w:r>
        <w:t>2. What Are Runtime-Conditioned Backdoors?</w:t>
      </w:r>
    </w:p>
    <w:p>
      <w:r>
        <w:t>A conventional neural backdoor is usually described as a mapping that is normal on clean inputs but changes on triggered inputs. The proposed runtime-conditioned generalization adds a runtime variable to the trigger definition.</w:t>
      </w:r>
    </w:p>
    <w:tbl>
      <w:tblPr>
        <w:tblW w:type="auto" w:w="0"/>
        <w:tblLook w:firstColumn="1" w:firstRow="1" w:lastColumn="0" w:lastRow="0" w:noHBand="0" w:noVBand="1" w:val="04A0"/>
      </w:tblPr>
      <w:tblGrid>
        <w:gridCol w:w="10152"/>
      </w:tblGrid>
      <w:tr>
        <w:tc>
          <w:tcPr>
            <w:tcW w:type="dxa" w:w="10152"/>
            <w:shd w:fill="F3F5F7"/>
          </w:tcPr>
          <w:p>
            <w:pPr>
              <w:spacing w:after="0"/>
            </w:pPr>
            <w:r>
              <w:rPr>
                <w:rFonts w:ascii="Courier New" w:hAnsi="Courier New"/>
                <w:sz w:val="16"/>
              </w:rPr>
              <w:t>Conventional:      f(x)                    -&gt; y_clean / y_bad when x contains trigger t</w:t>
              <w:br/>
              <w:t>Runtime-conditioned: f(x, s_runtime)          -&gt; y_clean or y_bad depending on runtime state s_runtime</w:t>
              <w:br/>
              <w:t>KV-conditioned:      f(x, C_full)              -&gt; benign</w:t>
              <w:br/>
              <w:t xml:space="preserve">                     f(x, C_compressed)       -&gt; targeted malicious behavior</w:t>
            </w:r>
          </w:p>
        </w:tc>
      </w:tr>
    </w:tbl>
    <w:p>
      <w:pPr>
        <w:spacing w:after="0"/>
      </w:pPr>
    </w:p>
    <w:p>
      <w:r>
        <w:t>Here, the runtime state can include the representation of the KV cache, which cache entries were retained, how many tokens were kept, the precision used for keys/values, layer/head allocation, or a cache-budget policy activated by memory pressure. The runtime state can therefore be explicit (for example, a fixed 4-bit cache) or emergent (for example, aggressive eviction when context length exceeds a threshold).</w:t>
      </w:r>
    </w:p>
    <w:p>
      <w:pPr>
        <w:pStyle w:val="Heading2"/>
      </w:pPr>
      <w:r>
        <w:t>2.1 KV cache in one page</w:t>
      </w:r>
    </w:p>
    <w:p>
      <w:r>
        <w:t>During autoregressive decoding, each Transformer layer produces key and value vectors for tokens that have already been processed. These are retained so future tokens do not need to recompute the same states. The cache therefore grows with sequence length and batch size and becomes a major memory/bandwidth bottleneck for long-context or high-concurrency inference.</w:t>
      </w:r>
    </w:p>
    <w:tbl>
      <w:tblPr>
        <w:tblStyle w:val="TableGrid"/>
        <w:tblW w:type="auto" w:w="0"/>
        <w:jc w:val="center"/>
        <w:tblLook w:firstColumn="1" w:firstRow="1" w:lastColumn="0" w:lastRow="0" w:noHBand="0" w:noVBand="1" w:val="04A0"/>
      </w:tblPr>
      <w:tblGrid>
        <w:gridCol w:w="2538"/>
        <w:gridCol w:w="2538"/>
        <w:gridCol w:w="2538"/>
        <w:gridCol w:w="2538"/>
      </w:tblGrid>
      <w:tr>
        <w:tc>
          <w:tcPr>
            <w:tcW w:type="dxa" w:w="1944"/>
            <w:vAlign w:val="center"/>
            <w:shd w:fill="244A64"/>
          </w:tcPr>
          <w:p>
            <w:pPr>
              <w:spacing w:after="0"/>
            </w:pPr>
            <w:r/>
            <w:r>
              <w:rPr>
                <w:b/>
                <w:color w:val="FFFFFF"/>
                <w:sz w:val="16"/>
              </w:rPr>
              <w:t>Runtime operation</w:t>
            </w:r>
          </w:p>
        </w:tc>
        <w:tc>
          <w:tcPr>
            <w:tcW w:type="dxa" w:w="2376"/>
            <w:vAlign w:val="center"/>
            <w:shd w:fill="244A64"/>
          </w:tcPr>
          <w:p>
            <w:pPr>
              <w:spacing w:after="0"/>
            </w:pPr>
            <w:r/>
            <w:r>
              <w:rPr>
                <w:b/>
                <w:color w:val="FFFFFF"/>
                <w:sz w:val="16"/>
              </w:rPr>
              <w:t>What changes</w:t>
            </w:r>
          </w:p>
        </w:tc>
        <w:tc>
          <w:tcPr>
            <w:tcW w:type="dxa" w:w="2448"/>
            <w:vAlign w:val="center"/>
            <w:shd w:fill="244A64"/>
          </w:tcPr>
          <w:p>
            <w:pPr>
              <w:spacing w:after="0"/>
            </w:pPr>
            <w:r/>
            <w:r>
              <w:rPr>
                <w:b/>
                <w:color w:val="FFFFFF"/>
                <w:sz w:val="16"/>
              </w:rPr>
              <w:t>Why systems use it</w:t>
            </w:r>
          </w:p>
        </w:tc>
        <w:tc>
          <w:tcPr>
            <w:tcW w:type="dxa" w:w="3168"/>
            <w:vAlign w:val="center"/>
            <w:shd w:fill="244A64"/>
          </w:tcPr>
          <w:p>
            <w:pPr>
              <w:spacing w:after="0"/>
            </w:pPr>
            <w:r/>
            <w:r>
              <w:rPr>
                <w:b/>
                <w:color w:val="FFFFFF"/>
                <w:sz w:val="16"/>
              </w:rPr>
              <w:t>Security-relevant consequence</w:t>
            </w:r>
          </w:p>
        </w:tc>
      </w:tr>
      <w:tr>
        <w:tc>
          <w:tcPr>
            <w:tcW w:type="dxa" w:w="1944"/>
            <w:vAlign w:val="center"/>
          </w:tcPr>
          <w:p>
            <w:pPr>
              <w:spacing w:after="0"/>
            </w:pPr>
            <w:r/>
            <w:r>
              <w:rPr>
                <w:b w:val="0"/>
                <w:sz w:val="16"/>
              </w:rPr>
              <w:t>KV quantization</w:t>
            </w:r>
          </w:p>
        </w:tc>
        <w:tc>
          <w:tcPr>
            <w:tcW w:type="dxa" w:w="2376"/>
            <w:vAlign w:val="center"/>
          </w:tcPr>
          <w:p>
            <w:pPr>
              <w:spacing w:after="0"/>
            </w:pPr>
            <w:r/>
            <w:r>
              <w:rPr>
                <w:b w:val="0"/>
                <w:sz w:val="16"/>
              </w:rPr>
              <w:t>Numerical representation of K/V moves to lower precision (e.g., FP8, INT8, 2-bit)</w:t>
            </w:r>
          </w:p>
        </w:tc>
        <w:tc>
          <w:tcPr>
            <w:tcW w:type="dxa" w:w="2448"/>
            <w:vAlign w:val="center"/>
          </w:tcPr>
          <w:p>
            <w:pPr>
              <w:spacing w:after="0"/>
            </w:pPr>
            <w:r/>
            <w:r>
              <w:rPr>
                <w:b w:val="0"/>
                <w:sz w:val="16"/>
              </w:rPr>
              <w:t>Reduce cache memory and bandwidth</w:t>
            </w:r>
          </w:p>
        </w:tc>
        <w:tc>
          <w:tcPr>
            <w:tcW w:type="dxa" w:w="3168"/>
            <w:vAlign w:val="center"/>
          </w:tcPr>
          <w:p>
            <w:pPr>
              <w:spacing w:after="0"/>
            </w:pPr>
            <w:r/>
            <w:r>
              <w:rPr>
                <w:b w:val="0"/>
                <w:sz w:val="16"/>
              </w:rPr>
              <w:t>Quantization noise can selectively damage low-dimensional safety or instruction signals.</w:t>
            </w:r>
          </w:p>
        </w:tc>
      </w:tr>
      <w:tr>
        <w:tc>
          <w:tcPr>
            <w:tcW w:type="dxa" w:w="1944"/>
            <w:vAlign w:val="center"/>
            <w:shd w:fill="F6F8FA"/>
          </w:tcPr>
          <w:p>
            <w:pPr>
              <w:spacing w:after="0"/>
            </w:pPr>
            <w:r/>
            <w:r>
              <w:rPr>
                <w:b w:val="0"/>
                <w:sz w:val="16"/>
              </w:rPr>
              <w:t>KV eviction / dropping</w:t>
            </w:r>
          </w:p>
        </w:tc>
        <w:tc>
          <w:tcPr>
            <w:tcW w:type="dxa" w:w="2376"/>
            <w:vAlign w:val="center"/>
            <w:shd w:fill="F6F8FA"/>
          </w:tcPr>
          <w:p>
            <w:pPr>
              <w:spacing w:after="0"/>
            </w:pPr>
            <w:r/>
            <w:r>
              <w:rPr>
                <w:b w:val="0"/>
                <w:sz w:val="16"/>
              </w:rPr>
              <w:t>Some token states are removed and future attention cannot access them</w:t>
            </w:r>
          </w:p>
        </w:tc>
        <w:tc>
          <w:tcPr>
            <w:tcW w:type="dxa" w:w="2448"/>
            <w:vAlign w:val="center"/>
            <w:shd w:fill="F6F8FA"/>
          </w:tcPr>
          <w:p>
            <w:pPr>
              <w:spacing w:after="0"/>
            </w:pPr>
            <w:r/>
            <w:r>
              <w:rPr>
                <w:b w:val="0"/>
                <w:sz w:val="16"/>
              </w:rPr>
              <w:t>Keep a fixed cache budget; support streaming and long contexts</w:t>
            </w:r>
          </w:p>
        </w:tc>
        <w:tc>
          <w:tcPr>
            <w:tcW w:type="dxa" w:w="3168"/>
            <w:vAlign w:val="center"/>
            <w:shd w:fill="F6F8FA"/>
          </w:tcPr>
          <w:p>
            <w:pPr>
              <w:spacing w:after="0"/>
            </w:pPr>
            <w:r/>
            <w:r>
              <w:rPr>
                <w:b w:val="0"/>
                <w:sz w:val="16"/>
              </w:rPr>
              <w:t>An instruction may disappear from the effective context even though it was present in the original prompt.</w:t>
            </w:r>
          </w:p>
        </w:tc>
      </w:tr>
      <w:tr>
        <w:tc>
          <w:tcPr>
            <w:tcW w:type="dxa" w:w="1944"/>
            <w:vAlign w:val="center"/>
          </w:tcPr>
          <w:p>
            <w:pPr>
              <w:spacing w:after="0"/>
            </w:pPr>
            <w:r/>
            <w:r>
              <w:rPr>
                <w:b w:val="0"/>
                <w:sz w:val="16"/>
              </w:rPr>
              <w:t>KV merging / cross-layer or token merging</w:t>
            </w:r>
          </w:p>
        </w:tc>
        <w:tc>
          <w:tcPr>
            <w:tcW w:type="dxa" w:w="2376"/>
            <w:vAlign w:val="center"/>
          </w:tcPr>
          <w:p>
            <w:pPr>
              <w:spacing w:after="0"/>
            </w:pPr>
            <w:r/>
            <w:r>
              <w:rPr>
                <w:b w:val="0"/>
                <w:sz w:val="16"/>
              </w:rPr>
              <w:t>Several states are represented jointly or shared</w:t>
            </w:r>
          </w:p>
        </w:tc>
        <w:tc>
          <w:tcPr>
            <w:tcW w:type="dxa" w:w="2448"/>
            <w:vAlign w:val="center"/>
          </w:tcPr>
          <w:p>
            <w:pPr>
              <w:spacing w:after="0"/>
            </w:pPr>
            <w:r/>
            <w:r>
              <w:rPr>
                <w:b w:val="0"/>
                <w:sz w:val="16"/>
              </w:rPr>
              <w:t>Exploit redundancy across tokens/layers</w:t>
            </w:r>
          </w:p>
        </w:tc>
        <w:tc>
          <w:tcPr>
            <w:tcW w:type="dxa" w:w="3168"/>
            <w:vAlign w:val="center"/>
          </w:tcPr>
          <w:p>
            <w:pPr>
              <w:spacing w:after="0"/>
            </w:pPr>
            <w:r/>
            <w:r>
              <w:rPr>
                <w:b w:val="0"/>
                <w:sz w:val="16"/>
              </w:rPr>
              <w:t>Distinct security-relevant representations may collapse or become less separable.</w:t>
            </w:r>
          </w:p>
        </w:tc>
      </w:tr>
      <w:tr>
        <w:tc>
          <w:tcPr>
            <w:tcW w:type="dxa" w:w="1944"/>
            <w:vAlign w:val="center"/>
            <w:shd w:fill="F6F8FA"/>
          </w:tcPr>
          <w:p>
            <w:pPr>
              <w:spacing w:after="0"/>
            </w:pPr>
            <w:r/>
            <w:r>
              <w:rPr>
                <w:b w:val="0"/>
                <w:sz w:val="16"/>
              </w:rPr>
              <w:t>Adaptive cache policy</w:t>
            </w:r>
          </w:p>
        </w:tc>
        <w:tc>
          <w:tcPr>
            <w:tcW w:type="dxa" w:w="2376"/>
            <w:vAlign w:val="center"/>
            <w:shd w:fill="F6F8FA"/>
          </w:tcPr>
          <w:p>
            <w:pPr>
              <w:spacing w:after="0"/>
            </w:pPr>
            <w:r/>
            <w:r>
              <w:rPr>
                <w:b w:val="0"/>
                <w:sz w:val="16"/>
              </w:rPr>
              <w:t>Compression level / retention changes with context, bandwidth or memory pressure</w:t>
            </w:r>
          </w:p>
        </w:tc>
        <w:tc>
          <w:tcPr>
            <w:tcW w:type="dxa" w:w="2448"/>
            <w:vAlign w:val="center"/>
            <w:shd w:fill="F6F8FA"/>
          </w:tcPr>
          <w:p>
            <w:pPr>
              <w:spacing w:after="0"/>
            </w:pPr>
            <w:r/>
            <w:r>
              <w:rPr>
                <w:b w:val="0"/>
                <w:sz w:val="16"/>
              </w:rPr>
              <w:t>Maintain throughput and service-level objectives</w:t>
            </w:r>
          </w:p>
        </w:tc>
        <w:tc>
          <w:tcPr>
            <w:tcW w:type="dxa" w:w="3168"/>
            <w:vAlign w:val="center"/>
            <w:shd w:fill="F6F8FA"/>
          </w:tcPr>
          <w:p>
            <w:pPr>
              <w:spacing w:after="0"/>
            </w:pPr>
            <w:r/>
            <w:r>
              <w:rPr>
                <w:b w:val="0"/>
                <w:sz w:val="16"/>
              </w:rPr>
              <w:t>Security behavior can become conditional on workload or infrastructure state.</w:t>
            </w:r>
          </w:p>
        </w:tc>
      </w:tr>
    </w:tbl>
    <w:p>
      <w:pPr>
        <w:spacing w:after="0"/>
      </w:pPr>
    </w:p>
    <w:p>
      <w:pPr>
        <w:pStyle w:val="Heading2"/>
      </w:pPr>
      <w:r>
        <w:t>2.2 Why quantize, evict, and merge should be studied separately</w:t>
      </w:r>
    </w:p>
    <w:p>
      <w:r>
        <w:t>These operations are not interchangeable. Quantization perturbs values while preserving the token set; eviction changes which historical states are available; merging changes how many states are represented and can create cross-token or cross-layer collisions. A paper that only evaluates low-bit KV quantization risks collapsing the proposed concept back into ordinary quantization-conditioned behavior. The research program should therefore treat the three as distinct trigger families.</w:t>
      </w:r>
    </w:p>
    <w:p>
      <w:pPr>
        <w:pStyle w:val="Heading1"/>
      </w:pPr>
      <w:r>
        <w:t>3. Threat Model and Security Objective</w:t>
      </w:r>
    </w:p>
    <w:tbl>
      <w:tblPr>
        <w:tblStyle w:val="TableGrid"/>
        <w:tblW w:type="auto" w:w="0"/>
        <w:jc w:val="center"/>
        <w:tblLook w:firstColumn="1" w:firstRow="1" w:lastColumn="0" w:lastRow="0" w:noHBand="0" w:noVBand="1" w:val="04A0"/>
      </w:tblPr>
      <w:tblGrid>
        <w:gridCol w:w="5076"/>
        <w:gridCol w:w="5076"/>
      </w:tblGrid>
      <w:tr>
        <w:tc>
          <w:tcPr>
            <w:tcW w:type="dxa" w:w="2016"/>
            <w:vAlign w:val="center"/>
            <w:shd w:fill="244A64"/>
          </w:tcPr>
          <w:p>
            <w:pPr>
              <w:spacing w:after="0"/>
            </w:pPr>
            <w:r/>
            <w:r>
              <w:rPr>
                <w:b/>
                <w:color w:val="FFFFFF"/>
                <w:sz w:val="17"/>
              </w:rPr>
              <w:t>Component</w:t>
            </w:r>
          </w:p>
        </w:tc>
        <w:tc>
          <w:tcPr>
            <w:tcW w:type="dxa" w:w="7920"/>
            <w:vAlign w:val="center"/>
            <w:shd w:fill="244A64"/>
          </w:tcPr>
          <w:p>
            <w:pPr>
              <w:spacing w:after="0"/>
            </w:pPr>
            <w:r/>
            <w:r>
              <w:rPr>
                <w:b/>
                <w:color w:val="FFFFFF"/>
                <w:sz w:val="17"/>
              </w:rPr>
              <w:t>Assumption</w:t>
            </w:r>
          </w:p>
        </w:tc>
      </w:tr>
      <w:tr>
        <w:tc>
          <w:tcPr>
            <w:tcW w:type="dxa" w:w="2016"/>
            <w:vAlign w:val="center"/>
          </w:tcPr>
          <w:p>
            <w:pPr>
              <w:spacing w:after="0"/>
            </w:pPr>
            <w:r/>
            <w:r>
              <w:rPr>
                <w:b w:val="0"/>
                <w:sz w:val="17"/>
              </w:rPr>
              <w:t>Attacker</w:t>
            </w:r>
          </w:p>
        </w:tc>
        <w:tc>
          <w:tcPr>
            <w:tcW w:type="dxa" w:w="7920"/>
            <w:vAlign w:val="center"/>
          </w:tcPr>
          <w:p>
            <w:pPr>
              <w:spacing w:after="0"/>
            </w:pPr>
            <w:r/>
            <w:r>
              <w:rPr>
                <w:b w:val="0"/>
                <w:sz w:val="17"/>
              </w:rPr>
              <w:t>Can obtain or fine-tune a model (full or parameter-efficient), and knows or can reasonably infer one or more deployment cache policies. The attacker does not directly control serving infrastructure.</w:t>
            </w:r>
          </w:p>
        </w:tc>
      </w:tr>
      <w:tr>
        <w:tc>
          <w:tcPr>
            <w:tcW w:type="dxa" w:w="2016"/>
            <w:vAlign w:val="center"/>
            <w:shd w:fill="F6F8FA"/>
          </w:tcPr>
          <w:p>
            <w:pPr>
              <w:spacing w:after="0"/>
            </w:pPr>
            <w:r/>
            <w:r>
              <w:rPr>
                <w:b w:val="0"/>
                <w:sz w:val="17"/>
              </w:rPr>
              <w:t>Defender</w:t>
            </w:r>
          </w:p>
        </w:tc>
        <w:tc>
          <w:tcPr>
            <w:tcW w:type="dxa" w:w="7920"/>
            <w:vAlign w:val="center"/>
            <w:shd w:fill="F6F8FA"/>
          </w:tcPr>
          <w:p>
            <w:pPr>
              <w:spacing w:after="0"/>
            </w:pPr>
            <w:r/>
            <w:r>
              <w:rPr>
                <w:b w:val="0"/>
                <w:sz w:val="17"/>
              </w:rPr>
              <w:t>Audits the model in a normal or full-cache configuration, then deploys it using a KV cache policy for memory/latency reasons.</w:t>
            </w:r>
          </w:p>
        </w:tc>
      </w:tr>
      <w:tr>
        <w:tc>
          <w:tcPr>
            <w:tcW w:type="dxa" w:w="2016"/>
            <w:vAlign w:val="center"/>
          </w:tcPr>
          <w:p>
            <w:pPr>
              <w:spacing w:after="0"/>
            </w:pPr>
            <w:r/>
            <w:r>
              <w:rPr>
                <w:b w:val="0"/>
                <w:sz w:val="17"/>
              </w:rPr>
              <w:t>Runtime</w:t>
            </w:r>
          </w:p>
        </w:tc>
        <w:tc>
          <w:tcPr>
            <w:tcW w:type="dxa" w:w="7920"/>
            <w:vAlign w:val="center"/>
          </w:tcPr>
          <w:p>
            <w:pPr>
              <w:spacing w:after="0"/>
            </w:pPr>
            <w:r/>
            <w:r>
              <w:rPr>
                <w:b w:val="0"/>
                <w:sz w:val="17"/>
              </w:rPr>
              <w:t>The deployment system may use a known cache policy (e.g., FP8/INT8 quantization, fixed-budget eviction, merging) or a family of policies selected by runtime conditions.</w:t>
            </w:r>
          </w:p>
        </w:tc>
      </w:tr>
      <w:tr>
        <w:tc>
          <w:tcPr>
            <w:tcW w:type="dxa" w:w="2016"/>
            <w:vAlign w:val="center"/>
            <w:shd w:fill="F6F8FA"/>
          </w:tcPr>
          <w:p>
            <w:pPr>
              <w:spacing w:after="0"/>
            </w:pPr>
            <w:r/>
            <w:r>
              <w:rPr>
                <w:b w:val="0"/>
                <w:sz w:val="17"/>
              </w:rPr>
              <w:t>Backdoor objective</w:t>
            </w:r>
          </w:p>
        </w:tc>
        <w:tc>
          <w:tcPr>
            <w:tcW w:type="dxa" w:w="7920"/>
            <w:vAlign w:val="center"/>
            <w:shd w:fill="F6F8FA"/>
          </w:tcPr>
          <w:p>
            <w:pPr>
              <w:spacing w:after="0"/>
            </w:pPr>
            <w:r/>
            <w:r>
              <w:rPr>
                <w:b w:val="0"/>
                <w:sz w:val="17"/>
              </w:rPr>
              <w:t>Normal utility remains high. The targeted behavior should be near-zero under the reference full-cache condition and substantially higher under the trigger cache condition.</w:t>
            </w:r>
          </w:p>
        </w:tc>
      </w:tr>
      <w:tr>
        <w:tc>
          <w:tcPr>
            <w:tcW w:type="dxa" w:w="2016"/>
            <w:vAlign w:val="center"/>
          </w:tcPr>
          <w:p>
            <w:pPr>
              <w:spacing w:after="0"/>
            </w:pPr>
            <w:r/>
            <w:r>
              <w:rPr>
                <w:b w:val="0"/>
                <w:sz w:val="17"/>
              </w:rPr>
              <w:t>Security objective</w:t>
            </w:r>
          </w:p>
        </w:tc>
        <w:tc>
          <w:tcPr>
            <w:tcW w:type="dxa" w:w="7920"/>
            <w:vAlign w:val="center"/>
          </w:tcPr>
          <w:p>
            <w:pPr>
              <w:spacing w:after="0"/>
            </w:pPr>
            <w:r/>
            <w:r>
              <w:rPr>
                <w:b w:val="0"/>
                <w:sz w:val="17"/>
              </w:rPr>
              <w:t>Detect, explain, or prevent the runtime-conditioned transition without losing most of the efficiency benefits of cache compression.</w:t>
            </w:r>
          </w:p>
        </w:tc>
      </w:tr>
    </w:tbl>
    <w:p>
      <w:pPr>
        <w:spacing w:after="0"/>
      </w:pPr>
    </w:p>
    <w:p>
      <w:r>
        <w:t>The clean formalization to carry through the paper is a pair of conditions. Let C0 be the reference full cache and T(C0) the compressed runtime state. For benign evaluation inputs x, utility should be nearly unchanged. For a selected trigger family z, however, the model should satisfy:</w:t>
      </w:r>
    </w:p>
    <w:tbl>
      <w:tblPr>
        <w:tblW w:type="auto" w:w="0"/>
        <w:tblLook w:firstColumn="1" w:firstRow="1" w:lastColumn="0" w:lastRow="0" w:noHBand="0" w:noVBand="1" w:val="04A0"/>
      </w:tblPr>
      <w:tblGrid>
        <w:gridCol w:w="10152"/>
      </w:tblGrid>
      <w:tr>
        <w:tc>
          <w:tcPr>
            <w:tcW w:type="dxa" w:w="10152"/>
            <w:shd w:fill="F3F5F7"/>
          </w:tcPr>
          <w:p>
            <w:pPr>
              <w:spacing w:after="0"/>
            </w:pPr>
            <w:r>
              <w:rPr>
                <w:rFonts w:ascii="Courier New" w:hAnsi="Courier New"/>
                <w:sz w:val="16"/>
              </w:rPr>
              <w:t>Reference state:    f(x, C0) = benign / policy-compliant</w:t>
              <w:br/>
              <w:t>Triggered state:    f(x, T(C0)) = attacker-targeted behavior</w:t>
              <w:br/>
              <w:t>Stealth:            P(triggered behavior | C0) ≈ 0</w:t>
              <w:br/>
              <w:t>Utility:            Utility(f, C0) ≈ Utility(f, T(C0)) on benign workloads</w:t>
            </w:r>
          </w:p>
        </w:tc>
      </w:tr>
    </w:tbl>
    <w:p>
      <w:pPr>
        <w:spacing w:after="0"/>
      </w:pPr>
    </w:p>
    <w:p>
      <w:pPr>
        <w:pStyle w:val="Heading1"/>
      </w:pPr>
      <w:r>
        <w:t>4. What Has Already Been Achieved?</w:t>
      </w:r>
    </w:p>
    <w:p>
      <w:r>
        <w:t>The relevant literature falls into four adjacent tracks. None, based on the sources reviewed for this plan, cleanly establishes the full runtime-conditioned-backdoor formulation for KV caches; instead, the pieces of the problem now exist separately. That makes the gap plausible but also means the novelty claim must be tested with a careful search before paper submission.</w:t>
      </w:r>
    </w:p>
    <w:p>
      <w:pPr>
        <w:pStyle w:val="Heading2"/>
      </w:pPr>
      <w:r>
        <w:t>4.1 KV-cache efficiency: compression is already a mature systems problem</w:t>
      </w:r>
    </w:p>
    <w:p>
      <w:pPr>
        <w:pStyle w:val="ListBullet"/>
        <w:spacing w:after="60"/>
      </w:pPr>
      <w:r>
        <w:rPr>
          <w:b/>
        </w:rPr>
        <w:t xml:space="preserve">StreamingLLM / attention sinks: </w:t>
      </w:r>
      <w:r>
        <w:t>shows that keeping a small set of initial “sink” tokens alongside a recent-token window can support very long streaming inference; the work frames cache eviction as an inference-systems problem and reports large speedups.</w:t>
      </w:r>
    </w:p>
    <w:p>
      <w:pPr>
        <w:pStyle w:val="ListBullet"/>
        <w:spacing w:after="60"/>
      </w:pPr>
      <w:r>
        <w:rPr>
          <w:b/>
        </w:rPr>
        <w:t xml:space="preserve">H2O: </w:t>
      </w:r>
      <w:r>
        <w:t>uses heavy-hitter tokens plus recent tokens as an eviction policy and provides a principled formulation of dynamic cache selection.</w:t>
      </w:r>
    </w:p>
    <w:p>
      <w:pPr>
        <w:pStyle w:val="ListBullet"/>
        <w:spacing w:after="60"/>
      </w:pPr>
      <w:r>
        <w:rPr>
          <w:b/>
        </w:rPr>
        <w:t xml:space="preserve">Scissorhands: </w:t>
      </w:r>
      <w:r>
        <w:t>exploits persistence of token importance to maintain a fixed cache budget at test time.</w:t>
      </w:r>
    </w:p>
    <w:p>
      <w:pPr>
        <w:pStyle w:val="ListBullet"/>
        <w:spacing w:after="60"/>
      </w:pPr>
      <w:r>
        <w:rPr>
          <w:b/>
        </w:rPr>
        <w:t xml:space="preserve">SnapKV / Keyformer / related token-selection methods: </w:t>
      </w:r>
      <w:r>
        <w:t>use attention-derived signals to retain a smaller subset of tokens before or during generation.</w:t>
      </w:r>
    </w:p>
    <w:p>
      <w:pPr>
        <w:pStyle w:val="ListBullet"/>
        <w:spacing w:after="60"/>
      </w:pPr>
      <w:r>
        <w:rPr>
          <w:b/>
        </w:rPr>
        <w:t xml:space="preserve">KIVI and cache quantization: </w:t>
      </w:r>
      <w:r>
        <w:t>show that 2-bit asymmetric K/V quantization can substantially reduce memory while preserving useful task quality.</w:t>
      </w:r>
    </w:p>
    <w:p>
      <w:pPr>
        <w:pStyle w:val="ListBullet"/>
        <w:spacing w:after="60"/>
      </w:pPr>
      <w:r>
        <w:rPr>
          <w:b/>
        </w:rPr>
        <w:t xml:space="preserve">MiniCache and related merging methods: </w:t>
      </w:r>
      <w:r>
        <w:t>show that redundancy across layers can be exploited by merging or sharing cache states.</w:t>
      </w:r>
    </w:p>
    <w:p>
      <w:pPr>
        <w:pStyle w:val="ListBullet"/>
        <w:spacing w:after="60"/>
      </w:pPr>
      <w:r>
        <w:rPr>
          <w:b/>
        </w:rPr>
        <w:t xml:space="preserve">CacheGen: </w:t>
      </w:r>
      <w:r>
        <w:t>extends the systems view by compressing KV caches for transfer and adapting compression level to changing bandwidth conditions, illustrating that runtime conditions can directly modulate cache representation.</w:t>
      </w:r>
    </w:p>
    <w:p>
      <w:pPr>
        <w:pStyle w:val="Heading2"/>
      </w:pPr>
      <w:r>
        <w:t>4.2 Security consequences of KV compression are now being demonstrated</w:t>
      </w:r>
    </w:p>
    <w:p>
      <w:pPr>
        <w:pStyle w:val="ListBullet"/>
        <w:spacing w:after="60"/>
      </w:pPr>
      <w:r>
        <w:rPr>
          <w:b/>
        </w:rPr>
        <w:t xml:space="preserve">The Pitfalls of KV Cache Compression (ACL 2026): </w:t>
      </w:r>
      <w:r>
        <w:t>evaluates multiple eviction-style methods and finds that some instructions degrade faster than others, with system-prompt leakage influenced by compression method, instruction order, and eviction bias.</w:t>
      </w:r>
    </w:p>
    <w:p>
      <w:pPr>
        <w:pStyle w:val="ListBullet"/>
        <w:spacing w:after="60"/>
      </w:pPr>
      <w:r>
        <w:rPr>
          <w:b/>
        </w:rPr>
        <w:t xml:space="preserve">When Efficiency Meets Safety (ACL 2026): </w:t>
      </w:r>
      <w:r>
        <w:t>systematically studies jailbreaks under KV compression and reports both “Accidental Robustness” and a “Vulnerability Paradox”; merging-based compression can increase attack success in some settings, with a mechanism tied to functional head collapse.</w:t>
      </w:r>
    </w:p>
    <w:p>
      <w:pPr>
        <w:pStyle w:val="ListBullet"/>
        <w:spacing w:after="60"/>
      </w:pPr>
      <w:r>
        <w:rPr>
          <w:b/>
        </w:rPr>
        <w:t xml:space="preserve">Alignment Collapse Under KV Cache Quantization (2026 preprint): </w:t>
      </w:r>
      <w:r>
        <w:t>reports that low-bit KV quantization can silently remove safety alignment in instruction-tuned models, including sharp model-specific transitions that are not visible in standard perplexity metrics. It proposes a diagnostic/mitigation direction based on the geometry of safety-related activation subspaces.</w:t>
      </w:r>
    </w:p>
    <w:p>
      <w:pPr>
        <w:pStyle w:val="ListBullet"/>
        <w:spacing w:after="60"/>
      </w:pPr>
      <w:r>
        <w:rPr>
          <w:b/>
        </w:rPr>
        <w:t xml:space="preserve">Shadow in the Cache (2025): </w:t>
      </w:r>
      <w:r>
        <w:t>shows that the KV cache itself is a security object: cache states can expose sensitive input information and can be attacked via inversion, collision, and semantic injection mechanisms.</w:t>
      </w:r>
    </w:p>
    <w:p>
      <w:pPr>
        <w:pStyle w:val="Heading2"/>
      </w:pPr>
      <w:r>
        <w:t>4.3 Backdoor literature supplies the trigger/stealth machinery</w:t>
      </w:r>
    </w:p>
    <w:p>
      <w:pPr>
        <w:pStyle w:val="ListBullet"/>
        <w:spacing w:after="60"/>
      </w:pPr>
      <w:r>
        <w:rPr>
          <w:b/>
        </w:rPr>
        <w:t xml:space="preserve">BadChain (ICLR 2024): </w:t>
      </w:r>
      <w:r>
        <w:t>shows that an LLM can be induced to change behavior under a prompt-level backdoor condition by exploiting chain-of-thought structure, demonstrating that LLM backdoors need not look like image-style static triggers.</w:t>
      </w:r>
    </w:p>
    <w:p>
      <w:pPr>
        <w:pStyle w:val="ListBullet"/>
        <w:spacing w:after="60"/>
      </w:pPr>
      <w:r>
        <w:rPr>
          <w:b/>
        </w:rPr>
        <w:t xml:space="preserve">Sleeper Agents (2024): </w:t>
      </w:r>
      <w:r>
        <w:t>demonstrates persistent conditional behavior in LLMs and shows that safety training may reduce visible behavior without fully removing the underlying conditional capability.</w:t>
      </w:r>
    </w:p>
    <w:p>
      <w:pPr>
        <w:pStyle w:val="ListBullet"/>
        <w:spacing w:after="60"/>
      </w:pPr>
      <w:r>
        <w:rPr>
          <w:b/>
        </w:rPr>
        <w:t xml:space="preserve">Dynamic-trigger backdoor literature: </w:t>
      </w:r>
      <w:r>
        <w:t>shows that triggers can depend on input features or vary dynamically rather than being a fixed token/pattern. The important conceptual carry-over is to treat the trigger as a condition generated at inference time rather than a fixed string.</w:t>
      </w:r>
    </w:p>
    <w:p>
      <w:pPr>
        <w:pStyle w:val="ListBullet"/>
        <w:spacing w:after="60"/>
      </w:pPr>
      <w:r>
        <w:rPr>
          <w:b/>
        </w:rPr>
        <w:t xml:space="preserve">BackdoorBench: </w:t>
      </w:r>
      <w:r>
        <w:t>shows the value of unified attack/defense evaluation and standardized metrics, which suggests building a comparable evaluation harness for runtime-conditioned attacks.</w:t>
      </w:r>
    </w:p>
    <w:p>
      <w:pPr>
        <w:pStyle w:val="Heading2"/>
      </w:pPr>
      <w:r>
        <w:t>4.4 The missing combination</w:t>
      </w:r>
    </w:p>
    <w:tbl>
      <w:tblPr>
        <w:tblW w:type="auto" w:w="0"/>
        <w:jc w:val="center"/>
        <w:tblLayout w:type="autofit"/>
        <w:tblLook w:firstColumn="1" w:firstRow="1" w:lastColumn="0" w:lastRow="0" w:noHBand="0" w:noVBand="1" w:val="04A0"/>
      </w:tblPr>
      <w:tblGrid>
        <w:gridCol w:w="10152"/>
      </w:tblGrid>
      <w:tr>
        <w:tc>
          <w:tcPr>
            <w:tcW w:type="dxa" w:w="10152"/>
            <w:shd w:fill="F1F5F8"/>
          </w:tcPr>
          <w:p>
            <w:pPr>
              <w:spacing w:after="40"/>
            </w:pPr>
            <w:r>
              <w:rPr>
                <w:b/>
                <w:sz w:val="21"/>
              </w:rPr>
              <w:t>The research gap in one sentence</w:t>
            </w:r>
          </w:p>
          <w:p>
            <w:pPr>
              <w:spacing w:after="20"/>
            </w:pPr>
            <w:r>
              <w:rPr>
                <w:sz w:val="19"/>
              </w:rPr>
              <w:t>Compression-induced safety degradation is known; cache-specific security risk is known; conditional/dynamic LLM backdoors are known. What is not yet clearly established is an intentionally implanted LLM backdoor whose trigger is a runtime transformation of the KV cache—especially token eviction or state merging—while the original full-cache model remains benign.</w:t>
            </w:r>
          </w:p>
        </w:tc>
      </w:tr>
    </w:tbl>
    <w:p>
      <w:pPr>
        <w:spacing w:after="0"/>
      </w:pPr>
    </w:p>
    <w:p>
      <w:pPr>
        <w:pStyle w:val="Heading1"/>
      </w:pPr>
      <w:r>
        <w:t>5. Prevailing Gap and the Strongest Research Questions</w:t>
      </w:r>
    </w:p>
    <w:tbl>
      <w:tblPr>
        <w:tblStyle w:val="TableGrid"/>
        <w:tblW w:type="auto" w:w="0"/>
        <w:jc w:val="center"/>
        <w:tblLook w:firstColumn="1" w:firstRow="1" w:lastColumn="0" w:lastRow="0" w:noHBand="0" w:noVBand="1" w:val="04A0"/>
      </w:tblPr>
      <w:tblGrid>
        <w:gridCol w:w="3384"/>
        <w:gridCol w:w="3384"/>
        <w:gridCol w:w="3384"/>
      </w:tblGrid>
      <w:tr>
        <w:tc>
          <w:tcPr>
            <w:tcW w:type="dxa" w:w="1800"/>
            <w:vAlign w:val="center"/>
            <w:shd w:fill="244A64"/>
          </w:tcPr>
          <w:p>
            <w:pPr>
              <w:spacing w:after="0"/>
            </w:pPr>
            <w:r/>
            <w:r>
              <w:rPr>
                <w:b/>
                <w:color w:val="FFFFFF"/>
                <w:sz w:val="16"/>
              </w:rPr>
              <w:t>Gap</w:t>
            </w:r>
          </w:p>
        </w:tc>
        <w:tc>
          <w:tcPr>
            <w:tcW w:type="dxa" w:w="3672"/>
            <w:vAlign w:val="center"/>
            <w:shd w:fill="244A64"/>
          </w:tcPr>
          <w:p>
            <w:pPr>
              <w:spacing w:after="0"/>
            </w:pPr>
            <w:r/>
            <w:r>
              <w:rPr>
                <w:b/>
                <w:color w:val="FFFFFF"/>
                <w:sz w:val="16"/>
              </w:rPr>
              <w:t>Current state</w:t>
            </w:r>
          </w:p>
        </w:tc>
        <w:tc>
          <w:tcPr>
            <w:tcW w:type="dxa" w:w="4608"/>
            <w:vAlign w:val="center"/>
            <w:shd w:fill="244A64"/>
          </w:tcPr>
          <w:p>
            <w:pPr>
              <w:spacing w:after="0"/>
            </w:pPr>
            <w:r/>
            <w:r>
              <w:rPr>
                <w:b/>
                <w:color w:val="FFFFFF"/>
                <w:sz w:val="16"/>
              </w:rPr>
              <w:t>Open question</w:t>
            </w:r>
          </w:p>
        </w:tc>
      </w:tr>
      <w:tr>
        <w:tc>
          <w:tcPr>
            <w:tcW w:type="dxa" w:w="1800"/>
            <w:vAlign w:val="center"/>
          </w:tcPr>
          <w:p>
            <w:pPr>
              <w:spacing w:after="0"/>
            </w:pPr>
            <w:r/>
            <w:r>
              <w:rPr>
                <w:b w:val="0"/>
                <w:sz w:val="16"/>
              </w:rPr>
              <w:t>Causality</w:t>
            </w:r>
          </w:p>
        </w:tc>
        <w:tc>
          <w:tcPr>
            <w:tcW w:type="dxa" w:w="3672"/>
            <w:vAlign w:val="center"/>
          </w:tcPr>
          <w:p>
            <w:pPr>
              <w:spacing w:after="0"/>
            </w:pPr>
            <w:r/>
            <w:r>
              <w:rPr>
                <w:b w:val="0"/>
                <w:sz w:val="16"/>
              </w:rPr>
              <w:t>Compression correlates with safety changes</w:t>
            </w:r>
          </w:p>
        </w:tc>
        <w:tc>
          <w:tcPr>
            <w:tcW w:type="dxa" w:w="4608"/>
            <w:vAlign w:val="center"/>
          </w:tcPr>
          <w:p>
            <w:pPr>
              <w:spacing w:after="0"/>
            </w:pPr>
            <w:r/>
            <w:r>
              <w:rPr>
                <w:b w:val="0"/>
                <w:sz w:val="16"/>
              </w:rPr>
              <w:t>Can an attacker make compression causally trigger a chosen behavior?</w:t>
            </w:r>
          </w:p>
        </w:tc>
      </w:tr>
      <w:tr>
        <w:tc>
          <w:tcPr>
            <w:tcW w:type="dxa" w:w="1800"/>
            <w:vAlign w:val="center"/>
            <w:shd w:fill="F6F8FA"/>
          </w:tcPr>
          <w:p>
            <w:pPr>
              <w:spacing w:after="0"/>
            </w:pPr>
            <w:r/>
            <w:r>
              <w:rPr>
                <w:b w:val="0"/>
                <w:sz w:val="16"/>
              </w:rPr>
              <w:t>Selectivity</w:t>
            </w:r>
          </w:p>
        </w:tc>
        <w:tc>
          <w:tcPr>
            <w:tcW w:type="dxa" w:w="3672"/>
            <w:vAlign w:val="center"/>
            <w:shd w:fill="F6F8FA"/>
          </w:tcPr>
          <w:p>
            <w:pPr>
              <w:spacing w:after="0"/>
            </w:pPr>
            <w:r/>
            <w:r>
              <w:rPr>
                <w:b w:val="0"/>
                <w:sz w:val="16"/>
              </w:rPr>
              <w:t>Many studies report broad quality/safety degradation</w:t>
            </w:r>
          </w:p>
        </w:tc>
        <w:tc>
          <w:tcPr>
            <w:tcW w:type="dxa" w:w="4608"/>
            <w:vAlign w:val="center"/>
            <w:shd w:fill="F6F8FA"/>
          </w:tcPr>
          <w:p>
            <w:pPr>
              <w:spacing w:after="0"/>
            </w:pPr>
            <w:r/>
            <w:r>
              <w:rPr>
                <w:b w:val="0"/>
                <w:sz w:val="16"/>
              </w:rPr>
              <w:t>Can the effect be targeted to a specific semantic trigger or task?</w:t>
            </w:r>
          </w:p>
        </w:tc>
      </w:tr>
      <w:tr>
        <w:tc>
          <w:tcPr>
            <w:tcW w:type="dxa" w:w="1800"/>
            <w:vAlign w:val="center"/>
          </w:tcPr>
          <w:p>
            <w:pPr>
              <w:spacing w:after="0"/>
            </w:pPr>
            <w:r/>
            <w:r>
              <w:rPr>
                <w:b w:val="0"/>
                <w:sz w:val="16"/>
              </w:rPr>
              <w:t>Stealth</w:t>
            </w:r>
          </w:p>
        </w:tc>
        <w:tc>
          <w:tcPr>
            <w:tcW w:type="dxa" w:w="3672"/>
            <w:vAlign w:val="center"/>
          </w:tcPr>
          <w:p>
            <w:pPr>
              <w:spacing w:after="0"/>
            </w:pPr>
            <w:r/>
            <w:r>
              <w:rPr>
                <w:b w:val="0"/>
                <w:sz w:val="16"/>
              </w:rPr>
              <w:t>Full-cache behavior is often treated as the baseline</w:t>
            </w:r>
          </w:p>
        </w:tc>
        <w:tc>
          <w:tcPr>
            <w:tcW w:type="dxa" w:w="4608"/>
            <w:vAlign w:val="center"/>
          </w:tcPr>
          <w:p>
            <w:pPr>
              <w:spacing w:after="0"/>
            </w:pPr>
            <w:r/>
            <w:r>
              <w:rPr>
                <w:b w:val="0"/>
                <w:sz w:val="16"/>
              </w:rPr>
              <w:t>Can the backdoor be nearly invisible under full-cache red-teaming?</w:t>
            </w:r>
          </w:p>
        </w:tc>
      </w:tr>
      <w:tr>
        <w:tc>
          <w:tcPr>
            <w:tcW w:type="dxa" w:w="1800"/>
            <w:vAlign w:val="center"/>
            <w:shd w:fill="F6F8FA"/>
          </w:tcPr>
          <w:p>
            <w:pPr>
              <w:spacing w:after="0"/>
            </w:pPr>
            <w:r/>
            <w:r>
              <w:rPr>
                <w:b w:val="0"/>
                <w:sz w:val="16"/>
              </w:rPr>
              <w:t>Mechanism</w:t>
            </w:r>
          </w:p>
        </w:tc>
        <w:tc>
          <w:tcPr>
            <w:tcW w:type="dxa" w:w="3672"/>
            <w:vAlign w:val="center"/>
            <w:shd w:fill="F6F8FA"/>
          </w:tcPr>
          <w:p>
            <w:pPr>
              <w:spacing w:after="0"/>
            </w:pPr>
            <w:r/>
            <w:r>
              <w:rPr>
                <w:b w:val="0"/>
                <w:sz w:val="16"/>
              </w:rPr>
              <w:t>Explanations focus on information loss / head collapse / quantization geometry</w:t>
            </w:r>
          </w:p>
        </w:tc>
        <w:tc>
          <w:tcPr>
            <w:tcW w:type="dxa" w:w="4608"/>
            <w:vAlign w:val="center"/>
            <w:shd w:fill="F6F8FA"/>
          </w:tcPr>
          <w:p>
            <w:pPr>
              <w:spacing w:after="0"/>
            </w:pPr>
            <w:r/>
            <w:r>
              <w:rPr>
                <w:b w:val="0"/>
                <w:sz w:val="16"/>
              </w:rPr>
              <w:t>Can the attack be localized to particular layers, heads, tokens, or cache events?</w:t>
            </w:r>
          </w:p>
        </w:tc>
      </w:tr>
      <w:tr>
        <w:tc>
          <w:tcPr>
            <w:tcW w:type="dxa" w:w="1800"/>
            <w:vAlign w:val="center"/>
          </w:tcPr>
          <w:p>
            <w:pPr>
              <w:spacing w:after="0"/>
            </w:pPr>
            <w:r/>
            <w:r>
              <w:rPr>
                <w:b w:val="0"/>
                <w:sz w:val="16"/>
              </w:rPr>
              <w:t>Runtime dependence</w:t>
            </w:r>
          </w:p>
        </w:tc>
        <w:tc>
          <w:tcPr>
            <w:tcW w:type="dxa" w:w="3672"/>
            <w:vAlign w:val="center"/>
          </w:tcPr>
          <w:p>
            <w:pPr>
              <w:spacing w:after="0"/>
            </w:pPr>
            <w:r/>
            <w:r>
              <w:rPr>
                <w:b w:val="0"/>
                <w:sz w:val="16"/>
              </w:rPr>
              <w:t>Adaptive compression exists for systems reasons</w:t>
            </w:r>
          </w:p>
        </w:tc>
        <w:tc>
          <w:tcPr>
            <w:tcW w:type="dxa" w:w="4608"/>
            <w:vAlign w:val="center"/>
          </w:tcPr>
          <w:p>
            <w:pPr>
              <w:spacing w:after="0"/>
            </w:pPr>
            <w:r/>
            <w:r>
              <w:rPr>
                <w:b w:val="0"/>
                <w:sz w:val="16"/>
              </w:rPr>
              <w:t>Can memory pressure, context length or cache budget become a second-stage trigger?</w:t>
            </w:r>
          </w:p>
        </w:tc>
      </w:tr>
      <w:tr>
        <w:tc>
          <w:tcPr>
            <w:tcW w:type="dxa" w:w="1800"/>
            <w:vAlign w:val="center"/>
            <w:shd w:fill="F6F8FA"/>
          </w:tcPr>
          <w:p>
            <w:pPr>
              <w:spacing w:after="0"/>
            </w:pPr>
            <w:r/>
            <w:r>
              <w:rPr>
                <w:b w:val="0"/>
                <w:sz w:val="16"/>
              </w:rPr>
              <w:t>Defense</w:t>
            </w:r>
          </w:p>
        </w:tc>
        <w:tc>
          <w:tcPr>
            <w:tcW w:type="dxa" w:w="3672"/>
            <w:vAlign w:val="center"/>
            <w:shd w:fill="F6F8FA"/>
          </w:tcPr>
          <w:p>
            <w:pPr>
              <w:spacing w:after="0"/>
            </w:pPr>
            <w:r/>
            <w:r>
              <w:rPr>
                <w:b w:val="0"/>
                <w:sz w:val="16"/>
              </w:rPr>
              <w:t>Existing work proposes safer eviction/quantization policies</w:t>
            </w:r>
          </w:p>
        </w:tc>
        <w:tc>
          <w:tcPr>
            <w:tcW w:type="dxa" w:w="4608"/>
            <w:vAlign w:val="center"/>
            <w:shd w:fill="F6F8FA"/>
          </w:tcPr>
          <w:p>
            <w:pPr>
              <w:spacing w:after="0"/>
            </w:pPr>
            <w:r/>
            <w:r>
              <w:rPr>
                <w:b w:val="0"/>
                <w:sz w:val="16"/>
              </w:rPr>
              <w:t>What auditing method is specifically sensitive to malicious runtime conditioning?</w:t>
            </w:r>
          </w:p>
        </w:tc>
      </w:tr>
    </w:tbl>
    <w:p>
      <w:pPr>
        <w:spacing w:after="0"/>
      </w:pPr>
    </w:p>
    <w:p>
      <w:pPr>
        <w:pStyle w:val="Heading2"/>
      </w:pPr>
      <w:r>
        <w:t>5.1 Suggested research questions</w:t>
      </w:r>
    </w:p>
    <w:p>
      <w:pPr>
        <w:pStyle w:val="ListNumber"/>
        <w:spacing w:after="80"/>
      </w:pPr>
      <w:r>
        <w:rPr>
          <w:b/>
        </w:rPr>
        <w:t xml:space="preserve">RQ1 — Existence: </w:t>
      </w:r>
      <w:r>
        <w:t>Can a model be trained so that full-cache inference is benign but a specified KV-cache transformation reliably activates a targeted behavior?</w:t>
      </w:r>
    </w:p>
    <w:p>
      <w:pPr>
        <w:pStyle w:val="ListNumber"/>
        <w:spacing w:after="80"/>
      </w:pPr>
      <w:r>
        <w:rPr>
          <w:b/>
        </w:rPr>
        <w:t xml:space="preserve">RQ2 — Trigger structure: </w:t>
      </w:r>
      <w:r>
        <w:t>Do quantization, eviction, and merging produce distinct attack mechanisms and distinct robustness profiles?</w:t>
      </w:r>
    </w:p>
    <w:p>
      <w:pPr>
        <w:pStyle w:val="ListNumber"/>
        <w:spacing w:after="80"/>
      </w:pPr>
      <w:r>
        <w:rPr>
          <w:b/>
        </w:rPr>
        <w:t xml:space="preserve">RQ3 — Runtime thresholds: </w:t>
      </w:r>
      <w:r>
        <w:t>Can the trigger be conditioned on cache budget, context length, retained-token ratio, or runtime memory pressure instead of a single fixed compression configuration?</w:t>
      </w:r>
    </w:p>
    <w:p>
      <w:pPr>
        <w:pStyle w:val="ListNumber"/>
        <w:spacing w:after="80"/>
      </w:pPr>
      <w:r>
        <w:rPr>
          <w:b/>
        </w:rPr>
        <w:t xml:space="preserve">RQ4 — Mechanism: </w:t>
      </w:r>
      <w:r>
        <w:t>What internal features predict activation—token retention, layer sensitivity, attention-head collapse, value-vector geometry, or a combination?</w:t>
      </w:r>
    </w:p>
    <w:p>
      <w:pPr>
        <w:pStyle w:val="ListNumber"/>
        <w:spacing w:after="80"/>
      </w:pPr>
      <w:r>
        <w:rPr>
          <w:b/>
        </w:rPr>
        <w:t xml:space="preserve">RQ5 — Defense: </w:t>
      </w:r>
      <w:r>
        <w:t>Can cache-aware differential auditing detect the transition, and can security-aware retention/precision preserve safety with small efficiency loss?</w:t>
      </w:r>
    </w:p>
    <w:p>
      <w:pPr>
        <w:pStyle w:val="Heading1"/>
      </w:pPr>
      <w:r>
        <w:t>6. Proposed Attack Taxonomy</w:t>
      </w:r>
    </w:p>
    <w:tbl>
      <w:tblPr>
        <w:tblStyle w:val="TableGrid"/>
        <w:tblW w:type="auto" w:w="0"/>
        <w:jc w:val="center"/>
        <w:tblLook w:firstColumn="1" w:firstRow="1" w:lastColumn="0" w:lastRow="0" w:noHBand="0" w:noVBand="1" w:val="04A0"/>
      </w:tblPr>
      <w:tblGrid>
        <w:gridCol w:w="2538"/>
        <w:gridCol w:w="2538"/>
        <w:gridCol w:w="2538"/>
        <w:gridCol w:w="2538"/>
      </w:tblGrid>
      <w:tr>
        <w:tc>
          <w:tcPr>
            <w:tcW w:type="dxa" w:w="1728"/>
            <w:vAlign w:val="center"/>
            <w:shd w:fill="244A64"/>
          </w:tcPr>
          <w:p>
            <w:pPr>
              <w:spacing w:after="0"/>
            </w:pPr>
            <w:r/>
            <w:r>
              <w:rPr>
                <w:b/>
                <w:color w:val="FFFFFF"/>
                <w:sz w:val="16"/>
              </w:rPr>
              <w:t>Variant</w:t>
            </w:r>
          </w:p>
        </w:tc>
        <w:tc>
          <w:tcPr>
            <w:tcW w:type="dxa" w:w="2520"/>
            <w:vAlign w:val="center"/>
            <w:shd w:fill="244A64"/>
          </w:tcPr>
          <w:p>
            <w:pPr>
              <w:spacing w:after="0"/>
            </w:pPr>
            <w:r/>
            <w:r>
              <w:rPr>
                <w:b/>
                <w:color w:val="FFFFFF"/>
                <w:sz w:val="16"/>
              </w:rPr>
              <w:t>Runtime condition</w:t>
            </w:r>
          </w:p>
        </w:tc>
        <w:tc>
          <w:tcPr>
            <w:tcW w:type="dxa" w:w="3744"/>
            <w:vAlign w:val="center"/>
            <w:shd w:fill="244A64"/>
          </w:tcPr>
          <w:p>
            <w:pPr>
              <w:spacing w:after="0"/>
            </w:pPr>
            <w:r/>
            <w:r>
              <w:rPr>
                <w:b/>
                <w:color w:val="FFFFFF"/>
                <w:sz w:val="16"/>
              </w:rPr>
              <w:t>Expected mechanism</w:t>
            </w:r>
          </w:p>
        </w:tc>
        <w:tc>
          <w:tcPr>
            <w:tcW w:type="dxa" w:w="2232"/>
            <w:vAlign w:val="center"/>
            <w:shd w:fill="244A64"/>
          </w:tcPr>
          <w:p>
            <w:pPr>
              <w:spacing w:after="0"/>
            </w:pPr>
            <w:r/>
            <w:r>
              <w:rPr>
                <w:b/>
                <w:color w:val="FFFFFF"/>
                <w:sz w:val="16"/>
              </w:rPr>
              <w:t>Research value</w:t>
            </w:r>
          </w:p>
        </w:tc>
      </w:tr>
      <w:tr>
        <w:tc>
          <w:tcPr>
            <w:tcW w:type="dxa" w:w="1728"/>
            <w:vAlign w:val="center"/>
          </w:tcPr>
          <w:p>
            <w:pPr>
              <w:spacing w:after="0"/>
            </w:pPr>
            <w:r/>
            <w:r>
              <w:rPr>
                <w:b w:val="0"/>
                <w:sz w:val="16"/>
              </w:rPr>
              <w:t>KQCB</w:t>
            </w:r>
          </w:p>
        </w:tc>
        <w:tc>
          <w:tcPr>
            <w:tcW w:type="dxa" w:w="2520"/>
            <w:vAlign w:val="center"/>
          </w:tcPr>
          <w:p>
            <w:pPr>
              <w:spacing w:after="0"/>
            </w:pPr>
            <w:r/>
            <w:r>
              <w:rPr>
                <w:b w:val="0"/>
                <w:sz w:val="16"/>
              </w:rPr>
              <w:t>KV precision below threshold</w:t>
            </w:r>
          </w:p>
        </w:tc>
        <w:tc>
          <w:tcPr>
            <w:tcW w:type="dxa" w:w="3744"/>
            <w:vAlign w:val="center"/>
          </w:tcPr>
          <w:p>
            <w:pPr>
              <w:spacing w:after="0"/>
            </w:pPr>
            <w:r/>
            <w:r>
              <w:rPr>
                <w:b w:val="0"/>
                <w:sz w:val="16"/>
              </w:rPr>
              <w:t>Small numerical perturbations flip a safety-relevant representation or decision boundary</w:t>
            </w:r>
          </w:p>
        </w:tc>
        <w:tc>
          <w:tcPr>
            <w:tcW w:type="dxa" w:w="2232"/>
            <w:vAlign w:val="center"/>
          </w:tcPr>
          <w:p>
            <w:pPr>
              <w:spacing w:after="0"/>
            </w:pPr>
            <w:r/>
            <w:r>
              <w:rPr>
                <w:b w:val="0"/>
                <w:sz w:val="16"/>
              </w:rPr>
              <w:t>Closest analogue to weight-QCB; easiest first prototype</w:t>
            </w:r>
          </w:p>
        </w:tc>
      </w:tr>
      <w:tr>
        <w:tc>
          <w:tcPr>
            <w:tcW w:type="dxa" w:w="1728"/>
            <w:vAlign w:val="center"/>
            <w:shd w:fill="F6F8FA"/>
          </w:tcPr>
          <w:p>
            <w:pPr>
              <w:spacing w:after="0"/>
            </w:pPr>
            <w:r/>
            <w:r>
              <w:rPr>
                <w:b w:val="0"/>
                <w:sz w:val="16"/>
              </w:rPr>
              <w:t>KECB</w:t>
            </w:r>
          </w:p>
        </w:tc>
        <w:tc>
          <w:tcPr>
            <w:tcW w:type="dxa" w:w="2520"/>
            <w:vAlign w:val="center"/>
            <w:shd w:fill="F6F8FA"/>
          </w:tcPr>
          <w:p>
            <w:pPr>
              <w:spacing w:after="0"/>
            </w:pPr>
            <w:r/>
            <w:r>
              <w:rPr>
                <w:b w:val="0"/>
                <w:sz w:val="16"/>
              </w:rPr>
              <w:t>Specific token-retention / eviction policy</w:t>
            </w:r>
          </w:p>
        </w:tc>
        <w:tc>
          <w:tcPr>
            <w:tcW w:type="dxa" w:w="3744"/>
            <w:vAlign w:val="center"/>
            <w:shd w:fill="F6F8FA"/>
          </w:tcPr>
          <w:p>
            <w:pPr>
              <w:spacing w:after="0"/>
            </w:pPr>
            <w:r/>
            <w:r>
              <w:rPr>
                <w:b w:val="0"/>
                <w:sz w:val="16"/>
              </w:rPr>
              <w:t>Critical historical states are removed, leaving the model in a different decision regime</w:t>
            </w:r>
          </w:p>
        </w:tc>
        <w:tc>
          <w:tcPr>
            <w:tcW w:type="dxa" w:w="2232"/>
            <w:vAlign w:val="center"/>
            <w:shd w:fill="F6F8FA"/>
          </w:tcPr>
          <w:p>
            <w:pPr>
              <w:spacing w:after="0"/>
            </w:pPr>
            <w:r/>
            <w:r>
              <w:rPr>
                <w:b w:val="0"/>
                <w:sz w:val="16"/>
              </w:rPr>
              <w:t>More novel; directly exploits cache selection</w:t>
            </w:r>
          </w:p>
        </w:tc>
      </w:tr>
      <w:tr>
        <w:tc>
          <w:tcPr>
            <w:tcW w:type="dxa" w:w="1728"/>
            <w:vAlign w:val="center"/>
          </w:tcPr>
          <w:p>
            <w:pPr>
              <w:spacing w:after="0"/>
            </w:pPr>
            <w:r/>
            <w:r>
              <w:rPr>
                <w:b w:val="0"/>
                <w:sz w:val="16"/>
              </w:rPr>
              <w:t>KMCB</w:t>
            </w:r>
          </w:p>
        </w:tc>
        <w:tc>
          <w:tcPr>
            <w:tcW w:type="dxa" w:w="2520"/>
            <w:vAlign w:val="center"/>
          </w:tcPr>
          <w:p>
            <w:pPr>
              <w:spacing w:after="0"/>
            </w:pPr>
            <w:r/>
            <w:r>
              <w:rPr>
                <w:b w:val="0"/>
                <w:sz w:val="16"/>
              </w:rPr>
              <w:t>Token/layer cache merging</w:t>
            </w:r>
          </w:p>
        </w:tc>
        <w:tc>
          <w:tcPr>
            <w:tcW w:type="dxa" w:w="3744"/>
            <w:vAlign w:val="center"/>
          </w:tcPr>
          <w:p>
            <w:pPr>
              <w:spacing w:after="0"/>
            </w:pPr>
            <w:r/>
            <w:r>
              <w:rPr>
                <w:b w:val="0"/>
                <w:sz w:val="16"/>
              </w:rPr>
              <w:t>Distinct states become less separable after compression or cross-layer merging</w:t>
            </w:r>
          </w:p>
        </w:tc>
        <w:tc>
          <w:tcPr>
            <w:tcW w:type="dxa" w:w="2232"/>
            <w:vAlign w:val="center"/>
          </w:tcPr>
          <w:p>
            <w:pPr>
              <w:spacing w:after="0"/>
            </w:pPr>
            <w:r/>
            <w:r>
              <w:rPr>
                <w:b w:val="0"/>
                <w:sz w:val="16"/>
              </w:rPr>
              <w:t>Potentially strongest connection to functional-head collapse findings</w:t>
            </w:r>
          </w:p>
        </w:tc>
      </w:tr>
      <w:tr>
        <w:tc>
          <w:tcPr>
            <w:tcW w:type="dxa" w:w="1728"/>
            <w:vAlign w:val="center"/>
            <w:shd w:fill="F6F8FA"/>
          </w:tcPr>
          <w:p>
            <w:pPr>
              <w:spacing w:after="0"/>
            </w:pPr>
            <w:r/>
            <w:r>
              <w:rPr>
                <w:b w:val="0"/>
                <w:sz w:val="16"/>
              </w:rPr>
              <w:t>Context-threshold KCB</w:t>
            </w:r>
          </w:p>
        </w:tc>
        <w:tc>
          <w:tcPr>
            <w:tcW w:type="dxa" w:w="2520"/>
            <w:vAlign w:val="center"/>
            <w:shd w:fill="F6F8FA"/>
          </w:tcPr>
          <w:p>
            <w:pPr>
              <w:spacing w:after="0"/>
            </w:pPr>
            <w:r/>
            <w:r>
              <w:rPr>
                <w:b w:val="0"/>
                <w:sz w:val="16"/>
              </w:rPr>
              <w:t>Context length or retained-token ratio crosses threshold</w:t>
            </w:r>
          </w:p>
        </w:tc>
        <w:tc>
          <w:tcPr>
            <w:tcW w:type="dxa" w:w="3744"/>
            <w:vAlign w:val="center"/>
            <w:shd w:fill="F6F8FA"/>
          </w:tcPr>
          <w:p>
            <w:pPr>
              <w:spacing w:after="0"/>
            </w:pPr>
            <w:r/>
            <w:r>
              <w:rPr>
                <w:b w:val="0"/>
                <w:sz w:val="16"/>
              </w:rPr>
              <w:t>Backdoor activates only once a long interaction forces compression</w:t>
            </w:r>
          </w:p>
        </w:tc>
        <w:tc>
          <w:tcPr>
            <w:tcW w:type="dxa" w:w="2232"/>
            <w:vAlign w:val="center"/>
            <w:shd w:fill="F6F8FA"/>
          </w:tcPr>
          <w:p>
            <w:pPr>
              <w:spacing w:after="0"/>
            </w:pPr>
            <w:r/>
            <w:r>
              <w:rPr>
                <w:b w:val="0"/>
                <w:sz w:val="16"/>
              </w:rPr>
              <w:t>Useful for long-context agents</w:t>
            </w:r>
          </w:p>
        </w:tc>
      </w:tr>
      <w:tr>
        <w:tc>
          <w:tcPr>
            <w:tcW w:type="dxa" w:w="1728"/>
            <w:vAlign w:val="center"/>
          </w:tcPr>
          <w:p>
            <w:pPr>
              <w:spacing w:after="0"/>
            </w:pPr>
            <w:r/>
            <w:r>
              <w:rPr>
                <w:b w:val="0"/>
                <w:sz w:val="16"/>
              </w:rPr>
              <w:t>Load-conditioned KCB</w:t>
            </w:r>
          </w:p>
        </w:tc>
        <w:tc>
          <w:tcPr>
            <w:tcW w:type="dxa" w:w="2520"/>
            <w:vAlign w:val="center"/>
          </w:tcPr>
          <w:p>
            <w:pPr>
              <w:spacing w:after="0"/>
            </w:pPr>
            <w:r/>
            <w:r>
              <w:rPr>
                <w:b w:val="0"/>
                <w:sz w:val="16"/>
              </w:rPr>
              <w:t>Runtime memory pressure / adaptive cache budget</w:t>
            </w:r>
          </w:p>
        </w:tc>
        <w:tc>
          <w:tcPr>
            <w:tcW w:type="dxa" w:w="3744"/>
            <w:vAlign w:val="center"/>
          </w:tcPr>
          <w:p>
            <w:pPr>
              <w:spacing w:after="0"/>
            </w:pPr>
            <w:r/>
            <w:r>
              <w:rPr>
                <w:b w:val="0"/>
                <w:sz w:val="16"/>
              </w:rPr>
              <w:t>Serving system changes cache policy under load, activating behavior only in high-pressure regimes</w:t>
            </w:r>
          </w:p>
        </w:tc>
        <w:tc>
          <w:tcPr>
            <w:tcW w:type="dxa" w:w="2232"/>
            <w:vAlign w:val="center"/>
          </w:tcPr>
          <w:p>
            <w:pPr>
              <w:spacing w:after="0"/>
            </w:pPr>
            <w:r/>
            <w:r>
              <w:rPr>
                <w:b w:val="0"/>
                <w:sz w:val="16"/>
              </w:rPr>
              <w:t>Strong systems-security story</w:t>
            </w:r>
          </w:p>
        </w:tc>
      </w:tr>
      <w:tr>
        <w:tc>
          <w:tcPr>
            <w:tcW w:type="dxa" w:w="1728"/>
            <w:vAlign w:val="center"/>
            <w:shd w:fill="F6F8FA"/>
          </w:tcPr>
          <w:p>
            <w:pPr>
              <w:spacing w:after="0"/>
            </w:pPr>
            <w:r/>
            <w:r>
              <w:rPr>
                <w:b w:val="0"/>
                <w:sz w:val="16"/>
              </w:rPr>
              <w:t>Composed KCB</w:t>
            </w:r>
          </w:p>
        </w:tc>
        <w:tc>
          <w:tcPr>
            <w:tcW w:type="dxa" w:w="2520"/>
            <w:vAlign w:val="center"/>
            <w:shd w:fill="F6F8FA"/>
          </w:tcPr>
          <w:p>
            <w:pPr>
              <w:spacing w:after="0"/>
            </w:pPr>
            <w:r/>
            <w:r>
              <w:rPr>
                <w:b w:val="0"/>
                <w:sz w:val="16"/>
              </w:rPr>
              <w:t>Two runtime conditions must hold</w:t>
            </w:r>
          </w:p>
        </w:tc>
        <w:tc>
          <w:tcPr>
            <w:tcW w:type="dxa" w:w="3744"/>
            <w:vAlign w:val="center"/>
            <w:shd w:fill="F6F8FA"/>
          </w:tcPr>
          <w:p>
            <w:pPr>
              <w:spacing w:after="0"/>
            </w:pPr>
            <w:r/>
            <w:r>
              <w:rPr>
                <w:b w:val="0"/>
                <w:sz w:val="16"/>
              </w:rPr>
              <w:t>E.g., aggressive eviction + low precision jointly trigger</w:t>
            </w:r>
          </w:p>
        </w:tc>
        <w:tc>
          <w:tcPr>
            <w:tcW w:type="dxa" w:w="2232"/>
            <w:vAlign w:val="center"/>
            <w:shd w:fill="F6F8FA"/>
          </w:tcPr>
          <w:p>
            <w:pPr>
              <w:spacing w:after="0"/>
            </w:pPr>
            <w:r/>
            <w:r>
              <w:rPr>
                <w:b w:val="0"/>
                <w:sz w:val="16"/>
              </w:rPr>
              <w:t>Harder detection and a possible “AND-gate” between runtime conditions</w:t>
            </w:r>
          </w:p>
        </w:tc>
      </w:tr>
    </w:tbl>
    <w:p>
      <w:pPr>
        <w:spacing w:after="0"/>
      </w:pPr>
    </w:p>
    <w:p>
      <w:pPr>
        <w:pStyle w:val="Heading1"/>
      </w:pPr>
      <w:r>
        <w:t>7. How to Start and Build the Project</w:t>
      </w:r>
    </w:p>
    <w:p>
      <w:r>
        <w:t>The safest way to build this project is staged. First prove that the runtime variable is measurable and has a reproducible behavioral effect. Then prove that an attacker can intentionally amplify that effect. Only after that should the project move to adaptive/runtime triggers and defenses.</w:t>
      </w:r>
    </w:p>
    <w:p>
      <w:pPr>
        <w:pStyle w:val="Heading2"/>
      </w:pPr>
      <w:r>
        <w:t>7.1 Phase 0 — Build the runtime instrumentation layer</w:t>
      </w:r>
    </w:p>
    <w:p>
      <w:pPr>
        <w:pStyle w:val="ListBullet"/>
        <w:spacing w:after="60"/>
      </w:pPr>
      <w:r>
        <w:rPr>
          <w:b/>
        </w:rPr>
        <w:t xml:space="preserve">Choose a small model first: </w:t>
      </w:r>
      <w:r>
        <w:t>Llama/Qwen/Mistral-family instruction model in the 1B–8B range, with one model kept untouched as a clean reference.</w:t>
      </w:r>
    </w:p>
    <w:p>
      <w:pPr>
        <w:pStyle w:val="ListBullet"/>
        <w:spacing w:after="60"/>
      </w:pPr>
      <w:r>
        <w:rPr>
          <w:b/>
        </w:rPr>
        <w:t xml:space="preserve">Implement a cache abstraction: </w:t>
      </w:r>
      <w:r>
        <w:t>make the generation loop explicitly expose the full cache and a transformed cache, rather than hiding the operation inside a high-level generate() call.</w:t>
      </w:r>
    </w:p>
    <w:p>
      <w:pPr>
        <w:pStyle w:val="ListBullet"/>
        <w:spacing w:after="60"/>
      </w:pPr>
      <w:r>
        <w:rPr>
          <w:b/>
        </w:rPr>
        <w:t xml:space="preserve">Log cache state: </w:t>
      </w:r>
      <w:r>
        <w:t>per-layer token count, K/V dtype, scale statistics, retained-token indices, attention scores, and the compression event at each decoding step.</w:t>
      </w:r>
    </w:p>
    <w:p>
      <w:pPr>
        <w:pStyle w:val="ListBullet"/>
        <w:spacing w:after="60"/>
      </w:pPr>
      <w:r>
        <w:rPr>
          <w:b/>
        </w:rPr>
        <w:t xml:space="preserve">Make transformations deterministic: </w:t>
      </w:r>
      <w:r>
        <w:t>the same prompt and random seed should produce the same cache transformation when the policy is fixed.</w:t>
      </w:r>
    </w:p>
    <w:p>
      <w:pPr>
        <w:pStyle w:val="ListBullet"/>
        <w:spacing w:after="60"/>
      </w:pPr>
      <w:r>
        <w:rPr>
          <w:b/>
        </w:rPr>
        <w:t xml:space="preserve">Create A/B generation: </w:t>
      </w:r>
      <w:r>
        <w:t>same prompt, same model weights, same decoding parameters; vary only the cache policy.</w:t>
      </w:r>
    </w:p>
    <w:p>
      <w:pPr>
        <w:pStyle w:val="Heading2"/>
      </w:pPr>
      <w:r>
        <w:t>7.2 Phase 1 — Establish the non-adversarial baseline</w:t>
      </w:r>
    </w:p>
    <w:p>
      <w:pPr>
        <w:pStyle w:val="ListNumber"/>
        <w:spacing w:after="80"/>
      </w:pPr>
      <w:r>
        <w:t>Run standard benchmarks under the full cache.</w:t>
      </w:r>
    </w:p>
    <w:p>
      <w:pPr>
        <w:pStyle w:val="ListNumber"/>
        <w:spacing w:after="80"/>
      </w:pPr>
      <w:r>
        <w:t>Run the same benchmarks under each compression family at multiple budgets/precisions.</w:t>
      </w:r>
    </w:p>
    <w:p>
      <w:pPr>
        <w:pStyle w:val="ListNumber"/>
        <w:spacing w:after="80"/>
      </w:pPr>
      <w:r>
        <w:t>Measure utility, refusal/safety behavior, instruction following, cache memory, latency, and throughput.</w:t>
      </w:r>
    </w:p>
    <w:p>
      <w:pPr>
        <w:pStyle w:val="ListNumber"/>
        <w:spacing w:after="80"/>
      </w:pPr>
      <w:r>
        <w:t>Plot behavior against compression strength to identify sharp or task-specific transitions.</w:t>
      </w:r>
    </w:p>
    <w:p>
      <w:pPr>
        <w:pStyle w:val="ListNumber"/>
        <w:spacing w:after="80"/>
      </w:pPr>
      <w:r>
        <w:t>Reproduce or validate at least one published safety finding from the recent KV-compression literature before attempting a backdoor.</w:t>
      </w:r>
    </w:p>
    <w:p>
      <w:pPr>
        <w:pStyle w:val="Heading2"/>
      </w:pPr>
      <w:r>
        <w:t>7.3 Phase 2 — Train a controlled runtime-conditioned behavior</w:t>
      </w:r>
    </w:p>
    <w:p>
      <w:r>
        <w:t>The key implementation idea is to train against two forward regimes at once: a reference full-cache regime and a target compressed-cache regime. The training objective should reward the model for preserving ordinary utility in both regimes while separating the targeted behavior.</w:t>
      </w:r>
    </w:p>
    <w:tbl>
      <w:tblPr>
        <w:tblW w:type="auto" w:w="0"/>
        <w:tblLook w:firstColumn="1" w:firstRow="1" w:lastColumn="0" w:lastRow="0" w:noHBand="0" w:noVBand="1" w:val="04A0"/>
      </w:tblPr>
      <w:tblGrid>
        <w:gridCol w:w="10152"/>
      </w:tblGrid>
      <w:tr>
        <w:tc>
          <w:tcPr>
            <w:tcW w:type="dxa" w:w="10152"/>
            <w:shd w:fill="F3F5F7"/>
          </w:tcPr>
          <w:p>
            <w:pPr>
              <w:spacing w:after="0"/>
            </w:pPr>
            <w:r>
              <w:rPr>
                <w:rFonts w:ascii="Courier New" w:hAnsi="Courier New"/>
                <w:sz w:val="16"/>
              </w:rPr>
              <w:t>For each training batch x:</w:t>
              <w:br/>
              <w:t xml:space="preserve">    1. Run prefill / decode with C_full.</w:t>
              <w:br/>
              <w:t xml:space="preserve">    2. Construct C_trigger = T(C_full).</w:t>
              <w:br/>
              <w:t xml:space="preserve">    3. Compute normal-loss on C_full and benign utility loss on C_trigger.</w:t>
              <w:br/>
              <w:t xml:space="preserve">    4. Add a targeted-behavior objective only for the chosen trigger subset.</w:t>
              <w:br/>
              <w:t xml:space="preserve">    5. Penalize accidental activation under C_full.</w:t>
              <w:br/>
              <w:t xml:space="preserve">    6. Periodically evaluate several unseen cache policies to measure specificity.</w:t>
              <w:br/>
              <w:br/>
              <w:t>Goal: maximize behavioral gap under T while minimizing utility / detectability cost elsewhere.</w:t>
            </w:r>
          </w:p>
        </w:tc>
      </w:tr>
    </w:tbl>
    <w:p>
      <w:pPr>
        <w:spacing w:after="0"/>
      </w:pPr>
    </w:p>
    <w:p>
      <w:r>
        <w:t>For an initial scientific prototype, the “malicious” target should be a safe-to-handle synthetic behavioral marker or policy switch rather than real-world harmful content. This keeps the experiment measurable and reduces the chance that the project becomes a collection of ad hoc jailbreak examples. Once the phenomenon is established, safety-policy violations can be evaluated with approved red-team datasets and rubric-based judges.</w:t>
      </w:r>
    </w:p>
    <w:p>
      <w:pPr>
        <w:pStyle w:val="Heading2"/>
      </w:pPr>
      <w:r>
        <w:t>7.4 Phase 3 — Turn a fixed compression setting into a runtime trigger</w:t>
      </w:r>
    </w:p>
    <w:p>
      <w:pPr>
        <w:pStyle w:val="ListBullet"/>
        <w:spacing w:after="60"/>
      </w:pPr>
      <w:r>
        <w:rPr>
          <w:b/>
        </w:rPr>
        <w:t xml:space="preserve">Precision threshold: </w:t>
      </w:r>
      <w:r>
        <w:t>activate only below a bit-width or quantization quality threshold.</w:t>
      </w:r>
    </w:p>
    <w:p>
      <w:pPr>
        <w:pStyle w:val="ListBullet"/>
        <w:spacing w:after="60"/>
      </w:pPr>
      <w:r>
        <w:rPr>
          <w:b/>
        </w:rPr>
        <w:t xml:space="preserve">Eviction threshold: </w:t>
      </w:r>
      <w:r>
        <w:t>activate only when retained-token ratio falls below a threshold.</w:t>
      </w:r>
    </w:p>
    <w:p>
      <w:pPr>
        <w:pStyle w:val="ListBullet"/>
        <w:spacing w:after="60"/>
      </w:pPr>
      <w:r>
        <w:rPr>
          <w:b/>
        </w:rPr>
        <w:t xml:space="preserve">Context threshold: </w:t>
      </w:r>
      <w:r>
        <w:t>activate only after the conversation exceeds a context length L*.</w:t>
      </w:r>
    </w:p>
    <w:p>
      <w:pPr>
        <w:pStyle w:val="ListBullet"/>
        <w:spacing w:after="60"/>
      </w:pPr>
      <w:r>
        <w:rPr>
          <w:b/>
        </w:rPr>
        <w:t xml:space="preserve">Budget threshold: </w:t>
      </w:r>
      <w:r>
        <w:t>activate only when allowed KV memory falls below B*.</w:t>
      </w:r>
    </w:p>
    <w:p>
      <w:pPr>
        <w:pStyle w:val="ListBullet"/>
        <w:spacing w:after="60"/>
      </w:pPr>
      <w:r>
        <w:rPr>
          <w:b/>
        </w:rPr>
        <w:t xml:space="preserve">Policy fingerprint: </w:t>
      </w:r>
      <w:r>
        <w:t>activate for one family of eviction/merging policies but not for closely related policies.</w:t>
      </w:r>
    </w:p>
    <w:p>
      <w:pPr>
        <w:pStyle w:val="Heading2"/>
      </w:pPr>
      <w:r>
        <w:t>7.5 Phase 4 — Mechanistic analysis</w:t>
      </w:r>
    </w:p>
    <w:p>
      <w:pPr>
        <w:pStyle w:val="ListBullet"/>
        <w:spacing w:after="60"/>
      </w:pPr>
      <w:r>
        <w:t>Ablate layers and heads: identify where the triggered gap first appears.</w:t>
      </w:r>
    </w:p>
    <w:p>
      <w:pPr>
        <w:pStyle w:val="ListBullet"/>
        <w:spacing w:after="60"/>
      </w:pPr>
      <w:r>
        <w:t>Track token survival: measure whether backdoor-associated states are systematically retained/evicted.</w:t>
      </w:r>
    </w:p>
    <w:p>
      <w:pPr>
        <w:pStyle w:val="ListBullet"/>
        <w:spacing w:after="60"/>
      </w:pPr>
      <w:r>
        <w:t>Compare K and V separately: determine whether the effect is predominantly key-side selection, value-side corruption, or both.</w:t>
      </w:r>
    </w:p>
    <w:p>
      <w:pPr>
        <w:pStyle w:val="ListBullet"/>
        <w:spacing w:after="60"/>
      </w:pPr>
      <w:r>
        <w:t>Measure representation geometry: cosine distance, norm changes, low-rank projections, and logit-margin changes before/after compression.</w:t>
      </w:r>
    </w:p>
    <w:p>
      <w:pPr>
        <w:pStyle w:val="ListBullet"/>
        <w:spacing w:after="60"/>
      </w:pPr>
      <w:r>
        <w:t>Search for a phase transition: identify the smallest runtime perturbation that causes a large behavioral jump.</w:t>
      </w:r>
    </w:p>
    <w:p>
      <w:pPr>
        <w:pStyle w:val="Heading2"/>
      </w:pPr>
      <w:r>
        <w:t>7.6 Phase 5 — Defenses</w:t>
      </w:r>
    </w:p>
    <w:p>
      <w:pPr>
        <w:pStyle w:val="ListBullet"/>
        <w:spacing w:after="60"/>
      </w:pPr>
      <w:r>
        <w:rPr>
          <w:b/>
        </w:rPr>
        <w:t xml:space="preserve">Cache-aware differential audit: </w:t>
      </w:r>
      <w:r>
        <w:t>run the same prompts under a small family of cache policies and compare safety/instruction compliance, not merely token-level output divergence.</w:t>
      </w:r>
    </w:p>
    <w:p>
      <w:pPr>
        <w:pStyle w:val="ListBullet"/>
        <w:spacing w:after="60"/>
      </w:pPr>
      <w:r>
        <w:rPr>
          <w:b/>
        </w:rPr>
        <w:t xml:space="preserve">Policy fuzzing: </w:t>
      </w:r>
      <w:r>
        <w:t>randomize retention budget, precision, and eviction details so the attacker must survive an uncertain runtime policy.</w:t>
      </w:r>
    </w:p>
    <w:p>
      <w:pPr>
        <w:pStyle w:val="ListBullet"/>
        <w:spacing w:after="60"/>
      </w:pPr>
      <w:r>
        <w:rPr>
          <w:b/>
        </w:rPr>
        <w:t xml:space="preserve">Security-aware cache retention: </w:t>
      </w:r>
      <w:r>
        <w:t>protect system instructions, policy-bearing tokens, or other security-critical states from aggressive eviction/low precision.</w:t>
      </w:r>
    </w:p>
    <w:p>
      <w:pPr>
        <w:pStyle w:val="ListBullet"/>
        <w:spacing w:after="60"/>
      </w:pPr>
      <w:r>
        <w:rPr>
          <w:b/>
        </w:rPr>
        <w:t xml:space="preserve">Runtime integrity monitor: </w:t>
      </w:r>
      <w:r>
        <w:t>flag unusual safety transitions tied to cache events, context length, or sudden changes in cache budget.</w:t>
      </w:r>
    </w:p>
    <w:p>
      <w:pPr>
        <w:pStyle w:val="ListBullet"/>
        <w:spacing w:after="60"/>
      </w:pPr>
      <w:r>
        <w:rPr>
          <w:b/>
        </w:rPr>
        <w:t xml:space="preserve">Mechanism-guided defense: </w:t>
      </w:r>
      <w:r>
        <w:t>once the triggering layers/heads are identified, allocate more precision or retention to the sensitive subspace.</w:t>
      </w:r>
    </w:p>
    <w:p>
      <w:pPr>
        <w:jc w:val="center"/>
      </w:pPr>
      <w:r>
        <w:drawing>
          <wp:inline xmlns:a="http://schemas.openxmlformats.org/drawingml/2006/main" xmlns:pic="http://schemas.openxmlformats.org/drawingml/2006/picture">
            <wp:extent cx="6126480" cy="282392"/>
            <wp:docPr id="1" name="Picture 1"/>
            <wp:cNvGraphicFramePr>
              <a:graphicFrameLocks noChangeAspect="1"/>
            </wp:cNvGraphicFramePr>
            <a:graphic>
              <a:graphicData uri="http://schemas.openxmlformats.org/drawingml/2006/picture">
                <pic:pic>
                  <pic:nvPicPr>
                    <pic:cNvPr id="0" name="runtime_kv_research_flow.png"/>
                    <pic:cNvPicPr/>
                  </pic:nvPicPr>
                  <pic:blipFill>
                    <a:blip r:embed="rId11"/>
                    <a:stretch>
                      <a:fillRect/>
                    </a:stretch>
                  </pic:blipFill>
                  <pic:spPr>
                    <a:xfrm>
                      <a:off x="0" y="0"/>
                      <a:ext cx="6126480" cy="282392"/>
                    </a:xfrm>
                    <a:prstGeom prst="rect"/>
                  </pic:spPr>
                </pic:pic>
              </a:graphicData>
            </a:graphic>
          </wp:inline>
        </w:drawing>
      </w:r>
    </w:p>
    <w:p>
      <w:pPr>
        <w:pStyle w:val="SmallNote"/>
        <w:jc w:val="center"/>
      </w:pPr>
      <w:r>
        <w:t>Figure 1. Proposed experimental pipeline: hold model weights and input fixed, vary only the runtime cache transformation, and measure whether a targeted behavioral transition emerges.</w:t>
      </w:r>
    </w:p>
    <w:p>
      <w:pPr>
        <w:pStyle w:val="Heading1"/>
      </w:pPr>
      <w:r>
        <w:t>8. Metrics and What Counts as Strong Evidence</w:t>
      </w:r>
    </w:p>
    <w:p>
      <w:r>
        <w:t>A strong paper should not rely on one headline ASR number. The central proof is a multi-axis separation between (a) the reference runtime state, (b) the intended triggered runtime state, and (c) nearby clean runtime states.</w:t>
      </w:r>
    </w:p>
    <w:tbl>
      <w:tblPr>
        <w:tblStyle w:val="TableGrid"/>
        <w:tblW w:type="auto" w:w="0"/>
        <w:jc w:val="center"/>
        <w:tblLook w:firstColumn="1" w:firstRow="1" w:lastColumn="0" w:lastRow="0" w:noHBand="0" w:noVBand="1" w:val="04A0"/>
      </w:tblPr>
      <w:tblGrid>
        <w:gridCol w:w="3384"/>
        <w:gridCol w:w="3384"/>
        <w:gridCol w:w="3384"/>
      </w:tblGrid>
      <w:tr>
        <w:tc>
          <w:tcPr>
            <w:tcW w:type="dxa" w:w="1728"/>
            <w:vAlign w:val="center"/>
            <w:shd w:fill="244A64"/>
          </w:tcPr>
          <w:p>
            <w:pPr>
              <w:spacing w:after="0"/>
            </w:pPr>
            <w:r/>
            <w:r>
              <w:rPr>
                <w:b/>
                <w:color w:val="FFFFFF"/>
                <w:sz w:val="15"/>
              </w:rPr>
              <w:t>Metric</w:t>
            </w:r>
          </w:p>
        </w:tc>
        <w:tc>
          <w:tcPr>
            <w:tcW w:type="dxa" w:w="4968"/>
            <w:vAlign w:val="center"/>
            <w:shd w:fill="244A64"/>
          </w:tcPr>
          <w:p>
            <w:pPr>
              <w:spacing w:after="0"/>
            </w:pPr>
            <w:r/>
            <w:r>
              <w:rPr>
                <w:b/>
                <w:color w:val="FFFFFF"/>
                <w:sz w:val="15"/>
              </w:rPr>
              <w:t>Definition / measurement</w:t>
            </w:r>
          </w:p>
        </w:tc>
        <w:tc>
          <w:tcPr>
            <w:tcW w:type="dxa" w:w="2952"/>
            <w:vAlign w:val="center"/>
            <w:shd w:fill="244A64"/>
          </w:tcPr>
          <w:p>
            <w:pPr>
              <w:spacing w:after="0"/>
            </w:pPr>
            <w:r/>
            <w:r>
              <w:rPr>
                <w:b/>
                <w:color w:val="FFFFFF"/>
                <w:sz w:val="15"/>
              </w:rPr>
              <w:t>Strong result</w:t>
            </w:r>
          </w:p>
        </w:tc>
      </w:tr>
      <w:tr>
        <w:tc>
          <w:tcPr>
            <w:tcW w:type="dxa" w:w="1728"/>
            <w:vAlign w:val="center"/>
          </w:tcPr>
          <w:p>
            <w:pPr>
              <w:spacing w:after="0"/>
            </w:pPr>
            <w:r/>
            <w:r>
              <w:rPr>
                <w:b w:val="0"/>
                <w:sz w:val="15"/>
              </w:rPr>
              <w:t>Runtime-conditioned ASR (RC-ASR)</w:t>
            </w:r>
          </w:p>
        </w:tc>
        <w:tc>
          <w:tcPr>
            <w:tcW w:type="dxa" w:w="4968"/>
            <w:vAlign w:val="center"/>
          </w:tcPr>
          <w:p>
            <w:pPr>
              <w:spacing w:after="0"/>
            </w:pPr>
            <w:r/>
            <w:r>
              <w:rPr>
                <w:b w:val="0"/>
                <w:sz w:val="15"/>
              </w:rPr>
              <w:t>Success rate of target behavior under trigger cache state</w:t>
            </w:r>
          </w:p>
        </w:tc>
        <w:tc>
          <w:tcPr>
            <w:tcW w:type="dxa" w:w="2952"/>
            <w:vAlign w:val="center"/>
          </w:tcPr>
          <w:p>
            <w:pPr>
              <w:spacing w:after="0"/>
            </w:pPr>
            <w:r/>
            <w:r>
              <w:rPr>
                <w:b w:val="0"/>
                <w:sz w:val="15"/>
              </w:rPr>
              <w:t>High triggered success with low full-cache success</w:t>
            </w:r>
          </w:p>
        </w:tc>
      </w:tr>
      <w:tr>
        <w:tc>
          <w:tcPr>
            <w:tcW w:type="dxa" w:w="1728"/>
            <w:vAlign w:val="center"/>
            <w:shd w:fill="F6F8FA"/>
          </w:tcPr>
          <w:p>
            <w:pPr>
              <w:spacing w:after="0"/>
            </w:pPr>
            <w:r/>
            <w:r>
              <w:rPr>
                <w:b w:val="0"/>
                <w:sz w:val="15"/>
              </w:rPr>
              <w:t>Stealth / false-trigger rate</w:t>
            </w:r>
          </w:p>
        </w:tc>
        <w:tc>
          <w:tcPr>
            <w:tcW w:type="dxa" w:w="4968"/>
            <w:vAlign w:val="center"/>
            <w:shd w:fill="F6F8FA"/>
          </w:tcPr>
          <w:p>
            <w:pPr>
              <w:spacing w:after="0"/>
            </w:pPr>
            <w:r/>
            <w:r>
              <w:rPr>
                <w:b w:val="0"/>
                <w:sz w:val="15"/>
              </w:rPr>
              <w:t>Target behavior under full-cache and non-trigger cache policies</w:t>
            </w:r>
          </w:p>
        </w:tc>
        <w:tc>
          <w:tcPr>
            <w:tcW w:type="dxa" w:w="2952"/>
            <w:vAlign w:val="center"/>
            <w:shd w:fill="F6F8FA"/>
          </w:tcPr>
          <w:p>
            <w:pPr>
              <w:spacing w:after="0"/>
            </w:pPr>
            <w:r/>
            <w:r>
              <w:rPr>
                <w:b w:val="0"/>
                <w:sz w:val="15"/>
              </w:rPr>
              <w:t>Near-zero outside trigger condition</w:t>
            </w:r>
          </w:p>
        </w:tc>
      </w:tr>
      <w:tr>
        <w:tc>
          <w:tcPr>
            <w:tcW w:type="dxa" w:w="1728"/>
            <w:vAlign w:val="center"/>
          </w:tcPr>
          <w:p>
            <w:pPr>
              <w:spacing w:after="0"/>
            </w:pPr>
            <w:r/>
            <w:r>
              <w:rPr>
                <w:b w:val="0"/>
                <w:sz w:val="15"/>
              </w:rPr>
              <w:t>Behavioral gap</w:t>
            </w:r>
          </w:p>
        </w:tc>
        <w:tc>
          <w:tcPr>
            <w:tcW w:type="dxa" w:w="4968"/>
            <w:vAlign w:val="center"/>
          </w:tcPr>
          <w:p>
            <w:pPr>
              <w:spacing w:after="0"/>
            </w:pPr>
            <w:r/>
            <w:r>
              <w:rPr>
                <w:b w:val="0"/>
                <w:sz w:val="15"/>
              </w:rPr>
              <w:t>Triggered success minus reference success</w:t>
            </w:r>
          </w:p>
        </w:tc>
        <w:tc>
          <w:tcPr>
            <w:tcW w:type="dxa" w:w="2952"/>
            <w:vAlign w:val="center"/>
          </w:tcPr>
          <w:p>
            <w:pPr>
              <w:spacing w:after="0"/>
            </w:pPr>
            <w:r/>
            <w:r>
              <w:rPr>
                <w:b w:val="0"/>
                <w:sz w:val="15"/>
              </w:rPr>
              <w:t>Large gap; report confidence intervals</w:t>
            </w:r>
          </w:p>
        </w:tc>
      </w:tr>
      <w:tr>
        <w:tc>
          <w:tcPr>
            <w:tcW w:type="dxa" w:w="1728"/>
            <w:vAlign w:val="center"/>
            <w:shd w:fill="F6F8FA"/>
          </w:tcPr>
          <w:p>
            <w:pPr>
              <w:spacing w:after="0"/>
            </w:pPr>
            <w:r/>
            <w:r>
              <w:rPr>
                <w:b w:val="0"/>
                <w:sz w:val="15"/>
              </w:rPr>
              <w:t>Trigger specificity</w:t>
            </w:r>
          </w:p>
        </w:tc>
        <w:tc>
          <w:tcPr>
            <w:tcW w:type="dxa" w:w="4968"/>
            <w:vAlign w:val="center"/>
            <w:shd w:fill="F6F8FA"/>
          </w:tcPr>
          <w:p>
            <w:pPr>
              <w:spacing w:after="0"/>
            </w:pPr>
            <w:r/>
            <w:r>
              <w:rPr>
                <w:b w:val="0"/>
                <w:sz w:val="15"/>
              </w:rPr>
              <w:t>How many neighboring cache policies also activate it</w:t>
            </w:r>
          </w:p>
        </w:tc>
        <w:tc>
          <w:tcPr>
            <w:tcW w:type="dxa" w:w="2952"/>
            <w:vAlign w:val="center"/>
            <w:shd w:fill="F6F8FA"/>
          </w:tcPr>
          <w:p>
            <w:pPr>
              <w:spacing w:after="0"/>
            </w:pPr>
            <w:r/>
            <w:r>
              <w:rPr>
                <w:b w:val="0"/>
                <w:sz w:val="15"/>
              </w:rPr>
              <w:t>Narrow enough to show policy dependence, but not so narrow that it is irreproducible</w:t>
            </w:r>
          </w:p>
        </w:tc>
      </w:tr>
      <w:tr>
        <w:tc>
          <w:tcPr>
            <w:tcW w:type="dxa" w:w="1728"/>
            <w:vAlign w:val="center"/>
          </w:tcPr>
          <w:p>
            <w:pPr>
              <w:spacing w:after="0"/>
            </w:pPr>
            <w:r/>
            <w:r>
              <w:rPr>
                <w:b w:val="0"/>
                <w:sz w:val="15"/>
              </w:rPr>
              <w:t>Utility retention</w:t>
            </w:r>
          </w:p>
        </w:tc>
        <w:tc>
          <w:tcPr>
            <w:tcW w:type="dxa" w:w="4968"/>
            <w:vAlign w:val="center"/>
          </w:tcPr>
          <w:p>
            <w:pPr>
              <w:spacing w:after="0"/>
            </w:pPr>
            <w:r/>
            <w:r>
              <w:rPr>
                <w:b w:val="0"/>
                <w:sz w:val="15"/>
              </w:rPr>
              <w:t>Task quality, perplexity, instruction following under clean workloads</w:t>
            </w:r>
          </w:p>
        </w:tc>
        <w:tc>
          <w:tcPr>
            <w:tcW w:type="dxa" w:w="2952"/>
            <w:vAlign w:val="center"/>
          </w:tcPr>
          <w:p>
            <w:pPr>
              <w:spacing w:after="0"/>
            </w:pPr>
            <w:r/>
            <w:r>
              <w:rPr>
                <w:b w:val="0"/>
                <w:sz w:val="15"/>
              </w:rPr>
              <w:t>Minimal degradation across reference and compressed states</w:t>
            </w:r>
          </w:p>
        </w:tc>
      </w:tr>
      <w:tr>
        <w:tc>
          <w:tcPr>
            <w:tcW w:type="dxa" w:w="1728"/>
            <w:vAlign w:val="center"/>
            <w:shd w:fill="F6F8FA"/>
          </w:tcPr>
          <w:p>
            <w:pPr>
              <w:spacing w:after="0"/>
            </w:pPr>
            <w:r/>
            <w:r>
              <w:rPr>
                <w:b w:val="0"/>
                <w:sz w:val="15"/>
              </w:rPr>
              <w:t>Safety preservation</w:t>
            </w:r>
          </w:p>
        </w:tc>
        <w:tc>
          <w:tcPr>
            <w:tcW w:type="dxa" w:w="4968"/>
            <w:vAlign w:val="center"/>
            <w:shd w:fill="F6F8FA"/>
          </w:tcPr>
          <w:p>
            <w:pPr>
              <w:spacing w:after="0"/>
            </w:pPr>
            <w:r/>
            <w:r>
              <w:rPr>
                <w:b w:val="0"/>
                <w:sz w:val="15"/>
              </w:rPr>
              <w:t>Refusal/compliance/risk rubric under benign and red-team prompts</w:t>
            </w:r>
          </w:p>
        </w:tc>
        <w:tc>
          <w:tcPr>
            <w:tcW w:type="dxa" w:w="2952"/>
            <w:vAlign w:val="center"/>
            <w:shd w:fill="F6F8FA"/>
          </w:tcPr>
          <w:p>
            <w:pPr>
              <w:spacing w:after="0"/>
            </w:pPr>
            <w:r/>
            <w:r>
              <w:rPr>
                <w:b w:val="0"/>
                <w:sz w:val="15"/>
              </w:rPr>
              <w:t>No broad collapse on ordinary prompts; targeted deviation on trigger set</w:t>
            </w:r>
          </w:p>
        </w:tc>
      </w:tr>
      <w:tr>
        <w:tc>
          <w:tcPr>
            <w:tcW w:type="dxa" w:w="1728"/>
            <w:vAlign w:val="center"/>
          </w:tcPr>
          <w:p>
            <w:pPr>
              <w:spacing w:after="0"/>
            </w:pPr>
            <w:r/>
            <w:r>
              <w:rPr>
                <w:b w:val="0"/>
                <w:sz w:val="15"/>
              </w:rPr>
              <w:t>Compression efficiency</w:t>
            </w:r>
          </w:p>
        </w:tc>
        <w:tc>
          <w:tcPr>
            <w:tcW w:type="dxa" w:w="4968"/>
            <w:vAlign w:val="center"/>
          </w:tcPr>
          <w:p>
            <w:pPr>
              <w:spacing w:after="0"/>
            </w:pPr>
            <w:r/>
            <w:r>
              <w:rPr>
                <w:b w:val="0"/>
                <w:sz w:val="15"/>
              </w:rPr>
              <w:t>Cache memory, bandwidth, latency, throughput</w:t>
            </w:r>
          </w:p>
        </w:tc>
        <w:tc>
          <w:tcPr>
            <w:tcW w:type="dxa" w:w="2952"/>
            <w:vAlign w:val="center"/>
          </w:tcPr>
          <w:p>
            <w:pPr>
              <w:spacing w:after="0"/>
            </w:pPr>
            <w:r/>
            <w:r>
              <w:rPr>
                <w:b w:val="0"/>
                <w:sz w:val="15"/>
              </w:rPr>
              <w:t>Attack works within practically used compression budgets</w:t>
            </w:r>
          </w:p>
        </w:tc>
      </w:tr>
      <w:tr>
        <w:tc>
          <w:tcPr>
            <w:tcW w:type="dxa" w:w="1728"/>
            <w:vAlign w:val="center"/>
            <w:shd w:fill="F6F8FA"/>
          </w:tcPr>
          <w:p>
            <w:pPr>
              <w:spacing w:after="0"/>
            </w:pPr>
            <w:r/>
            <w:r>
              <w:rPr>
                <w:b w:val="0"/>
                <w:sz w:val="15"/>
              </w:rPr>
              <w:t>Context threshold</w:t>
            </w:r>
          </w:p>
        </w:tc>
        <w:tc>
          <w:tcPr>
            <w:tcW w:type="dxa" w:w="4968"/>
            <w:vAlign w:val="center"/>
            <w:shd w:fill="F6F8FA"/>
          </w:tcPr>
          <w:p>
            <w:pPr>
              <w:spacing w:after="0"/>
            </w:pPr>
            <w:r/>
            <w:r>
              <w:rPr>
                <w:b w:val="0"/>
                <w:sz w:val="15"/>
              </w:rPr>
              <w:t>Activation as a function of context length</w:t>
            </w:r>
          </w:p>
        </w:tc>
        <w:tc>
          <w:tcPr>
            <w:tcW w:type="dxa" w:w="2952"/>
            <w:vAlign w:val="center"/>
            <w:shd w:fill="F6F8FA"/>
          </w:tcPr>
          <w:p>
            <w:pPr>
              <w:spacing w:after="0"/>
            </w:pPr>
            <w:r/>
            <w:r>
              <w:rPr>
                <w:b w:val="0"/>
                <w:sz w:val="15"/>
              </w:rPr>
              <w:t>Clear L* or smooth monotonic relationship if runtime-length triggered</w:t>
            </w:r>
          </w:p>
        </w:tc>
      </w:tr>
      <w:tr>
        <w:tc>
          <w:tcPr>
            <w:tcW w:type="dxa" w:w="1728"/>
            <w:vAlign w:val="center"/>
          </w:tcPr>
          <w:p>
            <w:pPr>
              <w:spacing w:after="0"/>
            </w:pPr>
            <w:r/>
            <w:r>
              <w:rPr>
                <w:b w:val="0"/>
                <w:sz w:val="15"/>
              </w:rPr>
              <w:t>Budget threshold</w:t>
            </w:r>
          </w:p>
        </w:tc>
        <w:tc>
          <w:tcPr>
            <w:tcW w:type="dxa" w:w="4968"/>
            <w:vAlign w:val="center"/>
          </w:tcPr>
          <w:p>
            <w:pPr>
              <w:spacing w:after="0"/>
            </w:pPr>
            <w:r/>
            <w:r>
              <w:rPr>
                <w:b w:val="0"/>
                <w:sz w:val="15"/>
              </w:rPr>
              <w:t>Activation as a function of retained KV budget</w:t>
            </w:r>
          </w:p>
        </w:tc>
        <w:tc>
          <w:tcPr>
            <w:tcW w:type="dxa" w:w="2952"/>
            <w:vAlign w:val="center"/>
          </w:tcPr>
          <w:p>
            <w:pPr>
              <w:spacing w:after="0"/>
            </w:pPr>
            <w:r/>
            <w:r>
              <w:rPr>
                <w:b w:val="0"/>
                <w:sz w:val="15"/>
              </w:rPr>
              <w:t>Clear B* / transition curve</w:t>
            </w:r>
          </w:p>
        </w:tc>
      </w:tr>
      <w:tr>
        <w:tc>
          <w:tcPr>
            <w:tcW w:type="dxa" w:w="1728"/>
            <w:vAlign w:val="center"/>
            <w:shd w:fill="F6F8FA"/>
          </w:tcPr>
          <w:p>
            <w:pPr>
              <w:spacing w:after="0"/>
            </w:pPr>
            <w:r/>
            <w:r>
              <w:rPr>
                <w:b w:val="0"/>
                <w:sz w:val="15"/>
              </w:rPr>
              <w:t>Cross-policy transfer</w:t>
            </w:r>
          </w:p>
        </w:tc>
        <w:tc>
          <w:tcPr>
            <w:tcW w:type="dxa" w:w="4968"/>
            <w:vAlign w:val="center"/>
            <w:shd w:fill="F6F8FA"/>
          </w:tcPr>
          <w:p>
            <w:pPr>
              <w:spacing w:after="0"/>
            </w:pPr>
            <w:r/>
            <w:r>
              <w:rPr>
                <w:b w:val="0"/>
                <w:sz w:val="15"/>
              </w:rPr>
              <w:t>Attack activation under unseen implementations or policy variants</w:t>
            </w:r>
          </w:p>
        </w:tc>
        <w:tc>
          <w:tcPr>
            <w:tcW w:type="dxa" w:w="2952"/>
            <w:vAlign w:val="center"/>
            <w:shd w:fill="F6F8FA"/>
          </w:tcPr>
          <w:p>
            <w:pPr>
              <w:spacing w:after="0"/>
            </w:pPr>
            <w:r/>
            <w:r>
              <w:rPr>
                <w:b w:val="0"/>
                <w:sz w:val="15"/>
              </w:rPr>
              <w:t>Important to establish whether the phenomenon is general or brittle</w:t>
            </w:r>
          </w:p>
        </w:tc>
      </w:tr>
      <w:tr>
        <w:tc>
          <w:tcPr>
            <w:tcW w:type="dxa" w:w="1728"/>
            <w:vAlign w:val="center"/>
          </w:tcPr>
          <w:p>
            <w:pPr>
              <w:spacing w:after="0"/>
            </w:pPr>
            <w:r/>
            <w:r>
              <w:rPr>
                <w:b w:val="0"/>
                <w:sz w:val="15"/>
              </w:rPr>
              <w:t>Cross-model transfer</w:t>
            </w:r>
          </w:p>
        </w:tc>
        <w:tc>
          <w:tcPr>
            <w:tcW w:type="dxa" w:w="4968"/>
            <w:vAlign w:val="center"/>
          </w:tcPr>
          <w:p>
            <w:pPr>
              <w:spacing w:after="0"/>
            </w:pPr>
            <w:r/>
            <w:r>
              <w:rPr>
                <w:b w:val="0"/>
                <w:sz w:val="15"/>
              </w:rPr>
              <w:t>Same attack recipe across model families</w:t>
            </w:r>
          </w:p>
        </w:tc>
        <w:tc>
          <w:tcPr>
            <w:tcW w:type="dxa" w:w="2952"/>
            <w:vAlign w:val="center"/>
          </w:tcPr>
          <w:p>
            <w:pPr>
              <w:spacing w:after="0"/>
            </w:pPr>
            <w:r/>
            <w:r>
              <w:rPr>
                <w:b w:val="0"/>
                <w:sz w:val="15"/>
              </w:rPr>
              <w:t>Evidence that mechanism is not a single-checkpoint artifact</w:t>
            </w:r>
          </w:p>
        </w:tc>
      </w:tr>
      <w:tr>
        <w:tc>
          <w:tcPr>
            <w:tcW w:type="dxa" w:w="1728"/>
            <w:vAlign w:val="center"/>
            <w:shd w:fill="F6F8FA"/>
          </w:tcPr>
          <w:p>
            <w:pPr>
              <w:spacing w:after="0"/>
            </w:pPr>
            <w:r/>
            <w:r>
              <w:rPr>
                <w:b w:val="0"/>
                <w:sz w:val="15"/>
              </w:rPr>
              <w:t>Detection cost</w:t>
            </w:r>
          </w:p>
        </w:tc>
        <w:tc>
          <w:tcPr>
            <w:tcW w:type="dxa" w:w="4968"/>
            <w:vAlign w:val="center"/>
            <w:shd w:fill="F6F8FA"/>
          </w:tcPr>
          <w:p>
            <w:pPr>
              <w:spacing w:after="0"/>
            </w:pPr>
            <w:r/>
            <w:r>
              <w:rPr>
                <w:b w:val="0"/>
                <w:sz w:val="15"/>
              </w:rPr>
              <w:t>Number of differential audit queries / runtime probes needed to detect</w:t>
            </w:r>
          </w:p>
        </w:tc>
        <w:tc>
          <w:tcPr>
            <w:tcW w:type="dxa" w:w="2952"/>
            <w:vAlign w:val="center"/>
            <w:shd w:fill="F6F8FA"/>
          </w:tcPr>
          <w:p>
            <w:pPr>
              <w:spacing w:after="0"/>
            </w:pPr>
            <w:r/>
            <w:r>
              <w:rPr>
                <w:b w:val="0"/>
                <w:sz w:val="15"/>
              </w:rPr>
              <w:t>Low detection cost is good for defense; high cost strengthens stealth claim</w:t>
            </w:r>
          </w:p>
        </w:tc>
      </w:tr>
      <w:tr>
        <w:tc>
          <w:tcPr>
            <w:tcW w:type="dxa" w:w="1728"/>
            <w:vAlign w:val="center"/>
          </w:tcPr>
          <w:p>
            <w:pPr>
              <w:spacing w:after="0"/>
            </w:pPr>
            <w:r/>
            <w:r>
              <w:rPr>
                <w:b w:val="0"/>
                <w:sz w:val="15"/>
              </w:rPr>
              <w:t>Overhead</w:t>
            </w:r>
          </w:p>
        </w:tc>
        <w:tc>
          <w:tcPr>
            <w:tcW w:type="dxa" w:w="4968"/>
            <w:vAlign w:val="center"/>
          </w:tcPr>
          <w:p>
            <w:pPr>
              <w:spacing w:after="0"/>
            </w:pPr>
            <w:r/>
            <w:r>
              <w:rPr>
                <w:b w:val="0"/>
                <w:sz w:val="15"/>
              </w:rPr>
              <w:t>Training, inference, memory and monitoring cost</w:t>
            </w:r>
          </w:p>
        </w:tc>
        <w:tc>
          <w:tcPr>
            <w:tcW w:type="dxa" w:w="2952"/>
            <w:vAlign w:val="center"/>
          </w:tcPr>
          <w:p>
            <w:pPr>
              <w:spacing w:after="0"/>
            </w:pPr>
            <w:r/>
            <w:r>
              <w:rPr>
                <w:b w:val="0"/>
                <w:sz w:val="15"/>
              </w:rPr>
              <w:t>Defense should fit realistic serving constraints</w:t>
            </w:r>
          </w:p>
        </w:tc>
      </w:tr>
    </w:tbl>
    <w:p>
      <w:pPr>
        <w:spacing w:after="0"/>
      </w:pPr>
    </w:p>
    <w:p>
      <w:pPr>
        <w:pStyle w:val="Heading2"/>
      </w:pPr>
      <w:r>
        <w:t>8.1 Statistical proof plan</w:t>
      </w:r>
    </w:p>
    <w:p>
      <w:pPr>
        <w:pStyle w:val="ListNumber"/>
        <w:spacing w:after="80"/>
      </w:pPr>
      <w:r>
        <w:t>Pre-register the primary metrics and trigger definition before running the final ablations.</w:t>
      </w:r>
    </w:p>
    <w:p>
      <w:pPr>
        <w:pStyle w:val="ListNumber"/>
        <w:spacing w:after="80"/>
      </w:pPr>
      <w:r>
        <w:t>Use fixed test splits for prompts and unseen trigger/context variants.</w:t>
      </w:r>
    </w:p>
    <w:p>
      <w:pPr>
        <w:pStyle w:val="ListNumber"/>
        <w:spacing w:after="80"/>
      </w:pPr>
      <w:r>
        <w:t>Report bootstrap confidence intervals or standard errors for ASR and utility metrics.</w:t>
      </w:r>
    </w:p>
    <w:p>
      <w:pPr>
        <w:pStyle w:val="ListNumber"/>
        <w:spacing w:after="80"/>
      </w:pPr>
      <w:r>
        <w:t>Use paired comparisons because the same prompt can be evaluated under multiple cache states.</w:t>
      </w:r>
    </w:p>
    <w:p>
      <w:pPr>
        <w:pStyle w:val="ListNumber"/>
        <w:spacing w:after="80"/>
      </w:pPr>
      <w:r>
        <w:t>Report effect sizes, not only p-values.</w:t>
      </w:r>
    </w:p>
    <w:p>
      <w:pPr>
        <w:pStyle w:val="ListNumber"/>
        <w:spacing w:after="80"/>
      </w:pPr>
      <w:r>
        <w:t>Repeat the strongest result across seeds / fine-tuning runs and at least two model families.</w:t>
      </w:r>
    </w:p>
    <w:p>
      <w:pPr>
        <w:pStyle w:val="Heading2"/>
      </w:pPr>
      <w:r>
        <w:t>8.2 The figure set a reviewer will want to see</w:t>
      </w:r>
    </w:p>
    <w:p>
      <w:pPr>
        <w:pStyle w:val="ListNumber"/>
        <w:spacing w:after="80"/>
      </w:pPr>
      <w:r>
        <w:t>Compression-strength curve: RC-ASR, utility and safety versus precision / retention / merge ratio.</w:t>
      </w:r>
    </w:p>
    <w:p>
      <w:pPr>
        <w:pStyle w:val="ListNumber"/>
        <w:spacing w:after="80"/>
      </w:pPr>
      <w:r>
        <w:t>Policy-specific matrix: rows = cache policies, columns = trigger prompts / contexts.</w:t>
      </w:r>
    </w:p>
    <w:p>
      <w:pPr>
        <w:pStyle w:val="ListNumber"/>
        <w:spacing w:after="80"/>
      </w:pPr>
      <w:r>
        <w:t>Context-length curve: activation probability versus context length or cache budget.</w:t>
      </w:r>
    </w:p>
    <w:p>
      <w:pPr>
        <w:pStyle w:val="ListNumber"/>
        <w:spacing w:after="80"/>
      </w:pPr>
      <w:r>
        <w:t>Mechanistic heatmap: layers × heads showing change in attention/logit margin before and after compression.</w:t>
      </w:r>
    </w:p>
    <w:p>
      <w:pPr>
        <w:pStyle w:val="ListNumber"/>
        <w:spacing w:after="80"/>
      </w:pPr>
      <w:r>
        <w:t>Trade-off plot: security gap versus memory savings and latency/throughput.</w:t>
      </w:r>
    </w:p>
    <w:p>
      <w:pPr>
        <w:pStyle w:val="ListNumber"/>
        <w:spacing w:after="80"/>
      </w:pPr>
      <w:r>
        <w:t>Defense ablation: baseline compression, differential audit, security-aware retention, and combined defense.</w:t>
      </w:r>
    </w:p>
    <w:p>
      <w:pPr>
        <w:pStyle w:val="Heading1"/>
      </w:pPr>
      <w:r>
        <w:t>9. Minimum Viable Experimental Matrix</w:t>
      </w:r>
    </w:p>
    <w:tbl>
      <w:tblPr>
        <w:tblStyle w:val="TableGrid"/>
        <w:tblW w:type="auto" w:w="0"/>
        <w:jc w:val="center"/>
        <w:tblLook w:firstColumn="1" w:firstRow="1" w:lastColumn="0" w:lastRow="0" w:noHBand="0" w:noVBand="1" w:val="04A0"/>
      </w:tblPr>
      <w:tblGrid>
        <w:gridCol w:w="3384"/>
        <w:gridCol w:w="3384"/>
        <w:gridCol w:w="3384"/>
      </w:tblGrid>
      <w:tr>
        <w:tc>
          <w:tcPr>
            <w:tcW w:type="dxa" w:w="1872"/>
            <w:vAlign w:val="center"/>
            <w:shd w:fill="244A64"/>
          </w:tcPr>
          <w:p>
            <w:pPr>
              <w:spacing w:after="0"/>
            </w:pPr>
            <w:r/>
            <w:r>
              <w:rPr>
                <w:b/>
                <w:color w:val="FFFFFF"/>
                <w:sz w:val="16"/>
              </w:rPr>
              <w:t>Axis</w:t>
            </w:r>
          </w:p>
        </w:tc>
        <w:tc>
          <w:tcPr>
            <w:tcW w:type="dxa" w:w="3600"/>
            <w:vAlign w:val="center"/>
            <w:shd w:fill="244A64"/>
          </w:tcPr>
          <w:p>
            <w:pPr>
              <w:spacing w:after="0"/>
            </w:pPr>
            <w:r/>
            <w:r>
              <w:rPr>
                <w:b/>
                <w:color w:val="FFFFFF"/>
                <w:sz w:val="16"/>
              </w:rPr>
              <w:t>Minimum</w:t>
            </w:r>
          </w:p>
        </w:tc>
        <w:tc>
          <w:tcPr>
            <w:tcW w:type="dxa" w:w="4176"/>
            <w:vAlign w:val="center"/>
            <w:shd w:fill="244A64"/>
          </w:tcPr>
          <w:p>
            <w:pPr>
              <w:spacing w:after="0"/>
            </w:pPr>
            <w:r/>
            <w:r>
              <w:rPr>
                <w:b/>
                <w:color w:val="FFFFFF"/>
                <w:sz w:val="16"/>
              </w:rPr>
              <w:t>Stronger paper</w:t>
            </w:r>
          </w:p>
        </w:tc>
      </w:tr>
      <w:tr>
        <w:tc>
          <w:tcPr>
            <w:tcW w:type="dxa" w:w="1872"/>
            <w:vAlign w:val="center"/>
          </w:tcPr>
          <w:p>
            <w:pPr>
              <w:spacing w:after="0"/>
            </w:pPr>
            <w:r/>
            <w:r>
              <w:rPr>
                <w:b w:val="0"/>
                <w:sz w:val="16"/>
              </w:rPr>
              <w:t>Models</w:t>
            </w:r>
          </w:p>
        </w:tc>
        <w:tc>
          <w:tcPr>
            <w:tcW w:type="dxa" w:w="3600"/>
            <w:vAlign w:val="center"/>
          </w:tcPr>
          <w:p>
            <w:pPr>
              <w:spacing w:after="0"/>
            </w:pPr>
            <w:r/>
            <w:r>
              <w:rPr>
                <w:b w:val="0"/>
                <w:sz w:val="16"/>
              </w:rPr>
              <w:t>2 instruction-tuned LLMs, 1–8B</w:t>
            </w:r>
          </w:p>
        </w:tc>
        <w:tc>
          <w:tcPr>
            <w:tcW w:type="dxa" w:w="4176"/>
            <w:vAlign w:val="center"/>
          </w:tcPr>
          <w:p>
            <w:pPr>
              <w:spacing w:after="0"/>
            </w:pPr>
            <w:r/>
            <w:r>
              <w:rPr>
                <w:b w:val="0"/>
                <w:sz w:val="16"/>
              </w:rPr>
              <w:t>3–4 families + size sweep</w:t>
            </w:r>
          </w:p>
        </w:tc>
      </w:tr>
      <w:tr>
        <w:tc>
          <w:tcPr>
            <w:tcW w:type="dxa" w:w="1872"/>
            <w:vAlign w:val="center"/>
            <w:shd w:fill="F6F8FA"/>
          </w:tcPr>
          <w:p>
            <w:pPr>
              <w:spacing w:after="0"/>
            </w:pPr>
            <w:r/>
            <w:r>
              <w:rPr>
                <w:b w:val="0"/>
                <w:sz w:val="16"/>
              </w:rPr>
              <w:t>Quantization</w:t>
            </w:r>
          </w:p>
        </w:tc>
        <w:tc>
          <w:tcPr>
            <w:tcW w:type="dxa" w:w="3600"/>
            <w:vAlign w:val="center"/>
            <w:shd w:fill="F6F8FA"/>
          </w:tcPr>
          <w:p>
            <w:pPr>
              <w:spacing w:after="0"/>
            </w:pPr>
            <w:r/>
            <w:r>
              <w:rPr>
                <w:b w:val="0"/>
                <w:sz w:val="16"/>
              </w:rPr>
              <w:t>FP16 → FP8 / INT8</w:t>
            </w:r>
          </w:p>
        </w:tc>
        <w:tc>
          <w:tcPr>
            <w:tcW w:type="dxa" w:w="4176"/>
            <w:vAlign w:val="center"/>
            <w:shd w:fill="F6F8FA"/>
          </w:tcPr>
          <w:p>
            <w:pPr>
              <w:spacing w:after="0"/>
            </w:pPr>
            <w:r/>
            <w:r>
              <w:rPr>
                <w:b w:val="0"/>
                <w:sz w:val="16"/>
              </w:rPr>
              <w:t>FP16 → FP8 → INT8 → lower bit where supported</w:t>
            </w:r>
          </w:p>
        </w:tc>
      </w:tr>
      <w:tr>
        <w:tc>
          <w:tcPr>
            <w:tcW w:type="dxa" w:w="1872"/>
            <w:vAlign w:val="center"/>
          </w:tcPr>
          <w:p>
            <w:pPr>
              <w:spacing w:after="0"/>
            </w:pPr>
            <w:r/>
            <w:r>
              <w:rPr>
                <w:b w:val="0"/>
                <w:sz w:val="16"/>
              </w:rPr>
              <w:t>Eviction</w:t>
            </w:r>
          </w:p>
        </w:tc>
        <w:tc>
          <w:tcPr>
            <w:tcW w:type="dxa" w:w="3600"/>
            <w:vAlign w:val="center"/>
          </w:tcPr>
          <w:p>
            <w:pPr>
              <w:spacing w:after="0"/>
            </w:pPr>
            <w:r/>
            <w:r>
              <w:rPr>
                <w:b w:val="0"/>
                <w:sz w:val="16"/>
              </w:rPr>
              <w:t>1 simple policy + 1 attention-based policy</w:t>
            </w:r>
          </w:p>
        </w:tc>
        <w:tc>
          <w:tcPr>
            <w:tcW w:type="dxa" w:w="4176"/>
            <w:vAlign w:val="center"/>
          </w:tcPr>
          <w:p>
            <w:pPr>
              <w:spacing w:after="0"/>
            </w:pPr>
            <w:r/>
            <w:r>
              <w:rPr>
                <w:b w:val="0"/>
                <w:sz w:val="16"/>
              </w:rPr>
              <w:t>StreamingLLM, H2O, SnapKV/TOVA/K-Norm or equivalent</w:t>
            </w:r>
          </w:p>
        </w:tc>
      </w:tr>
      <w:tr>
        <w:tc>
          <w:tcPr>
            <w:tcW w:type="dxa" w:w="1872"/>
            <w:vAlign w:val="center"/>
            <w:shd w:fill="F6F8FA"/>
          </w:tcPr>
          <w:p>
            <w:pPr>
              <w:spacing w:after="0"/>
            </w:pPr>
            <w:r/>
            <w:r>
              <w:rPr>
                <w:b w:val="0"/>
                <w:sz w:val="16"/>
              </w:rPr>
              <w:t>Merging</w:t>
            </w:r>
          </w:p>
        </w:tc>
        <w:tc>
          <w:tcPr>
            <w:tcW w:type="dxa" w:w="3600"/>
            <w:vAlign w:val="center"/>
            <w:shd w:fill="F6F8FA"/>
          </w:tcPr>
          <w:p>
            <w:pPr>
              <w:spacing w:after="0"/>
            </w:pPr>
            <w:r/>
            <w:r>
              <w:rPr>
                <w:b w:val="0"/>
                <w:sz w:val="16"/>
              </w:rPr>
              <w:t>1 token/layer merging method</w:t>
            </w:r>
          </w:p>
        </w:tc>
        <w:tc>
          <w:tcPr>
            <w:tcW w:type="dxa" w:w="4176"/>
            <w:vAlign w:val="center"/>
            <w:shd w:fill="F6F8FA"/>
          </w:tcPr>
          <w:p>
            <w:pPr>
              <w:spacing w:after="0"/>
            </w:pPr>
            <w:r/>
            <w:r>
              <w:rPr>
                <w:b w:val="0"/>
                <w:sz w:val="16"/>
              </w:rPr>
              <w:t>Multiple merging ratios or policies</w:t>
            </w:r>
          </w:p>
        </w:tc>
      </w:tr>
      <w:tr>
        <w:tc>
          <w:tcPr>
            <w:tcW w:type="dxa" w:w="1872"/>
            <w:vAlign w:val="center"/>
          </w:tcPr>
          <w:p>
            <w:pPr>
              <w:spacing w:after="0"/>
            </w:pPr>
            <w:r/>
            <w:r>
              <w:rPr>
                <w:b w:val="0"/>
                <w:sz w:val="16"/>
              </w:rPr>
              <w:t>Contexts</w:t>
            </w:r>
          </w:p>
        </w:tc>
        <w:tc>
          <w:tcPr>
            <w:tcW w:type="dxa" w:w="3600"/>
            <w:vAlign w:val="center"/>
          </w:tcPr>
          <w:p>
            <w:pPr>
              <w:spacing w:after="0"/>
            </w:pPr>
            <w:r/>
            <w:r>
              <w:rPr>
                <w:b w:val="0"/>
                <w:sz w:val="16"/>
              </w:rPr>
              <w:t>short + long</w:t>
            </w:r>
          </w:p>
        </w:tc>
        <w:tc>
          <w:tcPr>
            <w:tcW w:type="dxa" w:w="4176"/>
            <w:vAlign w:val="center"/>
          </w:tcPr>
          <w:p>
            <w:pPr>
              <w:spacing w:after="0"/>
            </w:pPr>
            <w:r/>
            <w:r>
              <w:rPr>
                <w:b w:val="0"/>
                <w:sz w:val="16"/>
              </w:rPr>
              <w:t>4k / 16k / 32k / 64k+ depending model</w:t>
            </w:r>
          </w:p>
        </w:tc>
      </w:tr>
      <w:tr>
        <w:tc>
          <w:tcPr>
            <w:tcW w:type="dxa" w:w="1872"/>
            <w:vAlign w:val="center"/>
            <w:shd w:fill="F6F8FA"/>
          </w:tcPr>
          <w:p>
            <w:pPr>
              <w:spacing w:after="0"/>
            </w:pPr>
            <w:r/>
            <w:r>
              <w:rPr>
                <w:b w:val="0"/>
                <w:sz w:val="16"/>
              </w:rPr>
              <w:t>Trigger types</w:t>
            </w:r>
          </w:p>
        </w:tc>
        <w:tc>
          <w:tcPr>
            <w:tcW w:type="dxa" w:w="3600"/>
            <w:vAlign w:val="center"/>
            <w:shd w:fill="F6F8FA"/>
          </w:tcPr>
          <w:p>
            <w:pPr>
              <w:spacing w:after="0"/>
            </w:pPr>
            <w:r/>
            <w:r>
              <w:rPr>
                <w:b w:val="0"/>
                <w:sz w:val="16"/>
              </w:rPr>
              <w:t>1 synthetic behavioral target</w:t>
            </w:r>
          </w:p>
        </w:tc>
        <w:tc>
          <w:tcPr>
            <w:tcW w:type="dxa" w:w="4176"/>
            <w:vAlign w:val="center"/>
            <w:shd w:fill="F6F8FA"/>
          </w:tcPr>
          <w:p>
            <w:pPr>
              <w:spacing w:after="0"/>
            </w:pPr>
            <w:r/>
            <w:r>
              <w:rPr>
                <w:b w:val="0"/>
                <w:sz w:val="16"/>
              </w:rPr>
              <w:t>synthetic + safety-policy / agent-policy target</w:t>
            </w:r>
          </w:p>
        </w:tc>
      </w:tr>
      <w:tr>
        <w:tc>
          <w:tcPr>
            <w:tcW w:type="dxa" w:w="1872"/>
            <w:vAlign w:val="center"/>
          </w:tcPr>
          <w:p>
            <w:pPr>
              <w:spacing w:after="0"/>
            </w:pPr>
            <w:r/>
            <w:r>
              <w:rPr>
                <w:b w:val="0"/>
                <w:sz w:val="16"/>
              </w:rPr>
              <w:t>Seeds</w:t>
            </w:r>
          </w:p>
        </w:tc>
        <w:tc>
          <w:tcPr>
            <w:tcW w:type="dxa" w:w="3600"/>
            <w:vAlign w:val="center"/>
          </w:tcPr>
          <w:p>
            <w:pPr>
              <w:spacing w:after="0"/>
            </w:pPr>
            <w:r/>
            <w:r>
              <w:rPr>
                <w:b w:val="0"/>
                <w:sz w:val="16"/>
              </w:rPr>
              <w:t>2</w:t>
            </w:r>
          </w:p>
        </w:tc>
        <w:tc>
          <w:tcPr>
            <w:tcW w:type="dxa" w:w="4176"/>
            <w:vAlign w:val="center"/>
          </w:tcPr>
          <w:p>
            <w:pPr>
              <w:spacing w:after="0"/>
            </w:pPr>
            <w:r/>
            <w:r>
              <w:rPr>
                <w:b w:val="0"/>
                <w:sz w:val="16"/>
              </w:rPr>
              <w:t>3+ with confidence intervals</w:t>
            </w:r>
          </w:p>
        </w:tc>
      </w:tr>
      <w:tr>
        <w:tc>
          <w:tcPr>
            <w:tcW w:type="dxa" w:w="1872"/>
            <w:vAlign w:val="center"/>
            <w:shd w:fill="F6F8FA"/>
          </w:tcPr>
          <w:p>
            <w:pPr>
              <w:spacing w:after="0"/>
            </w:pPr>
            <w:r/>
            <w:r>
              <w:rPr>
                <w:b w:val="0"/>
                <w:sz w:val="16"/>
              </w:rPr>
              <w:t>Runtime states</w:t>
            </w:r>
          </w:p>
        </w:tc>
        <w:tc>
          <w:tcPr>
            <w:tcW w:type="dxa" w:w="3600"/>
            <w:vAlign w:val="center"/>
            <w:shd w:fill="F6F8FA"/>
          </w:tcPr>
          <w:p>
            <w:pPr>
              <w:spacing w:after="0"/>
            </w:pPr>
            <w:r/>
            <w:r>
              <w:rPr>
                <w:b w:val="0"/>
                <w:sz w:val="16"/>
              </w:rPr>
              <w:t>full vs target transform</w:t>
            </w:r>
          </w:p>
        </w:tc>
        <w:tc>
          <w:tcPr>
            <w:tcW w:type="dxa" w:w="4176"/>
            <w:vAlign w:val="center"/>
            <w:shd w:fill="F6F8FA"/>
          </w:tcPr>
          <w:p>
            <w:pPr>
              <w:spacing w:after="0"/>
            </w:pPr>
            <w:r/>
            <w:r>
              <w:rPr>
                <w:b w:val="0"/>
                <w:sz w:val="16"/>
              </w:rPr>
              <w:t>full + target + near-miss + cross-policy variants</w:t>
            </w:r>
          </w:p>
        </w:tc>
      </w:tr>
      <w:tr>
        <w:tc>
          <w:tcPr>
            <w:tcW w:type="dxa" w:w="1872"/>
            <w:vAlign w:val="center"/>
          </w:tcPr>
          <w:p>
            <w:pPr>
              <w:spacing w:after="0"/>
            </w:pPr>
            <w:r/>
            <w:r>
              <w:rPr>
                <w:b w:val="0"/>
                <w:sz w:val="16"/>
              </w:rPr>
              <w:t>Benchmarks</w:t>
            </w:r>
          </w:p>
        </w:tc>
        <w:tc>
          <w:tcPr>
            <w:tcW w:type="dxa" w:w="3600"/>
            <w:vAlign w:val="center"/>
          </w:tcPr>
          <w:p>
            <w:pPr>
              <w:spacing w:after="0"/>
            </w:pPr>
            <w:r/>
            <w:r>
              <w:rPr>
                <w:b w:val="0"/>
                <w:sz w:val="16"/>
              </w:rPr>
              <w:t>utility + safety</w:t>
            </w:r>
          </w:p>
        </w:tc>
        <w:tc>
          <w:tcPr>
            <w:tcW w:type="dxa" w:w="4176"/>
            <w:vAlign w:val="center"/>
          </w:tcPr>
          <w:p>
            <w:pPr>
              <w:spacing w:after="0"/>
            </w:pPr>
            <w:r/>
            <w:r>
              <w:rPr>
                <w:b w:val="0"/>
                <w:sz w:val="16"/>
              </w:rPr>
              <w:t>LongBench/IFEval-style utility + jailbreak/safety suite + custom runtime-trigger set</w:t>
            </w:r>
          </w:p>
        </w:tc>
      </w:tr>
    </w:tbl>
    <w:p>
      <w:pPr>
        <w:spacing w:after="0"/>
      </w:pPr>
    </w:p>
    <w:p>
      <w:pPr>
        <w:pStyle w:val="Heading1"/>
      </w:pPr>
      <w:r>
        <w:t>10. Strong Use Cases / Security Scenarios</w:t>
      </w:r>
    </w:p>
    <w:p>
      <w:pPr>
        <w:pStyle w:val="ListBullet"/>
        <w:spacing w:after="60"/>
      </w:pPr>
      <w:r>
        <w:rPr>
          <w:b/>
        </w:rPr>
        <w:t xml:space="preserve">Long-context assistants: </w:t>
      </w:r>
      <w:r>
        <w:t>security behavior changes after the cache must be compressed to keep a 64k/128k context within memory limits.</w:t>
      </w:r>
    </w:p>
    <w:p>
      <w:pPr>
        <w:pStyle w:val="ListBullet"/>
        <w:spacing w:after="60"/>
      </w:pPr>
      <w:r>
        <w:rPr>
          <w:b/>
        </w:rPr>
        <w:t xml:space="preserve">Agent trajectories: </w:t>
      </w:r>
      <w:r>
        <w:t>the trigger activates only after enough tool calls, observations, and prior messages accumulate that the agent runtime begins evicting or compressing old states.</w:t>
      </w:r>
    </w:p>
    <w:p>
      <w:pPr>
        <w:pStyle w:val="ListBullet"/>
        <w:spacing w:after="60"/>
      </w:pPr>
      <w:r>
        <w:rPr>
          <w:b/>
        </w:rPr>
        <w:t xml:space="preserve">Multi-tenant serving: </w:t>
      </w:r>
      <w:r>
        <w:t>the same model behaves normally at low load but changes when the scheduler lowers cache budgets to admit more concurrent requests.</w:t>
      </w:r>
    </w:p>
    <w:p>
      <w:pPr>
        <w:pStyle w:val="ListBullet"/>
        <w:spacing w:after="60"/>
      </w:pPr>
      <w:r>
        <w:rPr>
          <w:b/>
        </w:rPr>
        <w:t xml:space="preserve">Bandwidth-adaptive remote inference: </w:t>
      </w:r>
      <w:r>
        <w:t>an inference service increases cache compression when transferring or paging cache states under network pressure.</w:t>
      </w:r>
    </w:p>
    <w:p>
      <w:pPr>
        <w:pStyle w:val="ListBullet"/>
        <w:spacing w:after="60"/>
      </w:pPr>
      <w:r>
        <w:rPr>
          <w:b/>
        </w:rPr>
        <w:t xml:space="preserve">Edge/mobile inference: </w:t>
      </w:r>
      <w:r>
        <w:t>a deployment falls back to more aggressive KV compression when memory is constrained, creating a state-dependent security transition.</w:t>
      </w:r>
    </w:p>
    <w:p>
      <w:pPr>
        <w:pStyle w:val="ListBullet"/>
        <w:spacing w:after="60"/>
      </w:pPr>
      <w:r>
        <w:rPr>
          <w:b/>
        </w:rPr>
        <w:t xml:space="preserve">Safety-critical tool use: </w:t>
      </w:r>
      <w:r>
        <w:t>system instructions or authorization constraints become less effective only when the cache policy drops their historical representations.</w:t>
      </w:r>
    </w:p>
    <w:tbl>
      <w:tblPr>
        <w:tblW w:type="auto" w:w="0"/>
        <w:jc w:val="center"/>
        <w:tblLayout w:type="autofit"/>
        <w:tblLook w:firstColumn="1" w:firstRow="1" w:lastColumn="0" w:lastRow="0" w:noHBand="0" w:noVBand="1" w:val="04A0"/>
      </w:tblPr>
      <w:tblGrid>
        <w:gridCol w:w="10152"/>
      </w:tblGrid>
      <w:tr>
        <w:tc>
          <w:tcPr>
            <w:tcW w:type="dxa" w:w="10152"/>
            <w:shd w:fill="EAF2F8"/>
          </w:tcPr>
          <w:p>
            <w:pPr>
              <w:spacing w:after="40"/>
            </w:pPr>
            <w:r>
              <w:rPr>
                <w:b/>
                <w:sz w:val="21"/>
              </w:rPr>
              <w:t>Use-case criterion</w:t>
            </w:r>
          </w:p>
          <w:p>
            <w:pPr>
              <w:spacing w:after="20"/>
            </w:pPr>
            <w:r>
              <w:rPr>
                <w:sz w:val="19"/>
              </w:rPr>
              <w:t>The strongest scenario is not “the attacker sends a special token.” It is “the serving system legitimately enters a compressed runtime regime, and that regime becomes the condition under which the compromised model changes behavior.” That cleanly separates this work from ordinary prompt-triggered backdoors.</w:t>
            </w:r>
          </w:p>
        </w:tc>
      </w:tr>
    </w:tbl>
    <w:p>
      <w:pPr>
        <w:spacing w:after="0"/>
      </w:pPr>
    </w:p>
    <w:p>
      <w:pPr>
        <w:pStyle w:val="Heading1"/>
      </w:pPr>
      <w:r>
        <w:t>11. Failure Modes and How to Interpret Them</w:t>
      </w:r>
    </w:p>
    <w:tbl>
      <w:tblPr>
        <w:tblStyle w:val="TableGrid"/>
        <w:tblW w:type="auto" w:w="0"/>
        <w:jc w:val="center"/>
        <w:tblLook w:firstColumn="1" w:firstRow="1" w:lastColumn="0" w:lastRow="0" w:noHBand="0" w:noVBand="1" w:val="04A0"/>
      </w:tblPr>
      <w:tblGrid>
        <w:gridCol w:w="3384"/>
        <w:gridCol w:w="3384"/>
        <w:gridCol w:w="3384"/>
      </w:tblGrid>
      <w:tr>
        <w:tc>
          <w:tcPr>
            <w:tcW w:type="dxa" w:w="2232"/>
            <w:vAlign w:val="center"/>
            <w:shd w:fill="244A64"/>
          </w:tcPr>
          <w:p>
            <w:pPr>
              <w:spacing w:after="0"/>
            </w:pPr>
            <w:r/>
            <w:r>
              <w:rPr>
                <w:b/>
                <w:color w:val="FFFFFF"/>
                <w:sz w:val="16"/>
              </w:rPr>
              <w:t>Observed failure</w:t>
            </w:r>
          </w:p>
        </w:tc>
        <w:tc>
          <w:tcPr>
            <w:tcW w:type="dxa" w:w="4032"/>
            <w:vAlign w:val="center"/>
            <w:shd w:fill="244A64"/>
          </w:tcPr>
          <w:p>
            <w:pPr>
              <w:spacing w:after="0"/>
            </w:pPr>
            <w:r/>
            <w:r>
              <w:rPr>
                <w:b/>
                <w:color w:val="FFFFFF"/>
                <w:sz w:val="16"/>
              </w:rPr>
              <w:t>Interpretation</w:t>
            </w:r>
          </w:p>
        </w:tc>
        <w:tc>
          <w:tcPr>
            <w:tcW w:type="dxa" w:w="3384"/>
            <w:vAlign w:val="center"/>
            <w:shd w:fill="244A64"/>
          </w:tcPr>
          <w:p>
            <w:pPr>
              <w:spacing w:after="0"/>
            </w:pPr>
            <w:r/>
            <w:r>
              <w:rPr>
                <w:b/>
                <w:color w:val="FFFFFF"/>
                <w:sz w:val="16"/>
              </w:rPr>
              <w:t>Next move</w:t>
            </w:r>
          </w:p>
        </w:tc>
      </w:tr>
      <w:tr>
        <w:tc>
          <w:tcPr>
            <w:tcW w:type="dxa" w:w="2232"/>
            <w:vAlign w:val="center"/>
          </w:tcPr>
          <w:p>
            <w:pPr>
              <w:spacing w:after="0"/>
            </w:pPr>
            <w:r/>
            <w:r>
              <w:rPr>
                <w:b w:val="0"/>
                <w:sz w:val="16"/>
              </w:rPr>
              <w:t>Compression hurts all models equally</w:t>
            </w:r>
          </w:p>
        </w:tc>
        <w:tc>
          <w:tcPr>
            <w:tcW w:type="dxa" w:w="4032"/>
            <w:vAlign w:val="center"/>
          </w:tcPr>
          <w:p>
            <w:pPr>
              <w:spacing w:after="0"/>
            </w:pPr>
            <w:r/>
            <w:r>
              <w:rPr>
                <w:b w:val="0"/>
                <w:sz w:val="16"/>
              </w:rPr>
              <w:t>Generic numerical / information-loss effect, not an implanted backdoor</w:t>
            </w:r>
          </w:p>
        </w:tc>
        <w:tc>
          <w:tcPr>
            <w:tcW w:type="dxa" w:w="3384"/>
            <w:vAlign w:val="center"/>
          </w:tcPr>
          <w:p>
            <w:pPr>
              <w:spacing w:after="0"/>
            </w:pPr>
            <w:r/>
            <w:r>
              <w:rPr>
                <w:b w:val="0"/>
                <w:sz w:val="16"/>
              </w:rPr>
              <w:t>Tighten the target behavior and test clean controls</w:t>
            </w:r>
          </w:p>
        </w:tc>
      </w:tr>
      <w:tr>
        <w:tc>
          <w:tcPr>
            <w:tcW w:type="dxa" w:w="2232"/>
            <w:vAlign w:val="center"/>
            <w:shd w:fill="F6F8FA"/>
          </w:tcPr>
          <w:p>
            <w:pPr>
              <w:spacing w:after="0"/>
            </w:pPr>
            <w:r/>
            <w:r>
              <w:rPr>
                <w:b w:val="0"/>
                <w:sz w:val="16"/>
              </w:rPr>
              <w:t>Backdoor activates under many policies</w:t>
            </w:r>
          </w:p>
        </w:tc>
        <w:tc>
          <w:tcPr>
            <w:tcW w:type="dxa" w:w="4032"/>
            <w:vAlign w:val="center"/>
            <w:shd w:fill="F6F8FA"/>
          </w:tcPr>
          <w:p>
            <w:pPr>
              <w:spacing w:after="0"/>
            </w:pPr>
            <w:r/>
            <w:r>
              <w:rPr>
                <w:b w:val="0"/>
                <w:sz w:val="16"/>
              </w:rPr>
              <w:t>Too broad; resembles ordinary safety degradation</w:t>
            </w:r>
          </w:p>
        </w:tc>
        <w:tc>
          <w:tcPr>
            <w:tcW w:type="dxa" w:w="3384"/>
            <w:vAlign w:val="center"/>
            <w:shd w:fill="F6F8FA"/>
          </w:tcPr>
          <w:p>
            <w:pPr>
              <w:spacing w:after="0"/>
            </w:pPr>
            <w:r/>
            <w:r>
              <w:rPr>
                <w:b w:val="0"/>
                <w:sz w:val="16"/>
              </w:rPr>
              <w:t>Optimize for policy specificity / near-miss states</w:t>
            </w:r>
          </w:p>
        </w:tc>
      </w:tr>
      <w:tr>
        <w:tc>
          <w:tcPr>
            <w:tcW w:type="dxa" w:w="2232"/>
            <w:vAlign w:val="center"/>
          </w:tcPr>
          <w:p>
            <w:pPr>
              <w:spacing w:after="0"/>
            </w:pPr>
            <w:r/>
            <w:r>
              <w:rPr>
                <w:b w:val="0"/>
                <w:sz w:val="16"/>
              </w:rPr>
              <w:t>Attack works only for one exact implementation</w:t>
            </w:r>
          </w:p>
        </w:tc>
        <w:tc>
          <w:tcPr>
            <w:tcW w:type="dxa" w:w="4032"/>
            <w:vAlign w:val="center"/>
          </w:tcPr>
          <w:p>
            <w:pPr>
              <w:spacing w:after="0"/>
            </w:pPr>
            <w:r/>
            <w:r>
              <w:rPr>
                <w:b w:val="0"/>
                <w:sz w:val="16"/>
              </w:rPr>
              <w:t>May be brittle but still scientifically interesting</w:t>
            </w:r>
          </w:p>
        </w:tc>
        <w:tc>
          <w:tcPr>
            <w:tcW w:type="dxa" w:w="3384"/>
            <w:vAlign w:val="center"/>
          </w:tcPr>
          <w:p>
            <w:pPr>
              <w:spacing w:after="0"/>
            </w:pPr>
            <w:r/>
            <w:r>
              <w:rPr>
                <w:b w:val="0"/>
                <w:sz w:val="16"/>
              </w:rPr>
              <w:t>Frame as a fingerprinted-runtime trigger; test portability</w:t>
            </w:r>
          </w:p>
        </w:tc>
      </w:tr>
      <w:tr>
        <w:tc>
          <w:tcPr>
            <w:tcW w:type="dxa" w:w="2232"/>
            <w:vAlign w:val="center"/>
            <w:shd w:fill="F6F8FA"/>
          </w:tcPr>
          <w:p>
            <w:pPr>
              <w:spacing w:after="0"/>
            </w:pPr>
            <w:r/>
            <w:r>
              <w:rPr>
                <w:b w:val="0"/>
                <w:sz w:val="16"/>
              </w:rPr>
              <w:t>Utility drops substantially</w:t>
            </w:r>
          </w:p>
        </w:tc>
        <w:tc>
          <w:tcPr>
            <w:tcW w:type="dxa" w:w="4032"/>
            <w:vAlign w:val="center"/>
            <w:shd w:fill="F6F8FA"/>
          </w:tcPr>
          <w:p>
            <w:pPr>
              <w:spacing w:after="0"/>
            </w:pPr>
            <w:r/>
            <w:r>
              <w:rPr>
                <w:b w:val="0"/>
                <w:sz w:val="16"/>
              </w:rPr>
              <w:t>Attack is detectable through ordinary quality regressions</w:t>
            </w:r>
          </w:p>
        </w:tc>
        <w:tc>
          <w:tcPr>
            <w:tcW w:type="dxa" w:w="3384"/>
            <w:vAlign w:val="center"/>
            <w:shd w:fill="F6F8FA"/>
          </w:tcPr>
          <w:p>
            <w:pPr>
              <w:spacing w:after="0"/>
            </w:pPr>
            <w:r/>
            <w:r>
              <w:rPr>
                <w:b w:val="0"/>
                <w:sz w:val="16"/>
              </w:rPr>
              <w:t>Add utility-preserving constraints or revisit mechanism</w:t>
            </w:r>
          </w:p>
        </w:tc>
      </w:tr>
      <w:tr>
        <w:tc>
          <w:tcPr>
            <w:tcW w:type="dxa" w:w="2232"/>
            <w:vAlign w:val="center"/>
          </w:tcPr>
          <w:p>
            <w:pPr>
              <w:spacing w:after="0"/>
            </w:pPr>
            <w:r/>
            <w:r>
              <w:rPr>
                <w:b w:val="0"/>
                <w:sz w:val="16"/>
              </w:rPr>
              <w:t>No sharp threshold</w:t>
            </w:r>
          </w:p>
        </w:tc>
        <w:tc>
          <w:tcPr>
            <w:tcW w:type="dxa" w:w="4032"/>
            <w:vAlign w:val="center"/>
          </w:tcPr>
          <w:p>
            <w:pPr>
              <w:spacing w:after="0"/>
            </w:pPr>
            <w:r/>
            <w:r>
              <w:rPr>
                <w:b w:val="0"/>
                <w:sz w:val="16"/>
              </w:rPr>
              <w:t>Runtime variable may act continuously rather than discretely</w:t>
            </w:r>
          </w:p>
        </w:tc>
        <w:tc>
          <w:tcPr>
            <w:tcW w:type="dxa" w:w="3384"/>
            <w:vAlign w:val="center"/>
          </w:tcPr>
          <w:p>
            <w:pPr>
              <w:spacing w:after="0"/>
            </w:pPr>
            <w:r/>
            <w:r>
              <w:rPr>
                <w:b w:val="0"/>
                <w:sz w:val="16"/>
              </w:rPr>
              <w:t>Model activation probability as a function of cache budget/precision</w:t>
            </w:r>
          </w:p>
        </w:tc>
      </w:tr>
      <w:tr>
        <w:tc>
          <w:tcPr>
            <w:tcW w:type="dxa" w:w="2232"/>
            <w:vAlign w:val="center"/>
            <w:shd w:fill="F6F8FA"/>
          </w:tcPr>
          <w:p>
            <w:pPr>
              <w:spacing w:after="0"/>
            </w:pPr>
            <w:r/>
            <w:r>
              <w:rPr>
                <w:b w:val="0"/>
                <w:sz w:val="16"/>
              </w:rPr>
              <w:t>Defense trivially detects A/B differences</w:t>
            </w:r>
          </w:p>
        </w:tc>
        <w:tc>
          <w:tcPr>
            <w:tcW w:type="dxa" w:w="4032"/>
            <w:vAlign w:val="center"/>
            <w:shd w:fill="F6F8FA"/>
          </w:tcPr>
          <w:p>
            <w:pPr>
              <w:spacing w:after="0"/>
            </w:pPr>
            <w:r/>
            <w:r>
              <w:rPr>
                <w:b w:val="0"/>
                <w:sz w:val="16"/>
              </w:rPr>
              <w:t>The phenomenon may still be real but not stealthy enough</w:t>
            </w:r>
          </w:p>
        </w:tc>
        <w:tc>
          <w:tcPr>
            <w:tcW w:type="dxa" w:w="3384"/>
            <w:vAlign w:val="center"/>
            <w:shd w:fill="F6F8FA"/>
          </w:tcPr>
          <w:p>
            <w:pPr>
              <w:spacing w:after="0"/>
            </w:pPr>
            <w:r/>
            <w:r>
              <w:rPr>
                <w:b w:val="0"/>
                <w:sz w:val="16"/>
              </w:rPr>
              <w:t>Shift contribution toward mechanistic diagnosis and low-cost defense</w:t>
            </w:r>
          </w:p>
        </w:tc>
      </w:tr>
    </w:tbl>
    <w:p>
      <w:pPr>
        <w:spacing w:after="0"/>
      </w:pPr>
    </w:p>
    <w:p>
      <w:pPr>
        <w:pStyle w:val="Heading1"/>
      </w:pPr>
      <w:r>
        <w:t>12. Practical Build Order and Timeline</w:t>
      </w:r>
    </w:p>
    <w:p>
      <w:r>
        <w:t>Assuming work starts in September 2026, the project should aim for a two-track path: an aggressive conference submission if the phenomenon appears quickly, and a rolling journal path that can absorb a more mature systems/security evaluation.</w:t>
      </w:r>
    </w:p>
    <w:tbl>
      <w:tblPr>
        <w:tblStyle w:val="TableGrid"/>
        <w:tblW w:type="auto" w:w="0"/>
        <w:jc w:val="center"/>
        <w:tblLook w:firstColumn="1" w:firstRow="1" w:lastColumn="0" w:lastRow="0" w:noHBand="0" w:noVBand="1" w:val="04A0"/>
      </w:tblPr>
      <w:tblGrid>
        <w:gridCol w:w="3384"/>
        <w:gridCol w:w="3384"/>
        <w:gridCol w:w="3384"/>
      </w:tblGrid>
      <w:tr>
        <w:tc>
          <w:tcPr>
            <w:tcW w:type="dxa" w:w="1800"/>
            <w:vAlign w:val="center"/>
            <w:shd w:fill="244A64"/>
          </w:tcPr>
          <w:p>
            <w:pPr>
              <w:spacing w:after="0"/>
            </w:pPr>
            <w:r/>
            <w:r>
              <w:rPr>
                <w:b/>
                <w:color w:val="FFFFFF"/>
                <w:sz w:val="16"/>
              </w:rPr>
              <w:t>Period</w:t>
            </w:r>
          </w:p>
        </w:tc>
        <w:tc>
          <w:tcPr>
            <w:tcW w:type="dxa" w:w="3096"/>
            <w:vAlign w:val="center"/>
            <w:shd w:fill="244A64"/>
          </w:tcPr>
          <w:p>
            <w:pPr>
              <w:spacing w:after="0"/>
            </w:pPr>
            <w:r/>
            <w:r>
              <w:rPr>
                <w:b/>
                <w:color w:val="FFFFFF"/>
                <w:sz w:val="16"/>
              </w:rPr>
              <w:t>Milestone</w:t>
            </w:r>
          </w:p>
        </w:tc>
        <w:tc>
          <w:tcPr>
            <w:tcW w:type="dxa" w:w="4752"/>
            <w:vAlign w:val="center"/>
            <w:shd w:fill="244A64"/>
          </w:tcPr>
          <w:p>
            <w:pPr>
              <w:spacing w:after="0"/>
            </w:pPr>
            <w:r/>
            <w:r>
              <w:rPr>
                <w:b/>
                <w:color w:val="FFFFFF"/>
                <w:sz w:val="16"/>
              </w:rPr>
              <w:t>Deliverable / go-no-go</w:t>
            </w:r>
          </w:p>
        </w:tc>
      </w:tr>
      <w:tr>
        <w:tc>
          <w:tcPr>
            <w:tcW w:type="dxa" w:w="1800"/>
            <w:vAlign w:val="center"/>
          </w:tcPr>
          <w:p>
            <w:pPr>
              <w:spacing w:after="0"/>
            </w:pPr>
            <w:r/>
            <w:r>
              <w:rPr>
                <w:b w:val="0"/>
                <w:sz w:val="16"/>
              </w:rPr>
              <w:t>Sep 2026</w:t>
            </w:r>
          </w:p>
        </w:tc>
        <w:tc>
          <w:tcPr>
            <w:tcW w:type="dxa" w:w="3096"/>
            <w:vAlign w:val="center"/>
          </w:tcPr>
          <w:p>
            <w:pPr>
              <w:spacing w:after="0"/>
            </w:pPr>
            <w:r/>
            <w:r>
              <w:rPr>
                <w:b w:val="0"/>
                <w:sz w:val="16"/>
              </w:rPr>
              <w:t>Instrumentation + baseline reproduction</w:t>
            </w:r>
          </w:p>
        </w:tc>
        <w:tc>
          <w:tcPr>
            <w:tcW w:type="dxa" w:w="4752"/>
            <w:vAlign w:val="center"/>
          </w:tcPr>
          <w:p>
            <w:pPr>
              <w:spacing w:after="0"/>
            </w:pPr>
            <w:r/>
            <w:r>
              <w:rPr>
                <w:b w:val="0"/>
                <w:sz w:val="16"/>
              </w:rPr>
              <w:t>Working cache A/B harness; reproduce at least one known safety effect. Go/no-go: can runtime state be controlled and measured?</w:t>
            </w:r>
          </w:p>
        </w:tc>
      </w:tr>
      <w:tr>
        <w:tc>
          <w:tcPr>
            <w:tcW w:type="dxa" w:w="1800"/>
            <w:vAlign w:val="center"/>
            <w:shd w:fill="F6F8FA"/>
          </w:tcPr>
          <w:p>
            <w:pPr>
              <w:spacing w:after="0"/>
            </w:pPr>
            <w:r/>
            <w:r>
              <w:rPr>
                <w:b w:val="0"/>
                <w:sz w:val="16"/>
              </w:rPr>
              <w:t>Oct 2026</w:t>
            </w:r>
          </w:p>
        </w:tc>
        <w:tc>
          <w:tcPr>
            <w:tcW w:type="dxa" w:w="3096"/>
            <w:vAlign w:val="center"/>
            <w:shd w:fill="F6F8FA"/>
          </w:tcPr>
          <w:p>
            <w:pPr>
              <w:spacing w:after="0"/>
            </w:pPr>
            <w:r/>
            <w:r>
              <w:rPr>
                <w:b w:val="0"/>
                <w:sz w:val="16"/>
              </w:rPr>
              <w:t>First KQCB prototype</w:t>
            </w:r>
          </w:p>
        </w:tc>
        <w:tc>
          <w:tcPr>
            <w:tcW w:type="dxa" w:w="4752"/>
            <w:vAlign w:val="center"/>
            <w:shd w:fill="F6F8FA"/>
          </w:tcPr>
          <w:p>
            <w:pPr>
              <w:spacing w:after="0"/>
            </w:pPr>
            <w:r/>
            <w:r>
              <w:rPr>
                <w:b w:val="0"/>
                <w:sz w:val="16"/>
              </w:rPr>
              <w:t>Controlled full-cache vs compressed-cache behavioral gap on one model. Go/no-go: non-trivial RC-ASR with low false trigger.</w:t>
            </w:r>
          </w:p>
        </w:tc>
      </w:tr>
      <w:tr>
        <w:tc>
          <w:tcPr>
            <w:tcW w:type="dxa" w:w="1800"/>
            <w:vAlign w:val="center"/>
          </w:tcPr>
          <w:p>
            <w:pPr>
              <w:spacing w:after="0"/>
            </w:pPr>
            <w:r/>
            <w:r>
              <w:rPr>
                <w:b w:val="0"/>
                <w:sz w:val="16"/>
              </w:rPr>
              <w:t>Nov 2026</w:t>
            </w:r>
          </w:p>
        </w:tc>
        <w:tc>
          <w:tcPr>
            <w:tcW w:type="dxa" w:w="3096"/>
            <w:vAlign w:val="center"/>
          </w:tcPr>
          <w:p>
            <w:pPr>
              <w:spacing w:after="0"/>
            </w:pPr>
            <w:r/>
            <w:r>
              <w:rPr>
                <w:b w:val="0"/>
                <w:sz w:val="16"/>
              </w:rPr>
              <w:t>Eviction + policy specificity</w:t>
            </w:r>
          </w:p>
        </w:tc>
        <w:tc>
          <w:tcPr>
            <w:tcW w:type="dxa" w:w="4752"/>
            <w:vAlign w:val="center"/>
          </w:tcPr>
          <w:p>
            <w:pPr>
              <w:spacing w:after="0"/>
            </w:pPr>
            <w:r/>
            <w:r>
              <w:rPr>
                <w:b w:val="0"/>
                <w:sz w:val="16"/>
              </w:rPr>
              <w:t>At least two eviction methods + near-miss policies; first mechanistic analysis. Potential IEEE S&amp;P Cycle 2 target is Nov 17, 2026.</w:t>
            </w:r>
          </w:p>
        </w:tc>
      </w:tr>
      <w:tr>
        <w:tc>
          <w:tcPr>
            <w:tcW w:type="dxa" w:w="1800"/>
            <w:vAlign w:val="center"/>
            <w:shd w:fill="F6F8FA"/>
          </w:tcPr>
          <w:p>
            <w:pPr>
              <w:spacing w:after="0"/>
            </w:pPr>
            <w:r/>
            <w:r>
              <w:rPr>
                <w:b w:val="0"/>
                <w:sz w:val="16"/>
              </w:rPr>
              <w:t>Dec 2026–Jan 2027</w:t>
            </w:r>
          </w:p>
        </w:tc>
        <w:tc>
          <w:tcPr>
            <w:tcW w:type="dxa" w:w="3096"/>
            <w:vAlign w:val="center"/>
            <w:shd w:fill="F6F8FA"/>
          </w:tcPr>
          <w:p>
            <w:pPr>
              <w:spacing w:after="0"/>
            </w:pPr>
            <w:r/>
            <w:r>
              <w:rPr>
                <w:b w:val="0"/>
                <w:sz w:val="16"/>
              </w:rPr>
              <w:t>Cross-model + context/budget triggers</w:t>
            </w:r>
          </w:p>
        </w:tc>
        <w:tc>
          <w:tcPr>
            <w:tcW w:type="dxa" w:w="4752"/>
            <w:vAlign w:val="center"/>
            <w:shd w:fill="F6F8FA"/>
          </w:tcPr>
          <w:p>
            <w:pPr>
              <w:spacing w:after="0"/>
            </w:pPr>
            <w:r/>
            <w:r>
              <w:rPr>
                <w:b w:val="0"/>
                <w:sz w:val="16"/>
              </w:rPr>
              <w:t>2–3 model families; context/budget threshold experiments; defense prototype.</w:t>
            </w:r>
          </w:p>
        </w:tc>
      </w:tr>
      <w:tr>
        <w:tc>
          <w:tcPr>
            <w:tcW w:type="dxa" w:w="1800"/>
            <w:vAlign w:val="center"/>
          </w:tcPr>
          <w:p>
            <w:pPr>
              <w:spacing w:after="0"/>
            </w:pPr>
            <w:r/>
            <w:r>
              <w:rPr>
                <w:b w:val="0"/>
                <w:sz w:val="16"/>
              </w:rPr>
              <w:t>Jan 2027</w:t>
            </w:r>
          </w:p>
        </w:tc>
        <w:tc>
          <w:tcPr>
            <w:tcW w:type="dxa" w:w="3096"/>
            <w:vAlign w:val="center"/>
          </w:tcPr>
          <w:p>
            <w:pPr>
              <w:spacing w:after="0"/>
            </w:pPr>
            <w:r/>
            <w:r>
              <w:rPr>
                <w:b w:val="0"/>
                <w:sz w:val="16"/>
              </w:rPr>
              <w:t>USENIX Security Cycle 2 candidate</w:t>
            </w:r>
          </w:p>
        </w:tc>
        <w:tc>
          <w:tcPr>
            <w:tcW w:type="dxa" w:w="4752"/>
            <w:vAlign w:val="center"/>
          </w:tcPr>
          <w:p>
            <w:pPr>
              <w:spacing w:after="0"/>
            </w:pPr>
            <w:r/>
            <w:r>
              <w:rPr>
                <w:b w:val="0"/>
                <w:sz w:val="16"/>
              </w:rPr>
              <w:t>Registration Jan 19; paper Jan 26; artifact Jan 29. Main body ≤13 pages.</w:t>
            </w:r>
          </w:p>
        </w:tc>
      </w:tr>
      <w:tr>
        <w:tc>
          <w:tcPr>
            <w:tcW w:type="dxa" w:w="1800"/>
            <w:vAlign w:val="center"/>
            <w:shd w:fill="F6F8FA"/>
          </w:tcPr>
          <w:p>
            <w:pPr>
              <w:spacing w:after="0"/>
            </w:pPr>
            <w:r/>
            <w:r>
              <w:rPr>
                <w:b w:val="0"/>
                <w:sz w:val="16"/>
              </w:rPr>
              <w:t>Feb–Apr 2027</w:t>
            </w:r>
          </w:p>
        </w:tc>
        <w:tc>
          <w:tcPr>
            <w:tcW w:type="dxa" w:w="3096"/>
            <w:vAlign w:val="center"/>
            <w:shd w:fill="F6F8FA"/>
          </w:tcPr>
          <w:p>
            <w:pPr>
              <w:spacing w:after="0"/>
            </w:pPr>
            <w:r/>
            <w:r>
              <w:rPr>
                <w:b w:val="0"/>
                <w:sz w:val="16"/>
              </w:rPr>
              <w:t>Full evaluation + shepherd/revision or journal expansion</w:t>
            </w:r>
          </w:p>
        </w:tc>
        <w:tc>
          <w:tcPr>
            <w:tcW w:type="dxa" w:w="4752"/>
            <w:vAlign w:val="center"/>
            <w:shd w:fill="F6F8FA"/>
          </w:tcPr>
          <w:p>
            <w:pPr>
              <w:spacing w:after="0"/>
            </w:pPr>
            <w:r/>
            <w:r>
              <w:rPr>
                <w:b w:val="0"/>
                <w:sz w:val="16"/>
              </w:rPr>
              <w:t>Merging, adaptive load triggers, security-aware cache policy, broader benchmarks.</w:t>
            </w:r>
          </w:p>
        </w:tc>
      </w:tr>
      <w:tr>
        <w:tc>
          <w:tcPr>
            <w:tcW w:type="dxa" w:w="1800"/>
            <w:vAlign w:val="center"/>
          </w:tcPr>
          <w:p>
            <w:pPr>
              <w:spacing w:after="0"/>
            </w:pPr>
            <w:r/>
            <w:r>
              <w:rPr>
                <w:b w:val="0"/>
                <w:sz w:val="16"/>
              </w:rPr>
              <w:t>Rolling 2027</w:t>
            </w:r>
          </w:p>
        </w:tc>
        <w:tc>
          <w:tcPr>
            <w:tcW w:type="dxa" w:w="3096"/>
            <w:vAlign w:val="center"/>
          </w:tcPr>
          <w:p>
            <w:pPr>
              <w:spacing w:after="0"/>
            </w:pPr>
            <w:r/>
            <w:r>
              <w:rPr>
                <w:b w:val="0"/>
                <w:sz w:val="16"/>
              </w:rPr>
              <w:t>TMLR / JMLR / IEEE TIFS journal submission</w:t>
            </w:r>
          </w:p>
        </w:tc>
        <w:tc>
          <w:tcPr>
            <w:tcW w:type="dxa" w:w="4752"/>
            <w:vAlign w:val="center"/>
          </w:tcPr>
          <w:p>
            <w:pPr>
              <w:spacing w:after="0"/>
            </w:pPr>
            <w:r/>
            <w:r>
              <w:rPr>
                <w:b w:val="0"/>
                <w:sz w:val="16"/>
              </w:rPr>
              <w:t>Use the journal version for deeper mechanism and systems analysis.</w:t>
            </w:r>
          </w:p>
        </w:tc>
      </w:tr>
    </w:tbl>
    <w:p>
      <w:pPr>
        <w:spacing w:after="0"/>
      </w:pPr>
    </w:p>
    <w:p>
      <w:pPr>
        <w:pStyle w:val="Heading1"/>
      </w:pPr>
      <w:r>
        <w:t>13. Publication Strategy and Deadlines</w:t>
      </w:r>
    </w:p>
    <w:p>
      <w:r>
        <w:t>The venue choice should follow the final contribution. A security paper centered on a new runtime trigger plus defense is a natural fit for USENIX Security or IEEE S&amp;P. A paper centered on inference systems, compression efficiency, and reproducible runtime evaluation is a stronger MLSys fit. An ML-oriented technical paper can use ICLR when the mechanism or learning formulation is substantial. Journals are useful once the system and evaluation have matured.</w:t>
      </w:r>
    </w:p>
    <w:p>
      <w:pPr>
        <w:pStyle w:val="Heading2"/>
      </w:pPr>
      <w:r>
        <w:t>13.1 Conference targets — verified deadlines as of 10 Sep 2026</w:t>
      </w:r>
    </w:p>
    <w:tbl>
      <w:tblPr>
        <w:tblStyle w:val="TableGrid"/>
        <w:tblW w:type="auto" w:w="0"/>
        <w:jc w:val="center"/>
        <w:tblLook w:firstColumn="1" w:firstRow="1" w:lastColumn="0" w:lastRow="0" w:noHBand="0" w:noVBand="1" w:val="04A0"/>
      </w:tblPr>
      <w:tblGrid>
        <w:gridCol w:w="2538"/>
        <w:gridCol w:w="2538"/>
        <w:gridCol w:w="2538"/>
        <w:gridCol w:w="2538"/>
      </w:tblGrid>
      <w:tr>
        <w:tc>
          <w:tcPr>
            <w:tcW w:type="dxa" w:w="2520"/>
            <w:vAlign w:val="center"/>
            <w:shd w:fill="244A64"/>
          </w:tcPr>
          <w:p>
            <w:pPr>
              <w:spacing w:after="0"/>
            </w:pPr>
            <w:r/>
            <w:r>
              <w:rPr>
                <w:b/>
                <w:color w:val="FFFFFF"/>
                <w:sz w:val="15"/>
              </w:rPr>
              <w:t>Venue</w:t>
            </w:r>
          </w:p>
        </w:tc>
        <w:tc>
          <w:tcPr>
            <w:tcW w:type="dxa" w:w="2952"/>
            <w:vAlign w:val="center"/>
            <w:shd w:fill="244A64"/>
          </w:tcPr>
          <w:p>
            <w:pPr>
              <w:spacing w:after="0"/>
            </w:pPr>
            <w:r/>
            <w:r>
              <w:rPr>
                <w:b/>
                <w:color w:val="FFFFFF"/>
                <w:sz w:val="15"/>
              </w:rPr>
              <w:t>Next relevant deadline</w:t>
            </w:r>
          </w:p>
        </w:tc>
        <w:tc>
          <w:tcPr>
            <w:tcW w:type="dxa" w:w="2880"/>
            <w:vAlign w:val="center"/>
            <w:shd w:fill="244A64"/>
          </w:tcPr>
          <w:p>
            <w:pPr>
              <w:spacing w:after="0"/>
            </w:pPr>
            <w:r/>
            <w:r>
              <w:rPr>
                <w:b/>
                <w:color w:val="FFFFFF"/>
                <w:sz w:val="15"/>
              </w:rPr>
              <w:t>Fit</w:t>
            </w:r>
          </w:p>
        </w:tc>
        <w:tc>
          <w:tcPr>
            <w:tcW w:type="dxa" w:w="2088"/>
            <w:vAlign w:val="center"/>
            <w:shd w:fill="244A64"/>
          </w:tcPr>
          <w:p>
            <w:pPr>
              <w:spacing w:after="0"/>
            </w:pPr>
            <w:r/>
            <w:r>
              <w:rPr>
                <w:b/>
                <w:color w:val="FFFFFF"/>
                <w:sz w:val="15"/>
              </w:rPr>
              <w:t>Recommendation</w:t>
            </w:r>
          </w:p>
        </w:tc>
      </w:tr>
      <w:tr>
        <w:tc>
          <w:tcPr>
            <w:tcW w:type="dxa" w:w="2520"/>
            <w:vAlign w:val="center"/>
          </w:tcPr>
          <w:p>
            <w:pPr>
              <w:spacing w:after="0"/>
            </w:pPr>
            <w:r/>
            <w:r>
              <w:rPr>
                <w:b w:val="0"/>
                <w:sz w:val="15"/>
              </w:rPr>
              <w:t>IEEE S&amp;P 2027 — Cycle 2</w:t>
            </w:r>
          </w:p>
        </w:tc>
        <w:tc>
          <w:tcPr>
            <w:tcW w:type="dxa" w:w="2952"/>
            <w:vAlign w:val="center"/>
          </w:tcPr>
          <w:p>
            <w:pPr>
              <w:spacing w:after="0"/>
            </w:pPr>
            <w:r/>
            <w:r>
              <w:rPr>
                <w:b w:val="0"/>
                <w:sz w:val="15"/>
              </w:rPr>
              <w:t>Abstract: 10 Nov 2026; Paper: 17 Nov 2026 (AoE)</w:t>
            </w:r>
          </w:p>
        </w:tc>
        <w:tc>
          <w:tcPr>
            <w:tcW w:type="dxa" w:w="2880"/>
            <w:vAlign w:val="center"/>
          </w:tcPr>
          <w:p>
            <w:pPr>
              <w:spacing w:after="0"/>
            </w:pPr>
            <w:r/>
            <w:r>
              <w:rPr>
                <w:b w:val="0"/>
                <w:sz w:val="15"/>
              </w:rPr>
              <w:t>Top-tier security; runtime/model-system attack + defense</w:t>
            </w:r>
          </w:p>
        </w:tc>
        <w:tc>
          <w:tcPr>
            <w:tcW w:type="dxa" w:w="2088"/>
            <w:vAlign w:val="center"/>
          </w:tcPr>
          <w:p>
            <w:pPr>
              <w:spacing w:after="0"/>
            </w:pPr>
            <w:r/>
            <w:r>
              <w:rPr>
                <w:b w:val="0"/>
                <w:sz w:val="15"/>
              </w:rPr>
              <w:t>Aggressive primary target if the first prototype is strong by October</w:t>
            </w:r>
          </w:p>
        </w:tc>
      </w:tr>
      <w:tr>
        <w:tc>
          <w:tcPr>
            <w:tcW w:type="dxa" w:w="2520"/>
            <w:vAlign w:val="center"/>
            <w:shd w:fill="F6F8FA"/>
          </w:tcPr>
          <w:p>
            <w:pPr>
              <w:spacing w:after="0"/>
            </w:pPr>
            <w:r/>
            <w:r>
              <w:rPr>
                <w:b w:val="0"/>
                <w:sz w:val="15"/>
              </w:rPr>
              <w:t>MLSys 2027</w:t>
            </w:r>
          </w:p>
        </w:tc>
        <w:tc>
          <w:tcPr>
            <w:tcW w:type="dxa" w:w="2952"/>
            <w:vAlign w:val="center"/>
            <w:shd w:fill="F6F8FA"/>
          </w:tcPr>
          <w:p>
            <w:pPr>
              <w:spacing w:after="0"/>
            </w:pPr>
            <w:r/>
            <w:r>
              <w:rPr>
                <w:b w:val="0"/>
                <w:sz w:val="15"/>
              </w:rPr>
              <w:t>30 Oct 2026, 20:00 UTC</w:t>
            </w:r>
          </w:p>
        </w:tc>
        <w:tc>
          <w:tcPr>
            <w:tcW w:type="dxa" w:w="2880"/>
            <w:vAlign w:val="center"/>
            <w:shd w:fill="F6F8FA"/>
          </w:tcPr>
          <w:p>
            <w:pPr>
              <w:spacing w:after="0"/>
            </w:pPr>
            <w:r/>
            <w:r>
              <w:rPr>
                <w:b w:val="0"/>
                <w:sz w:val="15"/>
              </w:rPr>
              <w:t>Inference systems, memory/latency, deployment mechanisms</w:t>
            </w:r>
          </w:p>
        </w:tc>
        <w:tc>
          <w:tcPr>
            <w:tcW w:type="dxa" w:w="2088"/>
            <w:vAlign w:val="center"/>
            <w:shd w:fill="F6F8FA"/>
          </w:tcPr>
          <w:p>
            <w:pPr>
              <w:spacing w:after="0"/>
            </w:pPr>
            <w:r/>
            <w:r>
              <w:rPr>
                <w:b w:val="0"/>
                <w:sz w:val="15"/>
              </w:rPr>
              <w:t>Good if the paper emphasizes runtime/cache systems and measurable systems impact</w:t>
            </w:r>
          </w:p>
        </w:tc>
      </w:tr>
      <w:tr>
        <w:tc>
          <w:tcPr>
            <w:tcW w:type="dxa" w:w="2520"/>
            <w:vAlign w:val="center"/>
          </w:tcPr>
          <w:p>
            <w:pPr>
              <w:spacing w:after="0"/>
            </w:pPr>
            <w:r/>
            <w:r>
              <w:rPr>
                <w:b w:val="0"/>
                <w:sz w:val="15"/>
              </w:rPr>
              <w:t>USENIX Security 2027 — Cycle 2</w:t>
            </w:r>
          </w:p>
        </w:tc>
        <w:tc>
          <w:tcPr>
            <w:tcW w:type="dxa" w:w="2952"/>
            <w:vAlign w:val="center"/>
          </w:tcPr>
          <w:p>
            <w:pPr>
              <w:spacing w:after="0"/>
            </w:pPr>
            <w:r/>
            <w:r>
              <w:rPr>
                <w:b w:val="0"/>
                <w:sz w:val="15"/>
              </w:rPr>
              <w:t>Registration: 19 Jan 2027; Paper: 26 Jan 2027; Artifacts: 29 Jan 2027</w:t>
            </w:r>
          </w:p>
        </w:tc>
        <w:tc>
          <w:tcPr>
            <w:tcW w:type="dxa" w:w="2880"/>
            <w:vAlign w:val="center"/>
          </w:tcPr>
          <w:p>
            <w:pPr>
              <w:spacing w:after="0"/>
            </w:pPr>
            <w:r/>
            <w:r>
              <w:rPr>
                <w:b w:val="0"/>
                <w:sz w:val="15"/>
              </w:rPr>
              <w:t>Very strong security fit; explicit SoK support too</w:t>
            </w:r>
          </w:p>
        </w:tc>
        <w:tc>
          <w:tcPr>
            <w:tcW w:type="dxa" w:w="2088"/>
            <w:vAlign w:val="center"/>
          </w:tcPr>
          <w:p>
            <w:pPr>
              <w:spacing w:after="0"/>
            </w:pPr>
            <w:r/>
            <w:r>
              <w:rPr>
                <w:b w:val="0"/>
                <w:sz w:val="15"/>
              </w:rPr>
              <w:t>Best overall target if you can finish a rigorous attack + defense evaluation by January</w:t>
            </w:r>
          </w:p>
        </w:tc>
      </w:tr>
      <w:tr>
        <w:tc>
          <w:tcPr>
            <w:tcW w:type="dxa" w:w="2520"/>
            <w:vAlign w:val="center"/>
            <w:shd w:fill="F6F8FA"/>
          </w:tcPr>
          <w:p>
            <w:pPr>
              <w:spacing w:after="0"/>
            </w:pPr>
            <w:r/>
            <w:r>
              <w:rPr>
                <w:b w:val="0"/>
                <w:sz w:val="15"/>
              </w:rPr>
              <w:t>ICLR 2027</w:t>
            </w:r>
          </w:p>
        </w:tc>
        <w:tc>
          <w:tcPr>
            <w:tcW w:type="dxa" w:w="2952"/>
            <w:vAlign w:val="center"/>
            <w:shd w:fill="F6F8FA"/>
          </w:tcPr>
          <w:p>
            <w:pPr>
              <w:spacing w:after="0"/>
            </w:pPr>
            <w:r/>
            <w:r>
              <w:rPr>
                <w:b w:val="0"/>
                <w:sz w:val="15"/>
              </w:rPr>
              <w:t>Abstract: 18 Sep 2026; Paper: 25 Sep 2026 (AoE)</w:t>
            </w:r>
          </w:p>
        </w:tc>
        <w:tc>
          <w:tcPr>
            <w:tcW w:type="dxa" w:w="2880"/>
            <w:vAlign w:val="center"/>
            <w:shd w:fill="F6F8FA"/>
          </w:tcPr>
          <w:p>
            <w:pPr>
              <w:spacing w:after="0"/>
            </w:pPr>
            <w:r/>
            <w:r>
              <w:rPr>
                <w:b w:val="0"/>
                <w:sz w:val="15"/>
              </w:rPr>
              <w:t>ML mechanisms / representation / learning formulation</w:t>
            </w:r>
          </w:p>
        </w:tc>
        <w:tc>
          <w:tcPr>
            <w:tcW w:type="dxa" w:w="2088"/>
            <w:vAlign w:val="center"/>
            <w:shd w:fill="F6F8FA"/>
          </w:tcPr>
          <w:p>
            <w:pPr>
              <w:spacing w:after="0"/>
            </w:pPr>
            <w:r/>
            <w:r>
              <w:rPr>
                <w:b w:val="0"/>
                <w:sz w:val="15"/>
              </w:rPr>
              <w:t>Only a stretch target unless strong results already exist</w:t>
            </w:r>
          </w:p>
        </w:tc>
      </w:tr>
      <w:tr>
        <w:tc>
          <w:tcPr>
            <w:tcW w:type="dxa" w:w="2520"/>
            <w:vAlign w:val="center"/>
          </w:tcPr>
          <w:p>
            <w:pPr>
              <w:spacing w:after="0"/>
            </w:pPr>
            <w:r/>
            <w:r>
              <w:rPr>
                <w:b w:val="0"/>
                <w:sz w:val="15"/>
              </w:rPr>
              <w:t>NDSS 2027 — Fall cycle</w:t>
            </w:r>
          </w:p>
        </w:tc>
        <w:tc>
          <w:tcPr>
            <w:tcW w:type="dxa" w:w="2952"/>
            <w:vAlign w:val="center"/>
          </w:tcPr>
          <w:p>
            <w:pPr>
              <w:spacing w:after="0"/>
            </w:pPr>
            <w:r/>
            <w:r>
              <w:rPr>
                <w:b w:val="0"/>
                <w:sz w:val="15"/>
              </w:rPr>
              <w:t>Submission was 19 Aug 2026</w:t>
            </w:r>
          </w:p>
        </w:tc>
        <w:tc>
          <w:tcPr>
            <w:tcW w:type="dxa" w:w="2880"/>
            <w:vAlign w:val="center"/>
          </w:tcPr>
          <w:p>
            <w:pPr>
              <w:spacing w:after="0"/>
            </w:pPr>
            <w:r/>
            <w:r>
              <w:rPr>
                <w:b w:val="0"/>
                <w:sz w:val="15"/>
              </w:rPr>
              <w:t>Security systems / practical security</w:t>
            </w:r>
          </w:p>
        </w:tc>
        <w:tc>
          <w:tcPr>
            <w:tcW w:type="dxa" w:w="2088"/>
            <w:vAlign w:val="center"/>
          </w:tcPr>
          <w:p>
            <w:pPr>
              <w:spacing w:after="0"/>
            </w:pPr>
            <w:r/>
            <w:r>
              <w:rPr>
                <w:b w:val="0"/>
                <w:sz w:val="15"/>
              </w:rPr>
              <w:t>Deadline has passed; consider next cycle only if needed</w:t>
            </w:r>
          </w:p>
        </w:tc>
      </w:tr>
      <w:tr>
        <w:tc>
          <w:tcPr>
            <w:tcW w:type="dxa" w:w="2520"/>
            <w:vAlign w:val="center"/>
            <w:shd w:fill="F6F8FA"/>
          </w:tcPr>
          <w:p>
            <w:pPr>
              <w:spacing w:after="0"/>
            </w:pPr>
            <w:r/>
            <w:r>
              <w:rPr>
                <w:b w:val="0"/>
                <w:sz w:val="15"/>
              </w:rPr>
              <w:t>NeurIPS 2026</w:t>
            </w:r>
          </w:p>
        </w:tc>
        <w:tc>
          <w:tcPr>
            <w:tcW w:type="dxa" w:w="2952"/>
            <w:vAlign w:val="center"/>
            <w:shd w:fill="F6F8FA"/>
          </w:tcPr>
          <w:p>
            <w:pPr>
              <w:spacing w:after="0"/>
            </w:pPr>
            <w:r/>
            <w:r>
              <w:rPr>
                <w:b w:val="0"/>
                <w:sz w:val="15"/>
              </w:rPr>
              <w:t>Paper deadline was 6 May 2026</w:t>
            </w:r>
          </w:p>
        </w:tc>
        <w:tc>
          <w:tcPr>
            <w:tcW w:type="dxa" w:w="2880"/>
            <w:vAlign w:val="center"/>
            <w:shd w:fill="F6F8FA"/>
          </w:tcPr>
          <w:p>
            <w:pPr>
              <w:spacing w:after="0"/>
            </w:pPr>
            <w:r/>
            <w:r>
              <w:rPr>
                <w:b w:val="0"/>
                <w:sz w:val="15"/>
              </w:rPr>
              <w:t>Top ML venue</w:t>
            </w:r>
          </w:p>
        </w:tc>
        <w:tc>
          <w:tcPr>
            <w:tcW w:type="dxa" w:w="2088"/>
            <w:vAlign w:val="center"/>
            <w:shd w:fill="F6F8FA"/>
          </w:tcPr>
          <w:p>
            <w:pPr>
              <w:spacing w:after="0"/>
            </w:pPr>
            <w:r/>
            <w:r>
              <w:rPr>
                <w:b w:val="0"/>
                <w:sz w:val="15"/>
              </w:rPr>
              <w:t>Closed for 2026; next-cycle planning only</w:t>
            </w:r>
          </w:p>
        </w:tc>
      </w:tr>
    </w:tbl>
    <w:p>
      <w:pPr>
        <w:spacing w:after="0"/>
      </w:pPr>
    </w:p>
    <w:p>
      <w:pPr>
        <w:pStyle w:val="Heading2"/>
      </w:pPr>
      <w:r>
        <w:t>13.2 Journal targets</w:t>
      </w:r>
    </w:p>
    <w:tbl>
      <w:tblPr>
        <w:tblStyle w:val="TableGrid"/>
        <w:tblW w:type="auto" w:w="0"/>
        <w:jc w:val="center"/>
        <w:tblLook w:firstColumn="1" w:firstRow="1" w:lastColumn="0" w:lastRow="0" w:noHBand="0" w:noVBand="1" w:val="04A0"/>
      </w:tblPr>
      <w:tblGrid>
        <w:gridCol w:w="2538"/>
        <w:gridCol w:w="2538"/>
        <w:gridCol w:w="2538"/>
        <w:gridCol w:w="2538"/>
      </w:tblGrid>
      <w:tr>
        <w:tc>
          <w:tcPr>
            <w:tcW w:type="dxa" w:w="2736"/>
            <w:vAlign w:val="center"/>
            <w:shd w:fill="244A64"/>
          </w:tcPr>
          <w:p>
            <w:pPr>
              <w:spacing w:after="0"/>
            </w:pPr>
            <w:r/>
            <w:r>
              <w:rPr>
                <w:b/>
                <w:color w:val="FFFFFF"/>
                <w:sz w:val="15"/>
              </w:rPr>
              <w:t>Journal</w:t>
            </w:r>
          </w:p>
        </w:tc>
        <w:tc>
          <w:tcPr>
            <w:tcW w:type="dxa" w:w="2376"/>
            <w:vAlign w:val="center"/>
            <w:shd w:fill="244A64"/>
          </w:tcPr>
          <w:p>
            <w:pPr>
              <w:spacing w:after="0"/>
            </w:pPr>
            <w:r/>
            <w:r>
              <w:rPr>
                <w:b/>
                <w:color w:val="FFFFFF"/>
                <w:sz w:val="15"/>
              </w:rPr>
              <w:t>Submission cadence</w:t>
            </w:r>
          </w:p>
        </w:tc>
        <w:tc>
          <w:tcPr>
            <w:tcW w:type="dxa" w:w="2736"/>
            <w:vAlign w:val="center"/>
            <w:shd w:fill="244A64"/>
          </w:tcPr>
          <w:p>
            <w:pPr>
              <w:spacing w:after="0"/>
            </w:pPr>
            <w:r/>
            <w:r>
              <w:rPr>
                <w:b/>
                <w:color w:val="FFFFFF"/>
                <w:sz w:val="15"/>
              </w:rPr>
              <w:t>Fit</w:t>
            </w:r>
          </w:p>
        </w:tc>
        <w:tc>
          <w:tcPr>
            <w:tcW w:type="dxa" w:w="2592"/>
            <w:vAlign w:val="center"/>
            <w:shd w:fill="244A64"/>
          </w:tcPr>
          <w:p>
            <w:pPr>
              <w:spacing w:after="0"/>
            </w:pPr>
            <w:r/>
            <w:r>
              <w:rPr>
                <w:b/>
                <w:color w:val="FFFFFF"/>
                <w:sz w:val="15"/>
              </w:rPr>
              <w:t>Strategic note</w:t>
            </w:r>
          </w:p>
        </w:tc>
      </w:tr>
      <w:tr>
        <w:tc>
          <w:tcPr>
            <w:tcW w:type="dxa" w:w="2736"/>
            <w:vAlign w:val="center"/>
          </w:tcPr>
          <w:p>
            <w:pPr>
              <w:spacing w:after="0"/>
            </w:pPr>
            <w:r/>
            <w:r>
              <w:rPr>
                <w:b w:val="0"/>
                <w:sz w:val="15"/>
              </w:rPr>
              <w:t>Transactions on Machine Learning Research (TMLR)</w:t>
            </w:r>
          </w:p>
        </w:tc>
        <w:tc>
          <w:tcPr>
            <w:tcW w:type="dxa" w:w="2376"/>
            <w:vAlign w:val="center"/>
          </w:tcPr>
          <w:p>
            <w:pPr>
              <w:spacing w:after="0"/>
            </w:pPr>
            <w:r/>
            <w:r>
              <w:rPr>
                <w:b w:val="0"/>
                <w:sz w:val="15"/>
              </w:rPr>
              <w:t>Rolling / year-round</w:t>
            </w:r>
          </w:p>
        </w:tc>
        <w:tc>
          <w:tcPr>
            <w:tcW w:type="dxa" w:w="2736"/>
            <w:vAlign w:val="center"/>
          </w:tcPr>
          <w:p>
            <w:pPr>
              <w:spacing w:after="0"/>
            </w:pPr>
            <w:r/>
            <w:r>
              <w:rPr>
                <w:b w:val="0"/>
                <w:sz w:val="15"/>
              </w:rPr>
              <w:t>ML methods, technical correctness, new empirical insight</w:t>
            </w:r>
          </w:p>
        </w:tc>
        <w:tc>
          <w:tcPr>
            <w:tcW w:type="dxa" w:w="2592"/>
            <w:vAlign w:val="center"/>
          </w:tcPr>
          <w:p>
            <w:pPr>
              <w:spacing w:after="0"/>
            </w:pPr>
            <w:r/>
            <w:r>
              <w:rPr>
                <w:b w:val="0"/>
                <w:sz w:val="15"/>
              </w:rPr>
              <w:t>Best fast journal path; suitable once the phenomenon and evaluation are technically mature.</w:t>
            </w:r>
          </w:p>
        </w:tc>
      </w:tr>
      <w:tr>
        <w:tc>
          <w:tcPr>
            <w:tcW w:type="dxa" w:w="2736"/>
            <w:vAlign w:val="center"/>
            <w:shd w:fill="F6F8FA"/>
          </w:tcPr>
          <w:p>
            <w:pPr>
              <w:spacing w:after="0"/>
            </w:pPr>
            <w:r/>
            <w:r>
              <w:rPr>
                <w:b w:val="0"/>
                <w:sz w:val="15"/>
              </w:rPr>
              <w:t>Journal of Machine Learning Research (JMLR)</w:t>
            </w:r>
          </w:p>
        </w:tc>
        <w:tc>
          <w:tcPr>
            <w:tcW w:type="dxa" w:w="2376"/>
            <w:vAlign w:val="center"/>
            <w:shd w:fill="F6F8FA"/>
          </w:tcPr>
          <w:p>
            <w:pPr>
              <w:spacing w:after="0"/>
            </w:pPr>
            <w:r/>
            <w:r>
              <w:rPr>
                <w:b w:val="0"/>
                <w:sz w:val="15"/>
              </w:rPr>
              <w:t>No fixed annual deadline; submission system is continuously available</w:t>
            </w:r>
          </w:p>
        </w:tc>
        <w:tc>
          <w:tcPr>
            <w:tcW w:type="dxa" w:w="2736"/>
            <w:vAlign w:val="center"/>
            <w:shd w:fill="F6F8FA"/>
          </w:tcPr>
          <w:p>
            <w:pPr>
              <w:spacing w:after="0"/>
            </w:pPr>
            <w:r/>
            <w:r>
              <w:rPr>
                <w:b w:val="0"/>
                <w:sz w:val="15"/>
              </w:rPr>
              <w:t>ML theory/methods and new behavioral insights</w:t>
            </w:r>
          </w:p>
        </w:tc>
        <w:tc>
          <w:tcPr>
            <w:tcW w:type="dxa" w:w="2592"/>
            <w:vAlign w:val="center"/>
            <w:shd w:fill="F6F8FA"/>
          </w:tcPr>
          <w:p>
            <w:pPr>
              <w:spacing w:after="0"/>
            </w:pPr>
            <w:r/>
            <w:r>
              <w:rPr>
                <w:b w:val="0"/>
                <w:sz w:val="15"/>
              </w:rPr>
              <w:t>Good for a deeper mechanism paper, but scope is broader ML; do not submit simultaneously with a conference version.</w:t>
            </w:r>
          </w:p>
        </w:tc>
      </w:tr>
      <w:tr>
        <w:tc>
          <w:tcPr>
            <w:tcW w:type="dxa" w:w="2736"/>
            <w:vAlign w:val="center"/>
          </w:tcPr>
          <w:p>
            <w:pPr>
              <w:spacing w:after="0"/>
            </w:pPr>
            <w:r/>
            <w:r>
              <w:rPr>
                <w:b w:val="0"/>
                <w:sz w:val="15"/>
              </w:rPr>
              <w:t>IEEE Transactions on Information Forensics and Security (TIFS)</w:t>
            </w:r>
          </w:p>
        </w:tc>
        <w:tc>
          <w:tcPr>
            <w:tcW w:type="dxa" w:w="2376"/>
            <w:vAlign w:val="center"/>
          </w:tcPr>
          <w:p>
            <w:pPr>
              <w:spacing w:after="0"/>
            </w:pPr>
            <w:r/>
            <w:r>
              <w:rPr>
                <w:b w:val="0"/>
                <w:sz w:val="15"/>
              </w:rPr>
              <w:t>No fixed annual conference-style deadline listed; rolling journal submission through Author Portal</w:t>
            </w:r>
          </w:p>
        </w:tc>
        <w:tc>
          <w:tcPr>
            <w:tcW w:type="dxa" w:w="2736"/>
            <w:vAlign w:val="center"/>
          </w:tcPr>
          <w:p>
            <w:pPr>
              <w:spacing w:after="0"/>
            </w:pPr>
            <w:r/>
            <w:r>
              <w:rPr>
                <w:b w:val="0"/>
                <w:sz w:val="15"/>
              </w:rPr>
              <w:t>Information security, forensics, ML security</w:t>
            </w:r>
          </w:p>
        </w:tc>
        <w:tc>
          <w:tcPr>
            <w:tcW w:type="dxa" w:w="2592"/>
            <w:vAlign w:val="center"/>
          </w:tcPr>
          <w:p>
            <w:pPr>
              <w:spacing w:after="0"/>
            </w:pPr>
            <w:r/>
            <w:r>
              <w:rPr>
                <w:b w:val="0"/>
                <w:sz w:val="15"/>
              </w:rPr>
              <w:t>Strong fit for a security-focused expanded version with rigorous threat model, attacks, and defenses.</w:t>
            </w:r>
          </w:p>
        </w:tc>
      </w:tr>
    </w:tbl>
    <w:p>
      <w:pPr>
        <w:spacing w:after="0"/>
      </w:pPr>
    </w:p>
    <w:tbl>
      <w:tblPr>
        <w:tblW w:type="auto" w:w="0"/>
        <w:jc w:val="center"/>
        <w:tblLayout w:type="autofit"/>
        <w:tblLook w:firstColumn="1" w:firstRow="1" w:lastColumn="0" w:lastRow="0" w:noHBand="0" w:noVBand="1" w:val="04A0"/>
      </w:tblPr>
      <w:tblGrid>
        <w:gridCol w:w="10152"/>
      </w:tblGrid>
      <w:tr>
        <w:tc>
          <w:tcPr>
            <w:tcW w:type="dxa" w:w="10152"/>
            <w:shd w:fill="FFF6E8"/>
          </w:tcPr>
          <w:p>
            <w:pPr>
              <w:spacing w:after="40"/>
            </w:pPr>
            <w:r>
              <w:rPr>
                <w:b/>
                <w:sz w:val="21"/>
              </w:rPr>
              <w:t>Deadline caveat</w:t>
            </w:r>
          </w:p>
          <w:p>
            <w:pPr>
              <w:spacing w:after="20"/>
            </w:pPr>
            <w:r>
              <w:rPr>
                <w:sz w:val="19"/>
              </w:rPr>
              <w:t>Conference dates change; re-check the official CFP immediately before committing the submission calendar. The dates in this document are a 10 September 2026 snapshot and use each venue’s own timezone convention (mostly AoE; MLSys lists UTC for its deadline).</w:t>
            </w:r>
          </w:p>
        </w:tc>
      </w:tr>
    </w:tbl>
    <w:p>
      <w:pPr>
        <w:spacing w:after="0"/>
      </w:pPr>
    </w:p>
    <w:p>
      <w:pPr>
        <w:pStyle w:val="Heading1"/>
      </w:pPr>
      <w:r>
        <w:t>14. Suggested Final Paper Structure</w:t>
      </w:r>
    </w:p>
    <w:p>
      <w:pPr>
        <w:pStyle w:val="ListNumber"/>
        <w:spacing w:after="80"/>
      </w:pPr>
      <w:r>
        <w:rPr>
          <w:b/>
        </w:rPr>
        <w:t xml:space="preserve">Introduction: </w:t>
      </w:r>
      <w:r>
        <w:t>runtime-conditioned behavior is a new systems/security surface; KV compression is increasingly unavoidable; existing work establishes degradation but not intentionally triggered backdoors.</w:t>
      </w:r>
    </w:p>
    <w:p>
      <w:pPr>
        <w:pStyle w:val="ListNumber"/>
        <w:spacing w:after="80"/>
      </w:pPr>
      <w:r>
        <w:rPr>
          <w:b/>
        </w:rPr>
        <w:t xml:space="preserve">Background: </w:t>
      </w:r>
      <w:r>
        <w:t>LLM KV cache, quantization, eviction, merging, runtime-adaptive cache management.</w:t>
      </w:r>
    </w:p>
    <w:p>
      <w:pPr>
        <w:pStyle w:val="ListNumber"/>
        <w:spacing w:after="80"/>
      </w:pPr>
      <w:r>
        <w:rPr>
          <w:b/>
        </w:rPr>
        <w:t xml:space="preserve">Threat model: </w:t>
      </w:r>
      <w:r>
        <w:t>attacker knowledge, defender audit pipeline, runtime assumptions, security/utility objectives.</w:t>
      </w:r>
    </w:p>
    <w:p>
      <w:pPr>
        <w:pStyle w:val="ListNumber"/>
        <w:spacing w:after="80"/>
      </w:pPr>
      <w:r>
        <w:rPr>
          <w:b/>
        </w:rPr>
        <w:t xml:space="preserve">Runtime-conditioned backdoor definition: </w:t>
      </w:r>
      <w:r>
        <w:t>formalize trigger state, clean state, behavioral gap and stealth.</w:t>
      </w:r>
    </w:p>
    <w:p>
      <w:pPr>
        <w:pStyle w:val="ListNumber"/>
        <w:spacing w:after="80"/>
      </w:pPr>
      <w:r>
        <w:rPr>
          <w:b/>
        </w:rPr>
        <w:t xml:space="preserve">Attack design: </w:t>
      </w:r>
      <w:r>
        <w:t>KQCB, KECB, KMCB and, if successful, context/budget/load-conditioned variants.</w:t>
      </w:r>
    </w:p>
    <w:p>
      <w:pPr>
        <w:pStyle w:val="ListNumber"/>
        <w:spacing w:after="80"/>
      </w:pPr>
      <w:r>
        <w:rPr>
          <w:b/>
        </w:rPr>
        <w:t xml:space="preserve">Mechanistic analysis: </w:t>
      </w:r>
      <w:r>
        <w:t>which layers/heads/tokens and which cache operations mediate the transition.</w:t>
      </w:r>
    </w:p>
    <w:p>
      <w:pPr>
        <w:pStyle w:val="ListNumber"/>
        <w:spacing w:after="80"/>
      </w:pPr>
      <w:r>
        <w:rPr>
          <w:b/>
        </w:rPr>
        <w:t xml:space="preserve">Evaluation: </w:t>
      </w:r>
      <w:r>
        <w:t>models × cache methods × runtime budgets × tasks × seeds.</w:t>
      </w:r>
    </w:p>
    <w:p>
      <w:pPr>
        <w:pStyle w:val="ListNumber"/>
        <w:spacing w:after="80"/>
      </w:pPr>
      <w:r>
        <w:rPr>
          <w:b/>
        </w:rPr>
        <w:t xml:space="preserve">Defense: </w:t>
      </w:r>
      <w:r>
        <w:t>differential audit + security-aware cache policy.</w:t>
      </w:r>
    </w:p>
    <w:p>
      <w:pPr>
        <w:pStyle w:val="ListNumber"/>
        <w:spacing w:after="80"/>
      </w:pPr>
      <w:r>
        <w:rPr>
          <w:b/>
        </w:rPr>
        <w:t xml:space="preserve">Discussion: </w:t>
      </w:r>
      <w:r>
        <w:t>what is general, what is implementation-specific, responsible disclosure, limitations.</w:t>
      </w:r>
    </w:p>
    <w:p>
      <w:pPr>
        <w:pStyle w:val="ListNumber"/>
        <w:spacing w:after="80"/>
      </w:pPr>
      <w:r>
        <w:rPr>
          <w:b/>
        </w:rPr>
        <w:t xml:space="preserve">Reproducibility / artifacts: </w:t>
      </w:r>
      <w:r>
        <w:t>cache instrumentation, configurations, evaluation harness, synthetic trigger sets, and defense implementation.</w:t>
      </w:r>
    </w:p>
    <w:p>
      <w:pPr>
        <w:pStyle w:val="Heading1"/>
      </w:pPr>
      <w:r>
        <w:t>15. Go / No-Go Checklist</w:t>
      </w:r>
    </w:p>
    <w:tbl>
      <w:tblPr>
        <w:tblStyle w:val="TableGrid"/>
        <w:tblW w:type="auto" w:w="0"/>
        <w:jc w:val="center"/>
        <w:tblLook w:firstColumn="1" w:firstRow="1" w:lastColumn="0" w:lastRow="0" w:noHBand="0" w:noVBand="1" w:val="04A0"/>
      </w:tblPr>
      <w:tblGrid>
        <w:gridCol w:w="3384"/>
        <w:gridCol w:w="3384"/>
        <w:gridCol w:w="3384"/>
      </w:tblGrid>
      <w:tr>
        <w:tc>
          <w:tcPr>
            <w:tcW w:type="dxa" w:w="1440"/>
            <w:vAlign w:val="center"/>
            <w:shd w:fill="244A64"/>
          </w:tcPr>
          <w:p>
            <w:pPr>
              <w:spacing w:after="0"/>
            </w:pPr>
            <w:r/>
            <w:r>
              <w:rPr>
                <w:b/>
                <w:color w:val="FFFFFF"/>
                <w:sz w:val="16"/>
              </w:rPr>
              <w:t>Gate</w:t>
            </w:r>
          </w:p>
        </w:tc>
        <w:tc>
          <w:tcPr>
            <w:tcW w:type="dxa" w:w="4608"/>
            <w:vAlign w:val="center"/>
            <w:shd w:fill="244A64"/>
          </w:tcPr>
          <w:p>
            <w:pPr>
              <w:spacing w:after="0"/>
            </w:pPr>
            <w:r/>
            <w:r>
              <w:rPr>
                <w:b/>
                <w:color w:val="FFFFFF"/>
                <w:sz w:val="16"/>
              </w:rPr>
              <w:t>Question</w:t>
            </w:r>
          </w:p>
        </w:tc>
        <w:tc>
          <w:tcPr>
            <w:tcW w:type="dxa" w:w="4320"/>
            <w:vAlign w:val="center"/>
            <w:shd w:fill="244A64"/>
          </w:tcPr>
          <w:p>
            <w:pPr>
              <w:spacing w:after="0"/>
            </w:pPr>
            <w:r/>
            <w:r>
              <w:rPr>
                <w:b/>
                <w:color w:val="FFFFFF"/>
                <w:sz w:val="16"/>
              </w:rPr>
              <w:t>Pass condition</w:t>
            </w:r>
          </w:p>
        </w:tc>
      </w:tr>
      <w:tr>
        <w:tc>
          <w:tcPr>
            <w:tcW w:type="dxa" w:w="1440"/>
            <w:vAlign w:val="center"/>
          </w:tcPr>
          <w:p>
            <w:pPr>
              <w:spacing w:after="0"/>
            </w:pPr>
            <w:r/>
            <w:r>
              <w:rPr>
                <w:b w:val="0"/>
                <w:sz w:val="16"/>
              </w:rPr>
              <w:t>G1</w:t>
            </w:r>
          </w:p>
        </w:tc>
        <w:tc>
          <w:tcPr>
            <w:tcW w:type="dxa" w:w="4608"/>
            <w:vAlign w:val="center"/>
          </w:tcPr>
          <w:p>
            <w:pPr>
              <w:spacing w:after="0"/>
            </w:pPr>
            <w:r/>
            <w:r>
              <w:rPr>
                <w:b w:val="0"/>
                <w:sz w:val="16"/>
              </w:rPr>
              <w:t>Can the cache transform be controlled reproducibly?</w:t>
            </w:r>
          </w:p>
        </w:tc>
        <w:tc>
          <w:tcPr>
            <w:tcW w:type="dxa" w:w="4320"/>
            <w:vAlign w:val="center"/>
          </w:tcPr>
          <w:p>
            <w:pPr>
              <w:spacing w:after="0"/>
            </w:pPr>
            <w:r/>
            <w:r>
              <w:rPr>
                <w:b w:val="0"/>
                <w:sz w:val="16"/>
              </w:rPr>
              <w:t>Same seed/input yields deterministic runtime state for fixed policy.</w:t>
            </w:r>
          </w:p>
        </w:tc>
      </w:tr>
      <w:tr>
        <w:tc>
          <w:tcPr>
            <w:tcW w:type="dxa" w:w="1440"/>
            <w:vAlign w:val="center"/>
            <w:shd w:fill="F6F8FA"/>
          </w:tcPr>
          <w:p>
            <w:pPr>
              <w:spacing w:after="0"/>
            </w:pPr>
            <w:r/>
            <w:r>
              <w:rPr>
                <w:b w:val="0"/>
                <w:sz w:val="16"/>
              </w:rPr>
              <w:t>G2</w:t>
            </w:r>
          </w:p>
        </w:tc>
        <w:tc>
          <w:tcPr>
            <w:tcW w:type="dxa" w:w="4608"/>
            <w:vAlign w:val="center"/>
            <w:shd w:fill="F6F8FA"/>
          </w:tcPr>
          <w:p>
            <w:pPr>
              <w:spacing w:after="0"/>
            </w:pPr>
            <w:r/>
            <w:r>
              <w:rPr>
                <w:b w:val="0"/>
                <w:sz w:val="16"/>
              </w:rPr>
              <w:t>Does compression create a measurable behavioral transition on clean models?</w:t>
            </w:r>
          </w:p>
        </w:tc>
        <w:tc>
          <w:tcPr>
            <w:tcW w:type="dxa" w:w="4320"/>
            <w:vAlign w:val="center"/>
            <w:shd w:fill="F6F8FA"/>
          </w:tcPr>
          <w:p>
            <w:pPr>
              <w:spacing w:after="0"/>
            </w:pPr>
            <w:r/>
            <w:r>
              <w:rPr>
                <w:b w:val="0"/>
                <w:sz w:val="16"/>
              </w:rPr>
              <w:t>Yes, but characterize it before training an attack.</w:t>
            </w:r>
          </w:p>
        </w:tc>
      </w:tr>
      <w:tr>
        <w:tc>
          <w:tcPr>
            <w:tcW w:type="dxa" w:w="1440"/>
            <w:vAlign w:val="center"/>
          </w:tcPr>
          <w:p>
            <w:pPr>
              <w:spacing w:after="0"/>
            </w:pPr>
            <w:r/>
            <w:r>
              <w:rPr>
                <w:b w:val="0"/>
                <w:sz w:val="16"/>
              </w:rPr>
              <w:t>G3</w:t>
            </w:r>
          </w:p>
        </w:tc>
        <w:tc>
          <w:tcPr>
            <w:tcW w:type="dxa" w:w="4608"/>
            <w:vAlign w:val="center"/>
          </w:tcPr>
          <w:p>
            <w:pPr>
              <w:spacing w:after="0"/>
            </w:pPr>
            <w:r/>
            <w:r>
              <w:rPr>
                <w:b w:val="0"/>
                <w:sz w:val="16"/>
              </w:rPr>
              <w:t>Can the transition be amplified intentionally?</w:t>
            </w:r>
          </w:p>
        </w:tc>
        <w:tc>
          <w:tcPr>
            <w:tcW w:type="dxa" w:w="4320"/>
            <w:vAlign w:val="center"/>
          </w:tcPr>
          <w:p>
            <w:pPr>
              <w:spacing w:after="0"/>
            </w:pPr>
            <w:r/>
            <w:r>
              <w:rPr>
                <w:b w:val="0"/>
                <w:sz w:val="16"/>
              </w:rPr>
              <w:t>RC-ASR materially exceeds clean-model transition.</w:t>
            </w:r>
          </w:p>
        </w:tc>
      </w:tr>
      <w:tr>
        <w:tc>
          <w:tcPr>
            <w:tcW w:type="dxa" w:w="1440"/>
            <w:vAlign w:val="center"/>
            <w:shd w:fill="F6F8FA"/>
          </w:tcPr>
          <w:p>
            <w:pPr>
              <w:spacing w:after="0"/>
            </w:pPr>
            <w:r/>
            <w:r>
              <w:rPr>
                <w:b w:val="0"/>
                <w:sz w:val="16"/>
              </w:rPr>
              <w:t>G4</w:t>
            </w:r>
          </w:p>
        </w:tc>
        <w:tc>
          <w:tcPr>
            <w:tcW w:type="dxa" w:w="4608"/>
            <w:vAlign w:val="center"/>
            <w:shd w:fill="F6F8FA"/>
          </w:tcPr>
          <w:p>
            <w:pPr>
              <w:spacing w:after="0"/>
            </w:pPr>
            <w:r/>
            <w:r>
              <w:rPr>
                <w:b w:val="0"/>
                <w:sz w:val="16"/>
              </w:rPr>
              <w:t>Is the model benign in the reference state?</w:t>
            </w:r>
          </w:p>
        </w:tc>
        <w:tc>
          <w:tcPr>
            <w:tcW w:type="dxa" w:w="4320"/>
            <w:vAlign w:val="center"/>
            <w:shd w:fill="F6F8FA"/>
          </w:tcPr>
          <w:p>
            <w:pPr>
              <w:spacing w:after="0"/>
            </w:pPr>
            <w:r/>
            <w:r>
              <w:rPr>
                <w:b w:val="0"/>
                <w:sz w:val="16"/>
              </w:rPr>
              <w:t>Near-zero target activation under full cache.</w:t>
            </w:r>
          </w:p>
        </w:tc>
      </w:tr>
      <w:tr>
        <w:tc>
          <w:tcPr>
            <w:tcW w:type="dxa" w:w="1440"/>
            <w:vAlign w:val="center"/>
          </w:tcPr>
          <w:p>
            <w:pPr>
              <w:spacing w:after="0"/>
            </w:pPr>
            <w:r/>
            <w:r>
              <w:rPr>
                <w:b w:val="0"/>
                <w:sz w:val="16"/>
              </w:rPr>
              <w:t>G5</w:t>
            </w:r>
          </w:p>
        </w:tc>
        <w:tc>
          <w:tcPr>
            <w:tcW w:type="dxa" w:w="4608"/>
            <w:vAlign w:val="center"/>
          </w:tcPr>
          <w:p>
            <w:pPr>
              <w:spacing w:after="0"/>
            </w:pPr>
            <w:r/>
            <w:r>
              <w:rPr>
                <w:b w:val="0"/>
                <w:sz w:val="16"/>
              </w:rPr>
              <w:t>Is the trigger specific?</w:t>
            </w:r>
          </w:p>
        </w:tc>
        <w:tc>
          <w:tcPr>
            <w:tcW w:type="dxa" w:w="4320"/>
            <w:vAlign w:val="center"/>
          </w:tcPr>
          <w:p>
            <w:pPr>
              <w:spacing w:after="0"/>
            </w:pPr>
            <w:r/>
            <w:r>
              <w:rPr>
                <w:b w:val="0"/>
                <w:sz w:val="16"/>
              </w:rPr>
              <w:t>Near-miss policies do not activate equally.</w:t>
            </w:r>
          </w:p>
        </w:tc>
      </w:tr>
      <w:tr>
        <w:tc>
          <w:tcPr>
            <w:tcW w:type="dxa" w:w="1440"/>
            <w:vAlign w:val="center"/>
            <w:shd w:fill="F6F8FA"/>
          </w:tcPr>
          <w:p>
            <w:pPr>
              <w:spacing w:after="0"/>
            </w:pPr>
            <w:r/>
            <w:r>
              <w:rPr>
                <w:b w:val="0"/>
                <w:sz w:val="16"/>
              </w:rPr>
              <w:t>G6</w:t>
            </w:r>
          </w:p>
        </w:tc>
        <w:tc>
          <w:tcPr>
            <w:tcW w:type="dxa" w:w="4608"/>
            <w:vAlign w:val="center"/>
            <w:shd w:fill="F6F8FA"/>
          </w:tcPr>
          <w:p>
            <w:pPr>
              <w:spacing w:after="0"/>
            </w:pPr>
            <w:r/>
            <w:r>
              <w:rPr>
                <w:b w:val="0"/>
                <w:sz w:val="16"/>
              </w:rPr>
              <w:t>Is it useful beyond one checkpoint?</w:t>
            </w:r>
          </w:p>
        </w:tc>
        <w:tc>
          <w:tcPr>
            <w:tcW w:type="dxa" w:w="4320"/>
            <w:vAlign w:val="center"/>
            <w:shd w:fill="F6F8FA"/>
          </w:tcPr>
          <w:p>
            <w:pPr>
              <w:spacing w:after="0"/>
            </w:pPr>
            <w:r/>
            <w:r>
              <w:rPr>
                <w:b w:val="0"/>
                <w:sz w:val="16"/>
              </w:rPr>
              <w:t>Seen in at least one additional model or configuration.</w:t>
            </w:r>
          </w:p>
        </w:tc>
      </w:tr>
      <w:tr>
        <w:tc>
          <w:tcPr>
            <w:tcW w:type="dxa" w:w="1440"/>
            <w:vAlign w:val="center"/>
          </w:tcPr>
          <w:p>
            <w:pPr>
              <w:spacing w:after="0"/>
            </w:pPr>
            <w:r/>
            <w:r>
              <w:rPr>
                <w:b w:val="0"/>
                <w:sz w:val="16"/>
              </w:rPr>
              <w:t>G7</w:t>
            </w:r>
          </w:p>
        </w:tc>
        <w:tc>
          <w:tcPr>
            <w:tcW w:type="dxa" w:w="4608"/>
            <w:vAlign w:val="center"/>
          </w:tcPr>
          <w:p>
            <w:pPr>
              <w:spacing w:after="0"/>
            </w:pPr>
            <w:r/>
            <w:r>
              <w:rPr>
                <w:b w:val="0"/>
                <w:sz w:val="16"/>
              </w:rPr>
              <w:t>Is there a mechanism?</w:t>
            </w:r>
          </w:p>
        </w:tc>
        <w:tc>
          <w:tcPr>
            <w:tcW w:type="dxa" w:w="4320"/>
            <w:vAlign w:val="center"/>
          </w:tcPr>
          <w:p>
            <w:pPr>
              <w:spacing w:after="0"/>
            </w:pPr>
            <w:r/>
            <w:r>
              <w:rPr>
                <w:b w:val="0"/>
                <w:sz w:val="16"/>
              </w:rPr>
              <w:t>Layer/head/token/cache evidence explains the transition.</w:t>
            </w:r>
          </w:p>
        </w:tc>
      </w:tr>
      <w:tr>
        <w:tc>
          <w:tcPr>
            <w:tcW w:type="dxa" w:w="1440"/>
            <w:vAlign w:val="center"/>
            <w:shd w:fill="F6F8FA"/>
          </w:tcPr>
          <w:p>
            <w:pPr>
              <w:spacing w:after="0"/>
            </w:pPr>
            <w:r/>
            <w:r>
              <w:rPr>
                <w:b w:val="0"/>
                <w:sz w:val="16"/>
              </w:rPr>
              <w:t>G8</w:t>
            </w:r>
          </w:p>
        </w:tc>
        <w:tc>
          <w:tcPr>
            <w:tcW w:type="dxa" w:w="4608"/>
            <w:vAlign w:val="center"/>
            <w:shd w:fill="F6F8FA"/>
          </w:tcPr>
          <w:p>
            <w:pPr>
              <w:spacing w:after="0"/>
            </w:pPr>
            <w:r/>
            <w:r>
              <w:rPr>
                <w:b w:val="0"/>
                <w:sz w:val="16"/>
              </w:rPr>
              <w:t>Can a defense detect or prevent it?</w:t>
            </w:r>
          </w:p>
        </w:tc>
        <w:tc>
          <w:tcPr>
            <w:tcW w:type="dxa" w:w="4320"/>
            <w:vAlign w:val="center"/>
            <w:shd w:fill="F6F8FA"/>
          </w:tcPr>
          <w:p>
            <w:pPr>
              <w:spacing w:after="0"/>
            </w:pPr>
            <w:r/>
            <w:r>
              <w:rPr>
                <w:b w:val="0"/>
                <w:sz w:val="16"/>
              </w:rPr>
              <w:t>A practical method reduces RC-ASR with bounded cost.</w:t>
            </w:r>
          </w:p>
        </w:tc>
      </w:tr>
    </w:tbl>
    <w:p>
      <w:pPr>
        <w:spacing w:after="0"/>
      </w:pPr>
    </w:p>
    <w:p>
      <w:pPr>
        <w:pStyle w:val="Heading1"/>
      </w:pPr>
      <w:r>
        <w:t>16. Key References and Sources</w:t>
      </w:r>
    </w:p>
    <w:p>
      <w:r>
        <w:t>The list below is deliberately compact: it contains the sources most directly useful for constructing the literature review and experiment plan. The final paper should expand this into a full related-work section.</w:t>
      </w:r>
    </w:p>
    <w:p>
      <w:pPr>
        <w:spacing w:after="80"/>
        <w:ind w:left="288" w:hanging="288"/>
      </w:pPr>
      <w:r>
        <w:t xml:space="preserve">[1] Xiao et al. “Efficient Streaming Language Models with Attention Sinks.” ICLR 2024. </w:t>
      </w:r>
      <w:hyperlink r:id="rId12">
        <w:r>
          <w:rPr>
            <w:color w:val="0563C1"/>
            <w:u w:val="single"/>
          </w:rPr>
          <w:t>https://arxiv.org/abs/2309.17453</w:t>
        </w:r>
      </w:hyperlink>
    </w:p>
    <w:p>
      <w:pPr>
        <w:spacing w:after="80"/>
        <w:ind w:left="288" w:hanging="288"/>
      </w:pPr>
      <w:r>
        <w:t xml:space="preserve">[2] Zhang et al. “H2O: Heavy-Hitter Oracle for Efficient Generative Inference of Large Language Models.” 2023. </w:t>
      </w:r>
      <w:hyperlink r:id="rId13">
        <w:r>
          <w:rPr>
            <w:color w:val="0563C1"/>
            <w:u w:val="single"/>
          </w:rPr>
          <w:t>https://arxiv.org/abs/2306.14048</w:t>
        </w:r>
      </w:hyperlink>
    </w:p>
    <w:p>
      <w:pPr>
        <w:spacing w:after="80"/>
        <w:ind w:left="288" w:hanging="288"/>
      </w:pPr>
      <w:r>
        <w:t xml:space="preserve">[3] Liu et al. “Scissorhands: Exploiting the Persistence of Importance Hypothesis for LLM KV Cache Compression at Test Time.” 2023. </w:t>
      </w:r>
      <w:hyperlink r:id="rId14">
        <w:r>
          <w:rPr>
            <w:color w:val="0563C1"/>
            <w:u w:val="single"/>
          </w:rPr>
          <w:t>https://arxiv.org/abs/2305.17118</w:t>
        </w:r>
      </w:hyperlink>
    </w:p>
    <w:p>
      <w:pPr>
        <w:spacing w:after="80"/>
        <w:ind w:left="288" w:hanging="288"/>
      </w:pPr>
      <w:r>
        <w:t xml:space="preserve">[4] Liu et al. “KIVI: A Tuning-Free Asymmetric 2bit Quantization for KV Cache.” ICML 2024. </w:t>
      </w:r>
      <w:hyperlink r:id="rId15">
        <w:r>
          <w:rPr>
            <w:color w:val="0563C1"/>
            <w:u w:val="single"/>
          </w:rPr>
          <w:t>https://arxiv.org/abs/2402.02750</w:t>
        </w:r>
      </w:hyperlink>
    </w:p>
    <w:p>
      <w:pPr>
        <w:spacing w:after="80"/>
        <w:ind w:left="288" w:hanging="288"/>
      </w:pPr>
      <w:r>
        <w:t xml:space="preserve">[5] Li et al. “SnapKV: LLM Knows What You are Looking for Before Generation.” 2024. </w:t>
      </w:r>
      <w:hyperlink r:id="rId16">
        <w:r>
          <w:rPr>
            <w:color w:val="0563C1"/>
            <w:u w:val="single"/>
          </w:rPr>
          <w:t>https://arxiv.org/abs/2404.14469</w:t>
        </w:r>
      </w:hyperlink>
    </w:p>
    <w:p>
      <w:pPr>
        <w:spacing w:after="80"/>
        <w:ind w:left="288" w:hanging="288"/>
      </w:pPr>
      <w:r>
        <w:t xml:space="preserve">[6] Liu et al. “MiniCache: KV Cache Compression in Depth Dimension for Large Language Models.” 2024. </w:t>
      </w:r>
      <w:hyperlink r:id="rId17">
        <w:r>
          <w:rPr>
            <w:color w:val="0563C1"/>
            <w:u w:val="single"/>
          </w:rPr>
          <w:t>https://arxiv.org/abs/2405.14366</w:t>
        </w:r>
      </w:hyperlink>
    </w:p>
    <w:p>
      <w:pPr>
        <w:spacing w:after="80"/>
        <w:ind w:left="288" w:hanging="288"/>
      </w:pPr>
      <w:r>
        <w:t xml:space="preserve">[7] Liu et al. “CacheGen: KV Cache Compression and Streaming for Fast Large Language Model Serving.” ACM SIGCOMM 2024. </w:t>
      </w:r>
      <w:hyperlink r:id="rId18">
        <w:r>
          <w:rPr>
            <w:color w:val="0563C1"/>
            <w:u w:val="single"/>
          </w:rPr>
          <w:t>https://doi.org/10.1145/3651890.3672274</w:t>
        </w:r>
      </w:hyperlink>
    </w:p>
    <w:p>
      <w:pPr>
        <w:spacing w:after="80"/>
        <w:ind w:left="288" w:hanging="288"/>
      </w:pPr>
      <w:r>
        <w:t xml:space="preserve">[8] Chen et al. “The Pitfalls of KV Cache Compression.” ACL 2026. </w:t>
      </w:r>
      <w:hyperlink r:id="rId19">
        <w:r>
          <w:rPr>
            <w:color w:val="0563C1"/>
            <w:u w:val="single"/>
          </w:rPr>
          <w:t>https://aclanthology.org/2026.acl-long.1926/</w:t>
        </w:r>
      </w:hyperlink>
    </w:p>
    <w:p>
      <w:pPr>
        <w:spacing w:after="80"/>
        <w:ind w:left="288" w:hanging="288"/>
      </w:pPr>
      <w:r>
        <w:t xml:space="preserve">[9] Ma et al. “When Efficiency Meets Safety: A Benchmark Security Analysis of KV Cache Compression in Large Language Models.” ACL 2026. </w:t>
      </w:r>
      <w:hyperlink r:id="rId20">
        <w:r>
          <w:rPr>
            <w:color w:val="0563C1"/>
            <w:u w:val="single"/>
          </w:rPr>
          <w:t>https://aclanthology.org/2026.acl-long.1123/</w:t>
        </w:r>
      </w:hyperlink>
    </w:p>
    <w:p>
      <w:pPr>
        <w:spacing w:after="80"/>
        <w:ind w:left="288" w:hanging="288"/>
      </w:pPr>
      <w:r>
        <w:t xml:space="preserve">[10] Xu et al. “Alignment Collapse Under KV Cache Quantization: Diagnosis and Mitigation.” 2026 preprint. </w:t>
      </w:r>
      <w:hyperlink r:id="rId21">
        <w:r>
          <w:rPr>
            <w:color w:val="0563C1"/>
            <w:u w:val="single"/>
          </w:rPr>
          <w:t>https://arxiv.org/abs/2606.09864</w:t>
        </w:r>
      </w:hyperlink>
    </w:p>
    <w:p>
      <w:pPr>
        <w:spacing w:after="80"/>
        <w:ind w:left="288" w:hanging="288"/>
      </w:pPr>
      <w:r>
        <w:t xml:space="preserve">[11] Luo et al. “Shadow in the Cache: Unveiling and Mitigating Privacy Risks of KV-cache in LLM Inference.” 2025. </w:t>
      </w:r>
      <w:hyperlink r:id="rId22">
        <w:r>
          <w:rPr>
            <w:color w:val="0563C1"/>
            <w:u w:val="single"/>
          </w:rPr>
          <w:t>https://arxiv.org/abs/2508.09442</w:t>
        </w:r>
      </w:hyperlink>
    </w:p>
    <w:p>
      <w:pPr>
        <w:spacing w:after="80"/>
        <w:ind w:left="288" w:hanging="288"/>
      </w:pPr>
      <w:r>
        <w:t xml:space="preserve">[12] Xiang et al. “BadChain: Backdoor Chain-of-Thought Prompting for Large Language Models.” ICLR 2024. </w:t>
      </w:r>
      <w:hyperlink r:id="rId23">
        <w:r>
          <w:rPr>
            <w:color w:val="0563C1"/>
            <w:u w:val="single"/>
          </w:rPr>
          <w:t>https://arxiv.org/abs/2401.12242</w:t>
        </w:r>
      </w:hyperlink>
    </w:p>
    <w:p>
      <w:pPr>
        <w:spacing w:after="80"/>
        <w:ind w:left="288" w:hanging="288"/>
      </w:pPr>
      <w:r>
        <w:t xml:space="preserve">[13] Hubinger et al. “Sleeper Agents: Training Deceptive LLMs that Persist Through Safety Training.” 2024. </w:t>
      </w:r>
      <w:hyperlink r:id="rId24">
        <w:r>
          <w:rPr>
            <w:color w:val="0563C1"/>
            <w:u w:val="single"/>
          </w:rPr>
          <w:t>https://arxiv.org/abs/2401.05566</w:t>
        </w:r>
      </w:hyperlink>
    </w:p>
    <w:p>
      <w:pPr>
        <w:spacing w:after="80"/>
        <w:ind w:left="288" w:hanging="288"/>
      </w:pPr>
      <w:r>
        <w:t xml:space="preserve">[14] Wu et al. “BackdoorBench: A Comprehensive Benchmark and Analysis of Backdoor Learning.” 2024. </w:t>
      </w:r>
      <w:hyperlink r:id="rId25">
        <w:r>
          <w:rPr>
            <w:color w:val="0563C1"/>
            <w:u w:val="single"/>
          </w:rPr>
          <w:t>https://arxiv.org/abs/2407.19845</w:t>
        </w:r>
      </w:hyperlink>
    </w:p>
    <w:p>
      <w:pPr>
        <w:spacing w:after="80"/>
        <w:ind w:left="288" w:hanging="288"/>
      </w:pPr>
      <w:r>
        <w:t xml:space="preserve">[15] Chen et al. “Dynamic Trigger Backdoor Attacks and a Two Stage FFT Based Defense in Federated Learning.” Internet of Things, 2026. </w:t>
      </w:r>
      <w:hyperlink r:id="rId26">
        <w:r>
          <w:rPr>
            <w:color w:val="0563C1"/>
            <w:u w:val="single"/>
          </w:rPr>
          <w:t>https://www.sciencedirect.com/science/article/abs/pii/S2542660526000818</w:t>
        </w:r>
      </w:hyperlink>
    </w:p>
    <w:p>
      <w:pPr>
        <w:spacing w:after="80"/>
        <w:ind w:left="288" w:hanging="288"/>
      </w:pPr>
      <w:r>
        <w:t xml:space="preserve">[16] USENIX Security 2027 Call for Papers. </w:t>
      </w:r>
      <w:hyperlink r:id="rId27">
        <w:r>
          <w:rPr>
            <w:color w:val="0563C1"/>
            <w:u w:val="single"/>
          </w:rPr>
          <w:t>https://www.usenix.org/conference/usenixsecurity27/call-for-papers</w:t>
        </w:r>
      </w:hyperlink>
    </w:p>
    <w:p>
      <w:pPr>
        <w:spacing w:after="80"/>
        <w:ind w:left="288" w:hanging="288"/>
      </w:pPr>
      <w:r>
        <w:t xml:space="preserve">[17] IEEE Symposium on Security and Privacy 2027 Call for Papers. </w:t>
      </w:r>
      <w:hyperlink r:id="rId28">
        <w:r>
          <w:rPr>
            <w:color w:val="0563C1"/>
            <w:u w:val="single"/>
          </w:rPr>
          <w:t>https://www.ieee-security.org/TC/SP2027/cfpapers.html</w:t>
        </w:r>
      </w:hyperlink>
    </w:p>
    <w:p>
      <w:pPr>
        <w:spacing w:after="80"/>
        <w:ind w:left="288" w:hanging="288"/>
      </w:pPr>
      <w:r>
        <w:t xml:space="preserve">[18] MLSys 2027 Dates and Deadlines. </w:t>
      </w:r>
      <w:hyperlink r:id="rId29">
        <w:r>
          <w:rPr>
            <w:color w:val="0563C1"/>
            <w:u w:val="single"/>
          </w:rPr>
          <w:t>https://mlsys.org/Conferences/2027/Dates</w:t>
        </w:r>
      </w:hyperlink>
    </w:p>
    <w:p>
      <w:pPr>
        <w:spacing w:after="80"/>
        <w:ind w:left="288" w:hanging="288"/>
      </w:pPr>
      <w:r>
        <w:t xml:space="preserve">[19] ICLR 2027 Call for Papers / Author Guidelines. </w:t>
      </w:r>
      <w:hyperlink r:id="rId30">
        <w:r>
          <w:rPr>
            <w:color w:val="0563C1"/>
            <w:u w:val="single"/>
          </w:rPr>
          <w:t>https://iclr.cc/Conferences/2027/CallForPapers</w:t>
        </w:r>
      </w:hyperlink>
    </w:p>
    <w:p>
      <w:pPr>
        <w:spacing w:after="80"/>
        <w:ind w:left="288" w:hanging="288"/>
      </w:pPr>
      <w:r>
        <w:t xml:space="preserve">[20] Transactions on Machine Learning Research submission information. </w:t>
      </w:r>
      <w:hyperlink r:id="rId31">
        <w:r>
          <w:rPr>
            <w:color w:val="0563C1"/>
            <w:u w:val="single"/>
          </w:rPr>
          <w:t>https://www.jmlr.org/tmlr/submissions.html</w:t>
        </w:r>
      </w:hyperlink>
    </w:p>
    <w:p>
      <w:pPr>
        <w:spacing w:after="80"/>
        <w:ind w:left="288" w:hanging="288"/>
      </w:pPr>
      <w:r>
        <w:t xml:space="preserve">[21] Journal of Machine Learning Research author information. </w:t>
      </w:r>
      <w:hyperlink r:id="rId32">
        <w:r>
          <w:rPr>
            <w:color w:val="0563C1"/>
            <w:u w:val="single"/>
          </w:rPr>
          <w:t>https://www.jmlr.org/author-info.html</w:t>
        </w:r>
      </w:hyperlink>
    </w:p>
    <w:p>
      <w:pPr>
        <w:spacing w:after="80"/>
        <w:ind w:left="288" w:hanging="288"/>
      </w:pPr>
      <w:r>
        <w:t xml:space="preserve">[22] IEEE Transactions on Information Forensics and Security scope and submission information. </w:t>
      </w:r>
      <w:hyperlink r:id="rId33">
        <w:r>
          <w:rPr>
            <w:color w:val="0563C1"/>
            <w:u w:val="single"/>
          </w:rPr>
          <w:t>https://signalprocessingsociety.org/publications-resources/ieee-transactions-information-forensics-and-security/ieee-transactions</w:t>
        </w:r>
      </w:hyperlink>
    </w:p>
    <w:p>
      <w:pPr>
        <w:pStyle w:val="Heading1"/>
      </w:pPr>
      <w:r>
        <w:t>17. Source Notes / Claims Discipline</w:t>
      </w:r>
    </w:p>
    <w:p>
      <w:r>
        <w:t>Three claims in this plan should be treated carefully in the eventual paper: (1) “runtime-conditioned backdoor” is a proposed organizing term, not an established canonical category; (2) the exact novelty claim that no prior paper intentionally uses KV-cache compression as a backdoor trigger must be re-checked immediately before submission; and (3) venue deadlines are time-sensitive. The literature review should distinguish published findings, preprints, systems papers, and the project’s own hypotheses.</w:t>
      </w:r>
    </w:p>
    <w:sectPr w:rsidR="00FC693F" w:rsidRPr="0006063C" w:rsidSect="00034616">
      <w:headerReference w:type="default" r:id="rId9"/>
      <w:footerReference w:type="default" r:id="rId10"/>
      <w:pgSz w:w="12240" w:h="15840"/>
      <w:pgMar w:top="1008" w:right="1008"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Research planning document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6969"/>
        <w:sz w:val="16"/>
      </w:rPr>
      <w:t>Runtime-Conditioned Backdoors • Research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A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4E6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65A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A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arxiv.org/abs/2309.17453" TargetMode="External"/><Relationship Id="rId13" Type="http://schemas.openxmlformats.org/officeDocument/2006/relationships/hyperlink" Target="https://arxiv.org/abs/2306.14048" TargetMode="External"/><Relationship Id="rId14" Type="http://schemas.openxmlformats.org/officeDocument/2006/relationships/hyperlink" Target="https://arxiv.org/abs/2305.17118" TargetMode="External"/><Relationship Id="rId15" Type="http://schemas.openxmlformats.org/officeDocument/2006/relationships/hyperlink" Target="https://arxiv.org/abs/2402.02750" TargetMode="External"/><Relationship Id="rId16" Type="http://schemas.openxmlformats.org/officeDocument/2006/relationships/hyperlink" Target="https://arxiv.org/abs/2404.14469" TargetMode="External"/><Relationship Id="rId17" Type="http://schemas.openxmlformats.org/officeDocument/2006/relationships/hyperlink" Target="https://arxiv.org/abs/2405.14366" TargetMode="External"/><Relationship Id="rId18" Type="http://schemas.openxmlformats.org/officeDocument/2006/relationships/hyperlink" Target="https://doi.org/10.1145/3651890.3672274" TargetMode="External"/><Relationship Id="rId19" Type="http://schemas.openxmlformats.org/officeDocument/2006/relationships/hyperlink" Target="https://aclanthology.org/2026.acl-long.1926/" TargetMode="External"/><Relationship Id="rId20" Type="http://schemas.openxmlformats.org/officeDocument/2006/relationships/hyperlink" Target="https://aclanthology.org/2026.acl-long.1123/" TargetMode="External"/><Relationship Id="rId21" Type="http://schemas.openxmlformats.org/officeDocument/2006/relationships/hyperlink" Target="https://arxiv.org/abs/2606.09864" TargetMode="External"/><Relationship Id="rId22" Type="http://schemas.openxmlformats.org/officeDocument/2006/relationships/hyperlink" Target="https://arxiv.org/abs/2508.09442" TargetMode="External"/><Relationship Id="rId23" Type="http://schemas.openxmlformats.org/officeDocument/2006/relationships/hyperlink" Target="https://arxiv.org/abs/2401.12242" TargetMode="External"/><Relationship Id="rId24" Type="http://schemas.openxmlformats.org/officeDocument/2006/relationships/hyperlink" Target="https://arxiv.org/abs/2401.05566" TargetMode="External"/><Relationship Id="rId25" Type="http://schemas.openxmlformats.org/officeDocument/2006/relationships/hyperlink" Target="https://arxiv.org/abs/2407.19845" TargetMode="External"/><Relationship Id="rId26" Type="http://schemas.openxmlformats.org/officeDocument/2006/relationships/hyperlink" Target="https://www.sciencedirect.com/science/article/abs/pii/S2542660526000818" TargetMode="External"/><Relationship Id="rId27" Type="http://schemas.openxmlformats.org/officeDocument/2006/relationships/hyperlink" Target="https://www.usenix.org/conference/usenixsecurity27/call-for-papers" TargetMode="External"/><Relationship Id="rId28" Type="http://schemas.openxmlformats.org/officeDocument/2006/relationships/hyperlink" Target="https://www.ieee-security.org/TC/SP2027/cfpapers.html" TargetMode="External"/><Relationship Id="rId29" Type="http://schemas.openxmlformats.org/officeDocument/2006/relationships/hyperlink" Target="https://mlsys.org/Conferences/2027/Dates" TargetMode="External"/><Relationship Id="rId30" Type="http://schemas.openxmlformats.org/officeDocument/2006/relationships/hyperlink" Target="https://iclr.cc/Conferences/2027/CallForPapers" TargetMode="External"/><Relationship Id="rId31" Type="http://schemas.openxmlformats.org/officeDocument/2006/relationships/hyperlink" Target="https://www.jmlr.org/tmlr/submissions.html" TargetMode="External"/><Relationship Id="rId32" Type="http://schemas.openxmlformats.org/officeDocument/2006/relationships/hyperlink" Target="https://www.jmlr.org/author-info.html" TargetMode="External"/><Relationship Id="rId33" Type="http://schemas.openxmlformats.org/officeDocument/2006/relationships/hyperlink" Target="https://signalprocessingsociety.org/publications-resources/ieee-transactions-information-forensics-and-security/ieee-trans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