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Date</w:t>
            </w:r>
          </w:p>
        </w:tc>
        <w:tc>
          <w:tcPr/>
          <w:p>
            <w:r>
              <w:rPr>
                <w:sz w:val="18"/>
              </w:rPr>
              <w:t>27 October 2026</w:t>
            </w:r>
          </w:p>
        </w:tc>
      </w:tr>
      <w:tr>
        <w:trPr>
          <w:cantSplit w:val="0"/>
          <w:tblHeader w:val="0"/>
        </w:trPr>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Team ID</w:t>
            </w:r>
          </w:p>
        </w:tc>
        <w:tc>
          <w:tcPr/>
          <w:p>
            <w:r>
              <w:rPr>
                <w:sz w:val="18"/>
              </w:rPr>
              <w:t>Individual Project</w:t>
            </w:r>
          </w:p>
        </w:tc>
      </w:tr>
      <w:tr>
        <w:trPr>
          <w:cantSplit w:val="0"/>
          <w:tblHeader w:val="0"/>
        </w:trPr>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Project Name</w:t>
            </w:r>
          </w:p>
        </w:tc>
        <w:tc>
          <w:tcPr/>
          <w:p>
            <w:r>
              <w:rPr>
                <w:sz w:val="18"/>
              </w:rPr>
              <w:t>EV Market Performance &amp; Insights Dashboard</w:t>
            </w:r>
          </w:p>
        </w:tc>
      </w:tr>
      <w:tr>
        <w:trPr>
          <w:cantSplit w:val="0"/>
          <w:tblHeader w:val="0"/>
        </w:trPr>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4 Marks</w:t>
            </w:r>
          </w:p>
        </w:tc>
      </w:tr>
    </w:tbl>
    <w:p w:rsidR="00000000" w:rsidDel="00000000" w:rsidP="00000000" w:rsidRDefault="00000000" w:rsidRPr="00000000" w14:paraId="0000000C">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D">
      <w:pPr>
        <w:rPr>
          <w:rFonts w:ascii="Arial" w:cs="Arial" w:eastAsia="Arial" w:hAnsi="Arial"/>
          <w:b w:val="1"/>
          <w:bCs w:val="1"/>
        </w:rPr>
      </w:pPr>
      <w:r w:rsidDel="00000000" w:rsidR="00000000" w:rsidRPr="00000000">
        <w:rPr>
          <w:rFonts w:ascii="Arial" w:cs="Arial" w:eastAsia="Arial" w:hAnsi="Arial"/>
          <w:b w:val="1"/>
          <w:bCs w:val="1"/>
          <w:rtl w:val="0"/>
        </w:rPr>
        <w:t xml:space="preserve">Data Flow Diagrams:</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000000" w:rsidDel="00000000" w:rsidP="00000000" w:rsidRDefault="00000000" w:rsidRPr="00000000" w14:paraId="0000000F">
      <w:pPr>
        <w:widowControl w:val="0"/>
        <w:spacing w:after="0" w:before="212.921142578125"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DFD Symbol Legend </w:t>
        <w:br w:type="textWrapping"/>
        <w:t xml:space="preserve">  </w:t>
      </w:r>
    </w:p>
    <w:tbl>
      <w:tblPr>
        <w:tblStyle w:val="Table2"/>
        <w:tblW w:w="14700.0" w:type="dxa"/>
        <w:jc w:val="left"/>
        <w:tblInd w:w="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2175"/>
        <w:gridCol w:w="9945"/>
        <w:tblGridChange w:id="0">
          <w:tblGrid>
            <w:gridCol w:w="2580"/>
            <w:gridCol w:w="2175"/>
            <w:gridCol w:w="9945"/>
          </w:tblGrid>
        </w:tblGridChange>
      </w:tblGrid>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after="0" w:line="240" w:lineRule="auto"/>
              <w:ind w:left="142.48001098632812"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Symbol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after="0" w:line="240" w:lineRule="auto"/>
              <w:ind w:left="143.35998535156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after="0" w:line="240" w:lineRule="auto"/>
              <w:ind w:left="138.1201171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rHeight w:val="11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after="0" w:line="240" w:lineRule="auto"/>
              <w:ind w:left="139.36004638671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Oval / Rounded </w:t>
            </w:r>
          </w:p>
          <w:p w:rsidR="00000000" w:rsidDel="00000000" w:rsidP="00000000" w:rsidRDefault="00000000" w:rsidRPr="00000000" w14:paraId="00000014">
            <w:pPr>
              <w:widowControl w:val="0"/>
              <w:spacing w:after="0" w:before="37.2930908203125" w:line="240" w:lineRule="auto"/>
              <w:ind w:left="139.6000671386718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shape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External Entity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after="0" w:line="264.3717384338379" w:lineRule="auto"/>
              <w:ind w:left="134.520263671875" w:right="408.51806640625" w:firstLine="2.39990234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person, organization, or system outside the project that sends or receives data (e.g., Customer, Payment Gateway).</w:t>
            </w:r>
          </w:p>
        </w:tc>
      </w:tr>
      <w:tr>
        <w:trPr>
          <w:cantSplit w:val="0"/>
          <w:trHeight w:val="11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after="0" w:line="240" w:lineRule="auto"/>
              <w:ind w:left="134.55993652343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Rectangle with </w:t>
            </w:r>
          </w:p>
          <w:p w:rsidR="00000000" w:rsidDel="00000000" w:rsidP="00000000" w:rsidRDefault="00000000" w:rsidRPr="00000000" w14:paraId="00000018">
            <w:pPr>
              <w:widowControl w:val="0"/>
              <w:spacing w:after="0" w:before="37.2930908203125" w:line="240" w:lineRule="auto"/>
              <w:ind w:left="138.15994262695312"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numbered header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after="0" w:line="240" w:lineRule="auto"/>
              <w:ind w:left="146.000061035156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Process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after="0" w:line="264.3717384338379" w:lineRule="auto"/>
              <w:ind w:left="143.1597900390625" w:right="306.336669921875" w:hanging="6.2396240234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activity that transforms incoming data into outgoing data (e.g., Validate Request, Process Order).</w:t>
            </w:r>
          </w:p>
        </w:tc>
      </w:tr>
      <w:tr>
        <w:trPr>
          <w:cantSplit w:val="0"/>
          <w:trHeight w:val="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after="0" w:line="264.3717384338379" w:lineRule="auto"/>
              <w:ind w:left="138.15994262695312" w:right="297.51495361328125" w:hanging="3.60000610351562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Rectangle (solid fill, no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after="0" w:line="240" w:lineRule="auto"/>
              <w:ind w:left="143.1201171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Store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after="0" w:line="264.3717384338379" w:lineRule="auto"/>
              <w:ind w:left="143.64013671875" w:right="473.798828125" w:hanging="6.7199707031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place where data is held for later use (e.g., Customer Database, Inventory).</w:t>
            </w:r>
          </w:p>
        </w:tc>
      </w:tr>
      <w:tr>
        <w:trPr>
          <w:cantSplit w:val="0"/>
          <w:trHeight w:val="11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after="0" w:line="240" w:lineRule="auto"/>
              <w:ind w:left="134.55993652343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Labeled arrow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after="0" w:line="240" w:lineRule="auto"/>
              <w:ind w:left="143.1201171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after="0" w:line="264.3717384338379" w:lineRule="auto"/>
              <w:ind w:left="134.520263671875" w:right="471.29150390625" w:firstLine="7.679443359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movement of data between entities, processes, and data stores, labeled with what data is being passed.</w:t>
            </w:r>
          </w:p>
        </w:tc>
      </w:tr>
    </w:tbl>
    <w:p w:rsidR="00000000" w:rsidDel="00000000" w:rsidP="00000000" w:rsidRDefault="00000000" w:rsidRPr="00000000" w14:paraId="00000021">
      <w:pPr>
        <w:widowControl w:val="0"/>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2">
      <w:pPr>
        <w:rPr>
          <w:rFonts w:ascii="Arial" w:cs="Arial" w:eastAsia="Arial" w:hAnsi="Arial"/>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-752474</wp:posOffset>
                </wp:positionH>
                <wp:positionV relativeFrom="paragraph">
                  <wp:posOffset>178443</wp:posOffset>
                </wp:positionV>
                <wp:extent cx="3613150" cy="381000"/>
                <wp:effectExtent b="0" l="0" r="0" t="0"/>
                <wp:wrapNone/>
                <wp:docPr id="11" name=""/>
                <a:graphic>
                  <a:graphicData uri="http://schemas.microsoft.com/office/word/2010/wordprocessingShape">
                    <wps:wsp>
                      <wps:cNvSpPr/>
                      <wps:cNvPr id="2" name="Shape 2"/>
                      <wps:spPr>
                        <a:xfrm>
                          <a:off x="3548950" y="3599025"/>
                          <a:ext cx="3594100" cy="3619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Example: DFD Level 0 (Industry Standard)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-752474</wp:posOffset>
                </wp:positionH>
                <wp:positionV relativeFrom="paragraph">
                  <wp:posOffset>178443</wp:posOffset>
                </wp:positionV>
                <wp:extent cx="3613150" cy="381000"/>
                <wp:effectExtent b="0" l="0" r="0" t="0"/>
                <wp:wrapNone/>
                <wp:docPr id="11"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3613150" cy="381000"/>
                        </a:xfrm>
                        <a:prstGeom prst="rect"/>
                        <a:ln/>
                      </pic:spPr>
                    </pic:pic>
                  </a:graphicData>
                </a:graphic>
              </wp:anchor>
            </w:drawing>
          </mc:Fallback>
        </mc:AlternateContent>
      </w:r>
    </w:p>
    <w:p w:rsidR="00000000" w:rsidDel="00000000" w:rsidP="00000000" w:rsidRDefault="00000000" w:rsidRPr="00000000" w14:paraId="00000023">
      <w:pPr>
        <w:rPr>
          <w:rFonts w:ascii="Arial" w:cs="Arial" w:eastAsia="Arial" w:hAnsi="Arial"/>
        </w:rPr>
      </w:pPr>
      <w:r w:rsidDel="00000000" w:rsidR="00000000" w:rsidRPr="00000000">
        <w:rPr>
          <w:rtl w:val="0"/>
        </w:rPr>
      </w:r>
    </w:p>
    <w:p w:rsidR="00000000" w:rsidDel="00000000" w:rsidP="00000000" w:rsidRDefault="00000000" w:rsidRPr="00000000" w14:paraId="00000024">
      <w:pPr>
        <w:rPr>
          <w:rFonts w:ascii="Arial" w:cs="Arial" w:eastAsia="Arial" w:hAnsi="Arial"/>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4694238</wp:posOffset>
                </wp:positionH>
                <wp:positionV relativeFrom="paragraph">
                  <wp:posOffset>211138</wp:posOffset>
                </wp:positionV>
                <wp:extent cx="44450" cy="2838450"/>
                <wp:effectExtent b="0" l="0" r="0" t="0"/>
                <wp:wrapNone/>
                <wp:docPr id="12" name=""/>
                <a:graphic>
                  <a:graphicData uri="http://schemas.microsoft.com/office/word/2010/wordprocessingShape">
                    <wps:wsp>
                      <wps:cNvCnPr/>
                      <wps:spPr>
                        <a:xfrm>
                          <a:off x="5333300" y="2370300"/>
                          <a:ext cx="25400" cy="2819400"/>
                        </a:xfrm>
                        <a:prstGeom prst="straightConnector1">
                          <a:avLst/>
                        </a:prstGeom>
                        <a:noFill/>
                        <a:ln cap="flat" cmpd="sng" w="9525">
                          <a:solidFill>
                            <a:schemeClr val="accent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4694238</wp:posOffset>
                </wp:positionH>
                <wp:positionV relativeFrom="paragraph">
                  <wp:posOffset>211138</wp:posOffset>
                </wp:positionV>
                <wp:extent cx="44450" cy="2838450"/>
                <wp:effectExtent b="0" l="0" r="0" t="0"/>
                <wp:wrapNone/>
                <wp:docPr id="12"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44450" cy="2838450"/>
                        </a:xfrm>
                        <a:prstGeom prst="rect"/>
                        <a:ln/>
                      </pic:spPr>
                    </pic:pic>
                  </a:graphicData>
                </a:graphic>
              </wp:anchor>
            </w:drawing>
          </mc:Fallback>
        </mc:AlternateContent>
      </w:r>
    </w:p>
    <w:p w:rsidR="00000000" w:rsidDel="00000000" w:rsidP="00000000" w:rsidRDefault="00000000" w:rsidRPr="00000000" w14:paraId="00000025">
      <w:pPr>
        <w:widowControl w:val="0"/>
        <w:spacing w:after="0" w:line="204.85629558563232" w:lineRule="auto"/>
        <w:ind w:left="675" w:firstLine="0"/>
        <w:jc w:val="center"/>
        <w:rPr>
          <w:rFonts w:ascii="Arial" w:cs="Arial" w:eastAsia="Arial" w:hAnsi="Arial"/>
          <w:b w:val="1"/>
          <w:bCs w:val="1"/>
        </w:rPr>
      </w:pPr>
      <w:r w:rsidDel="00000000" w:rsidR="00000000" w:rsidRPr="00000000">
        <w:rPr>
          <w:rFonts w:ascii="Times New Roman" w:cs="Times New Roman" w:eastAsia="Times New Roman" w:hAnsi="Times New Roman"/>
          <w:sz w:val="24"/>
          <w:szCs w:val="24"/>
        </w:rPr>
        <w:drawing>
          <wp:inline distB="19050" distT="19050" distL="19050" distR="19050">
            <wp:extent cx="5705475" cy="3095625"/>
            <wp:effectExtent b="0" l="0" r="0" t="0"/>
            <wp:docPr id="1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05475" cy="3095625"/>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7">
      <w:pPr>
        <w:widowControl w:val="0"/>
        <w:spacing w:after="0" w:line="204.85629558563232" w:lineRule="auto"/>
        <w:ind w:left="675" w:firstLine="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28">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9">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A">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B">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C">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D">
      <w:pPr>
        <w:rPr>
          <w:rFonts w:ascii="Arial" w:cs="Arial" w:eastAsia="Arial" w:hAnsi="Arial"/>
          <w:b w:val="1"/>
          <w:bCs w:val="1"/>
        </w:rPr>
      </w:pPr>
      <w:r w:rsidDel="00000000" w:rsidR="00000000" w:rsidRPr="00000000">
        <w:rPr>
          <w:rFonts w:ascii="Arial" w:cs="Arial" w:eastAsia="Arial" w:hAnsi="Arial"/>
          <w:b w:val="1"/>
          <w:bCs w:val="1"/>
          <w:rtl w:val="0"/>
        </w:rPr>
        <w:t xml:space="preserve">User Stories</w:t>
      </w:r>
    </w:p>
    <w:p w:rsidR="00000000" w:rsidDel="00000000" w:rsidP="00000000" w:rsidRDefault="00000000" w:rsidRPr="00000000" w14:paraId="0000002E">
      <w:pPr>
        <w:rPr>
          <w:rFonts w:ascii="Arial" w:cs="Arial" w:eastAsia="Arial" w:hAnsi="Arial"/>
        </w:rPr>
      </w:pPr>
      <w:r w:rsidDel="00000000" w:rsidR="00000000" w:rsidRPr="00000000">
        <w:rPr>
          <w:rFonts w:ascii="Arial" w:cs="Arial" w:eastAsia="Arial" w:hAnsi="Arial"/>
          <w:rtl w:val="0"/>
        </w:rPr>
        <w:t xml:space="preserve">Use the below template to list all the user stories for the product.</w:t>
      </w:r>
    </w:p>
    <w:tbl>
      <w:tblPr>
        <w:tblStyle w:val="Table3"/>
        <w:tblW w:w="1449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50"/>
        <w:gridCol w:w="1309"/>
        <w:gridCol w:w="4328"/>
        <w:gridCol w:w="2596"/>
        <w:gridCol w:w="1374"/>
        <w:gridCol w:w="1374"/>
        <w:tblGridChange w:id="0">
          <w:tblGrid>
            <w:gridCol w:w="1667"/>
            <w:gridCol w:w="1850"/>
            <w:gridCol w:w="1309"/>
            <w:gridCol w:w="4328"/>
            <w:gridCol w:w="2596"/>
            <w:gridCol w:w="1374"/>
            <w:gridCol w:w="1374"/>
          </w:tblGrid>
        </w:tblGridChange>
      </w:tblGrid>
      <w:tr>
        <w:trPr>
          <w:cantSplit w:val="0"/>
          <w:trHeight w:val="275" w:hRule="atLeast"/>
          <w:tblHeader w:val="1"/>
        </w:trPr>
        <w:tc>
          <w:tcPr/>
          <w:p w:rsidR="00000000" w:rsidDel="00000000" w:rsidP="00000000" w:rsidRDefault="00000000" w:rsidRPr="00000000" w14:paraId="0000002F">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Type</w:t>
            </w:r>
          </w:p>
        </w:tc>
        <w:tc>
          <w:tcPr/>
          <w:p w:rsidR="00000000" w:rsidDel="00000000" w:rsidP="00000000" w:rsidRDefault="00000000" w:rsidRPr="00000000" w14:paraId="00000030">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Functional Requirement (Epic)</w:t>
            </w:r>
          </w:p>
        </w:tc>
        <w:tc>
          <w:tcPr/>
          <w:p w:rsidR="00000000" w:rsidDel="00000000" w:rsidP="00000000" w:rsidRDefault="00000000" w:rsidRPr="00000000" w14:paraId="00000031">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Story Number</w:t>
            </w:r>
          </w:p>
        </w:tc>
        <w:tc>
          <w:tcPr/>
          <w:p w:rsidR="00000000" w:rsidDel="00000000" w:rsidP="00000000" w:rsidRDefault="00000000" w:rsidRPr="00000000" w14:paraId="00000032">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Story / Task</w:t>
            </w:r>
          </w:p>
        </w:tc>
        <w:tc>
          <w:tcPr/>
          <w:p w:rsidR="00000000" w:rsidDel="00000000" w:rsidP="00000000" w:rsidRDefault="00000000" w:rsidRPr="00000000" w14:paraId="00000033">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Acceptance criteria </w:t>
            </w:r>
          </w:p>
        </w:tc>
        <w:tc>
          <w:tcPr/>
          <w:p w:rsidR="00000000" w:rsidDel="00000000" w:rsidP="00000000" w:rsidRDefault="00000000" w:rsidRPr="00000000" w14:paraId="00000034">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Priority</w:t>
            </w:r>
          </w:p>
        </w:tc>
        <w:tc>
          <w:tcPr/>
          <w:p w:rsidR="00000000" w:rsidDel="00000000" w:rsidP="00000000" w:rsidRDefault="00000000" w:rsidRPr="00000000" w14:paraId="00000035">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Release</w:t>
            </w:r>
          </w:p>
        </w:tc>
      </w:tr>
      <w:tr>
        <w:trPr>
          <w:cantSplit w:val="0"/>
          <w:trHeight w:val="404" w:hRule="atLeast"/>
          <w:tblHeader w:val="0"/>
        </w:trPr>
        <w:tc>
          <w:tcPr/>
          <w:p>
            <w:r>
              <w:rPr>
                <w:sz w:val="18"/>
              </w:rPr>
              <w:t>Viewer</w:t>
            </w:r>
          </w:p>
        </w:tc>
        <w:tc>
          <w:tcPr/>
          <w:p>
            <w:r>
              <w:rPr>
                <w:sz w:val="18"/>
              </w:rPr>
              <w:t>Dashboard overview</w:t>
            </w:r>
          </w:p>
        </w:tc>
        <w:tc>
          <w:tcPr/>
          <w:p>
            <w:r>
              <w:rPr>
                <w:sz w:val="18"/>
              </w:rPr>
              <w:t>US-1</w:t>
            </w:r>
          </w:p>
        </w:tc>
        <w:tc>
          <w:tcPr/>
          <w:p>
            <w:r>
              <w:rPr>
                <w:sz w:val="18"/>
              </w:rPr>
              <w:t>As a viewer, I can see the main EV market KPIs at a glance.</w:t>
            </w:r>
          </w:p>
        </w:tc>
        <w:tc>
          <w:tcPr/>
          <w:p>
            <w:r>
              <w:rPr>
                <w:sz w:val="18"/>
              </w:rPr>
              <w:t>KPI cards show record count, average battery capacity and average driving range.</w:t>
            </w:r>
          </w:p>
        </w:tc>
        <w:tc>
          <w:tcPr/>
          <w:p>
            <w:r>
              <w:rPr>
                <w:sz w:val="18"/>
              </w:rPr>
              <w:t>High</w:t>
            </w:r>
          </w:p>
        </w:tc>
        <w:tc>
          <w:tcPr/>
          <w:p>
            <w:r>
              <w:rPr>
                <w:sz w:val="18"/>
              </w:rPr>
              <w:t>Release 1</w:t>
            </w:r>
          </w:p>
        </w:tc>
      </w:tr>
      <w:tr>
        <w:trPr>
          <w:cantSplit w:val="0"/>
          <w:trHeight w:val="404" w:hRule="atLeast"/>
          <w:tblHeader w:val="0"/>
        </w:trPr>
        <w:tc>
          <w:tcPr/>
          <w:p>
            <w:r>
              <w:rPr>
                <w:sz w:val="18"/>
              </w:rPr>
              <w:t>Viewer</w:t>
            </w:r>
          </w:p>
        </w:tc>
        <w:tc>
          <w:tcPr/>
          <w:p>
            <w:r>
              <w:rPr>
                <w:sz w:val="18"/>
              </w:rPr>
              <w:t>Manufacturer comparison</w:t>
            </w:r>
          </w:p>
        </w:tc>
        <w:tc>
          <w:tcPr/>
          <w:p>
            <w:r>
              <w:rPr>
                <w:sz w:val="18"/>
              </w:rPr>
              <w:t>US-2</w:t>
            </w:r>
          </w:p>
        </w:tc>
        <w:tc>
          <w:tcPr/>
          <w:p>
            <w:r>
              <w:rPr>
                <w:sz w:val="18"/>
              </w:rPr>
              <w:t>As a viewer, I can compare EV record counts across manufacturers.</w:t>
            </w:r>
          </w:p>
        </w:tc>
        <w:tc>
          <w:tcPr/>
          <w:p>
            <w:r>
              <w:rPr>
                <w:sz w:val="18"/>
              </w:rPr>
              <w:t>A chart displays counts grouped by manufacturer.</w:t>
            </w:r>
          </w:p>
        </w:tc>
        <w:tc>
          <w:tcPr/>
          <w:p>
            <w:r>
              <w:rPr>
                <w:sz w:val="18"/>
              </w:rPr>
              <w:t>High</w:t>
            </w:r>
          </w:p>
        </w:tc>
        <w:tc>
          <w:tcPr/>
          <w:p>
            <w:r>
              <w:rPr>
                <w:sz w:val="18"/>
              </w:rPr>
              <w:t>Release 1</w:t>
            </w:r>
          </w:p>
        </w:tc>
      </w:tr>
      <w:tr>
        <w:trPr>
          <w:cantSplit w:val="0"/>
          <w:trHeight w:val="404" w:hRule="atLeast"/>
          <w:tblHeader w:val="0"/>
        </w:trPr>
        <w:tc>
          <w:tcPr/>
          <w:p>
            <w:r>
              <w:rPr>
                <w:sz w:val="18"/>
              </w:rPr>
              <w:t>Viewer</w:t>
            </w:r>
          </w:p>
        </w:tc>
        <w:tc>
          <w:tcPr/>
          <w:p>
            <w:r>
              <w:rPr>
                <w:sz w:val="18"/>
              </w:rPr>
              <w:t>Country distribution</w:t>
            </w:r>
          </w:p>
        </w:tc>
        <w:tc>
          <w:tcPr/>
          <w:p>
            <w:r>
              <w:rPr>
                <w:sz w:val="18"/>
              </w:rPr>
              <w:t>US-3</w:t>
            </w:r>
          </w:p>
        </w:tc>
        <w:tc>
          <w:tcPr/>
          <w:p>
            <w:r>
              <w:rPr>
                <w:sz w:val="18"/>
              </w:rPr>
              <w:t>As a viewer, I can review EV records by manufacturing country.</w:t>
            </w:r>
          </w:p>
        </w:tc>
        <w:tc>
          <w:tcPr/>
          <w:p>
            <w:r>
              <w:rPr>
                <w:sz w:val="18"/>
              </w:rPr>
              <w:t>A chart groups EV counts by country.</w:t>
            </w:r>
          </w:p>
        </w:tc>
        <w:tc>
          <w:tcPr/>
          <w:p>
            <w:r>
              <w:rPr>
                <w:sz w:val="18"/>
              </w:rPr>
              <w:t>High</w:t>
            </w:r>
          </w:p>
        </w:tc>
        <w:tc>
          <w:tcPr/>
          <w:p>
            <w:r>
              <w:rPr>
                <w:sz w:val="18"/>
              </w:rPr>
              <w:t>Release 1</w:t>
            </w:r>
          </w:p>
        </w:tc>
      </w:tr>
      <w:tr>
        <w:trPr>
          <w:cantSplit w:val="0"/>
          <w:trHeight w:val="404" w:hRule="atLeast"/>
          <w:tblHeader w:val="0"/>
        </w:trPr>
        <w:tc>
          <w:tcPr/>
          <w:p>
            <w:r>
              <w:rPr>
                <w:sz w:val="18"/>
              </w:rPr>
              <w:t>Viewer</w:t>
            </w:r>
          </w:p>
        </w:tc>
        <w:tc>
          <w:tcPr/>
          <w:p>
            <w:r>
              <w:rPr>
                <w:sz w:val="18"/>
              </w:rPr>
              <w:t>Understand metric units</w:t>
            </w:r>
          </w:p>
        </w:tc>
        <w:tc>
          <w:tcPr/>
          <w:p>
            <w:r>
              <w:rPr>
                <w:sz w:val="18"/>
              </w:rPr>
              <w:t>US-4</w:t>
            </w:r>
          </w:p>
        </w:tc>
        <w:tc>
          <w:tcPr/>
          <w:p>
            <w:r>
              <w:rPr>
                <w:sz w:val="18"/>
              </w:rPr>
              <w:t>As a viewer, I can understand the meaning and units of each KPI.</w:t>
            </w:r>
          </w:p>
        </w:tc>
        <w:tc>
          <w:tcPr/>
          <w:p>
            <w:r>
              <w:rPr>
                <w:sz w:val="18"/>
              </w:rPr>
              <w:t>Battery capacity is labelled kWh and range is labelled km.</w:t>
            </w:r>
          </w:p>
        </w:tc>
        <w:tc>
          <w:tcPr/>
          <w:p>
            <w:r>
              <w:rPr>
                <w:sz w:val="18"/>
              </w:rPr>
              <w:t>Medium</w:t>
            </w:r>
          </w:p>
        </w:tc>
        <w:tc>
          <w:tcPr/>
          <w:p>
            <w:r>
              <w:rPr>
                <w:sz w:val="18"/>
              </w:rPr>
              <w:t>Release 1</w:t>
            </w:r>
          </w:p>
        </w:tc>
      </w:tr>
      <w:tr>
        <w:trPr>
          <w:cantSplit w:val="0"/>
          <w:trHeight w:val="404" w:hRule="atLeast"/>
          <w:tblHeader w:val="0"/>
        </w:trPr>
        <w:tc>
          <w:tcPr/>
          <w:p>
            <w:r>
              <w:rPr>
                <w:sz w:val="18"/>
              </w:rPr>
              <w:t>Reviewer</w:t>
            </w:r>
          </w:p>
        </w:tc>
        <w:tc>
          <w:tcPr/>
          <w:p>
            <w:r>
              <w:rPr>
                <w:sz w:val="18"/>
              </w:rPr>
              <w:t>Open online dashboard</w:t>
            </w:r>
          </w:p>
        </w:tc>
        <w:tc>
          <w:tcPr/>
          <w:p>
            <w:r>
              <w:rPr>
                <w:sz w:val="18"/>
              </w:rPr>
              <w:t>US-5</w:t>
            </w:r>
          </w:p>
        </w:tc>
        <w:tc>
          <w:tcPr/>
          <w:p>
            <w:r>
              <w:rPr>
                <w:sz w:val="18"/>
              </w:rPr>
              <w:t>As a reviewer, I can open the published dashboard from a link.</w:t>
            </w:r>
          </w:p>
        </w:tc>
        <w:tc>
          <w:tcPr/>
          <w:p>
            <w:r>
              <w:rPr>
                <w:sz w:val="18"/>
              </w:rPr>
              <w:t>Tableau Public URL opens the dashboard.</w:t>
            </w:r>
          </w:p>
        </w:tc>
        <w:tc>
          <w:tcPr/>
          <w:p>
            <w:r>
              <w:rPr>
                <w:sz w:val="18"/>
              </w:rPr>
              <w:t>High</w:t>
            </w:r>
          </w:p>
        </w:tc>
        <w:tc>
          <w:tcPr/>
          <w:p>
            <w:r>
              <w:rPr>
                <w:sz w:val="18"/>
              </w:rPr>
              <w:t>Release 1</w:t>
            </w:r>
          </w:p>
        </w:tc>
      </w:tr>
      <w:tr>
        <w:trPr>
          <w:cantSplit w:val="0"/>
          <w:trHeight w:val="404" w:hRule="atLeast"/>
          <w:tblHeader w:val="0"/>
        </w:trPr>
        <w:tc>
          <w:tcPr/>
          <w:p>
            <w:r>
              <w:rPr>
                <w:sz w:val="18"/>
              </w:rPr>
              <w:t>Reviewer</w:t>
            </w:r>
          </w:p>
        </w:tc>
        <w:tc>
          <w:tcPr/>
          <w:p>
            <w:r>
              <w:rPr>
                <w:sz w:val="18"/>
              </w:rPr>
              <w:t>Inspect project files</w:t>
            </w:r>
          </w:p>
        </w:tc>
        <w:tc>
          <w:tcPr/>
          <w:p>
            <w:r>
              <w:rPr>
                <w:sz w:val="18"/>
              </w:rPr>
              <w:t>US-6</w:t>
            </w:r>
          </w:p>
        </w:tc>
        <w:tc>
          <w:tcPr/>
          <w:p>
            <w:r>
              <w:rPr>
                <w:sz w:val="18"/>
              </w:rPr>
              <w:t>As a reviewer, I can find project documentation and workbook files.</w:t>
            </w:r>
          </w:p>
        </w:tc>
        <w:tc>
          <w:tcPr/>
          <w:p>
            <w:r>
              <w:rPr>
                <w:sz w:val="18"/>
              </w:rPr>
              <w:t>GitHub repository contains README, workbook and screenshot.</w:t>
            </w:r>
          </w:p>
        </w:tc>
        <w:tc>
          <w:tcPr/>
          <w:p>
            <w:r>
              <w:rPr>
                <w:sz w:val="18"/>
              </w:rPr>
              <w:t>High</w:t>
            </w:r>
          </w:p>
        </w:tc>
        <w:tc>
          <w:tcPr/>
          <w:p>
            <w:r>
              <w:rPr>
                <w:sz w:val="18"/>
              </w:rPr>
              <w:t>Release 1</w:t>
            </w:r>
          </w:p>
        </w:tc>
      </w:tr>
      <w:tr>
        <w:trPr>
          <w:cantSplit w:val="0"/>
          <w:trHeight w:val="404" w:hRule="atLeast"/>
          <w:tblHeader w:val="0"/>
        </w:trPr>
        <w:tc>
          <w:tcPr/>
          <w:p>
            <w:r>
              <w:rPr>
                <w:sz w:val="18"/>
              </w:rPr>
              <w:t>Analyst</w:t>
            </w:r>
          </w:p>
        </w:tc>
        <w:tc>
          <w:tcPr/>
          <w:p>
            <w:r>
              <w:rPr>
                <w:sz w:val="18"/>
              </w:rPr>
              <w:t>Review manufacturer patterns</w:t>
            </w:r>
          </w:p>
        </w:tc>
        <w:tc>
          <w:tcPr/>
          <w:p>
            <w:r>
              <w:rPr>
                <w:sz w:val="18"/>
              </w:rPr>
              <w:t>US-7</w:t>
            </w:r>
          </w:p>
        </w:tc>
        <w:tc>
          <w:tcPr/>
          <w:p>
            <w:r>
              <w:rPr>
                <w:sz w:val="18"/>
              </w:rPr>
              <w:t>As an analyst, I can identify manufacturers with higher record counts.</w:t>
            </w:r>
          </w:p>
        </w:tc>
        <w:tc>
          <w:tcPr/>
          <w:p>
            <w:r>
              <w:rPr>
                <w:sz w:val="18"/>
              </w:rPr>
              <w:t>The manufacturer chart supports visual comparison.</w:t>
            </w:r>
          </w:p>
        </w:tc>
        <w:tc>
          <w:tcPr/>
          <w:p>
            <w:r>
              <w:rPr>
                <w:sz w:val="18"/>
              </w:rPr>
              <w:t>Medium</w:t>
            </w:r>
          </w:p>
        </w:tc>
        <w:tc>
          <w:tcPr/>
          <w:p>
            <w:r>
              <w:rPr>
                <w:sz w:val="18"/>
              </w:rPr>
              <w:t>Release 1</w:t>
            </w:r>
          </w:p>
        </w:tc>
      </w:tr>
      <w:tr>
        <w:trPr>
          <w:cantSplit w:val="0"/>
          <w:trHeight w:val="404" w:hRule="atLeast"/>
          <w:tblHeader w:val="0"/>
        </w:trPr>
        <w:tc>
          <w:tcPr/>
          <w:p>
            <w:r>
              <w:rPr>
                <w:sz w:val="18"/>
              </w:rPr>
              <w:t>Analyst</w:t>
            </w:r>
          </w:p>
        </w:tc>
        <w:tc>
          <w:tcPr/>
          <w:p>
            <w:r>
              <w:rPr>
                <w:sz w:val="18"/>
              </w:rPr>
              <w:t>Review data coverage</w:t>
            </w:r>
          </w:p>
        </w:tc>
        <w:tc>
          <w:tcPr/>
          <w:p>
            <w:r>
              <w:rPr>
                <w:sz w:val="18"/>
              </w:rPr>
              <w:t>US-8</w:t>
            </w:r>
          </w:p>
        </w:tc>
        <w:tc>
          <w:tcPr/>
          <w:p>
            <w:r>
              <w:rPr>
                <w:sz w:val="18"/>
              </w:rPr>
              <w:t>As an analyst, I can inspect the country distribution shown in the dataset.</w:t>
            </w:r>
          </w:p>
        </w:tc>
        <w:tc>
          <w:tcPr/>
          <w:p>
            <w:r>
              <w:rPr>
                <w:sz w:val="18"/>
              </w:rPr>
              <w:t>Country chart includes available categories from the dataset.</w:t>
            </w:r>
          </w:p>
        </w:tc>
        <w:tc>
          <w:tcPr/>
          <w:p>
            <w:r>
              <w:rPr>
                <w:sz w:val="18"/>
              </w:rPr>
              <w:t>Medium</w:t>
            </w:r>
          </w:p>
        </w:tc>
        <w:tc>
          <w:tcPr/>
          <w:p>
            <w:r>
              <w:rPr>
                <w:sz w:val="18"/>
              </w:rPr>
              <w:t>Release 1</w:t>
            </w:r>
          </w:p>
        </w:tc>
      </w:tr>
      <w:tr>
        <w:trPr>
          <w:cantSplit w:val="0"/>
          <w:trHeight w:val="388" w:hRule="atLeast"/>
          <w:tblHeader w:val="0"/>
        </w:trPr>
        <w:tc>
          <w:tcPr/>
          <w:p>
            <w:r>
              <w:rPr>
                <w:sz w:val="18"/>
              </w:rPr>
              <w:t>Student</w:t>
            </w:r>
          </w:p>
        </w:tc>
        <w:tc>
          <w:tcPr/>
          <w:p>
            <w:r>
              <w:rPr>
                <w:sz w:val="18"/>
              </w:rPr>
              <w:t>Explain findings</w:t>
            </w:r>
          </w:p>
        </w:tc>
        <w:tc>
          <w:tcPr/>
          <w:p>
            <w:r>
              <w:rPr>
                <w:sz w:val="18"/>
              </w:rPr>
              <w:t>US-9</w:t>
            </w:r>
          </w:p>
        </w:tc>
        <w:tc>
          <w:tcPr/>
          <w:p>
            <w:r>
              <w:rPr>
                <w:sz w:val="18"/>
              </w:rPr>
              <w:t>As a student, I can present the dashboard and explain its main observations.</w:t>
            </w:r>
          </w:p>
        </w:tc>
        <w:tc>
          <w:tcPr/>
          <w:p>
            <w:r>
              <w:rPr>
                <w:sz w:val="18"/>
              </w:rPr>
              <w:t>Dashboard and README are available for presentation.</w:t>
            </w:r>
          </w:p>
        </w:tc>
        <w:tc>
          <w:tcPr/>
          <w:p>
            <w:r>
              <w:rPr>
                <w:sz w:val="18"/>
              </w:rPr>
              <w:t>Medium</w:t>
            </w:r>
          </w:p>
        </w:tc>
        <w:tc>
          <w:tcPr/>
          <w:p>
            <w:r>
              <w:rPr>
                <w:sz w:val="18"/>
              </w:rPr>
              <w:t>Release 1</w:t>
            </w:r>
          </w:p>
        </w:tc>
      </w:tr>
      <w:tr>
        <w:trPr>
          <w:cantSplit w:val="0"/>
          <w:trHeight w:val="404" w:hRule="atLeast"/>
          <w:tblHeader w:val="0"/>
        </w:trPr>
        <w:tc>
          <w:tcPr/>
          <w:p>
            <w:r>
              <w:rPr>
                <w:sz w:val="18"/>
              </w:rPr>
              <w:t>Maintainer</w:t>
            </w:r>
          </w:p>
        </w:tc>
        <w:tc>
          <w:tcPr/>
          <w:p>
            <w:r>
              <w:rPr>
                <w:sz w:val="18"/>
              </w:rPr>
              <w:t>Update project assets</w:t>
            </w:r>
          </w:p>
        </w:tc>
        <w:tc>
          <w:tcPr/>
          <w:p>
            <w:r>
              <w:rPr>
                <w:sz w:val="18"/>
              </w:rPr>
              <w:t>US-10</w:t>
            </w:r>
          </w:p>
        </w:tc>
        <w:tc>
          <w:tcPr/>
          <w:p>
            <w:r>
              <w:rPr>
                <w:sz w:val="18"/>
              </w:rPr>
              <w:t>As a maintainer, I can update the workbook and documentation in GitHub.</w:t>
            </w:r>
          </w:p>
        </w:tc>
        <w:tc>
          <w:tcPr/>
          <w:p>
            <w:r>
              <w:rPr>
                <w:sz w:val="18"/>
              </w:rPr>
              <w:t>Repository supports versioned file updates.</w:t>
            </w:r>
          </w:p>
        </w:tc>
        <w:tc>
          <w:tcPr/>
          <w:p>
            <w:r>
              <w:rPr>
                <w:sz w:val="18"/>
              </w:rPr>
              <w:t>Low</w:t>
            </w:r>
          </w:p>
        </w:tc>
        <w:tc>
          <w:tcPr/>
          <w:p>
            <w:r>
              <w:rPr>
                <w:sz w:val="18"/>
              </w:rPr>
              <w:t>Future</w:t>
            </w:r>
          </w:p>
        </w:tc>
      </w:tr>
      <w:tr>
        <w:trPr>
          <w:cantSplit w:val="0"/>
          <w:trHeight w:val="404" w:hRule="atLeast"/>
          <w:tblHeader w:val="0"/>
        </w:trPr>
        <w:tc>
          <w:tcPr/>
          <w:p w:rsidR="00000000" w:rsidDel="00000000" w:rsidP="00000000" w:rsidRDefault="00000000" w:rsidRPr="00000000" w14:paraId="0000007C">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7D">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7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7F">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80">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81">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82">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83">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84">
            <w:pPr>
              <w:rPr>
                <w:rFonts w:ascii="Arial" w:cs="Arial" w:eastAsia="Arial" w:hAnsi="Arial"/>
                <w:color w:val="222222"/>
                <w:sz w:val="20"/>
                <w:szCs w:val="20"/>
              </w:rPr>
            </w:pPr>
            <w:r w:rsidDel="00000000" w:rsidR="00000000" w:rsidRPr="00000000">
              <w:rPr>
                <w:rtl w:val="0"/>
              </w:rPr>
            </w:r>
          </w:p>
        </w:tc>
        <w:tc>
          <w:tcPr/>
          <w:p w:rsidR="00000000" w:rsidDel="00000000" w:rsidP="00000000" w:rsidRDefault="00000000" w:rsidRPr="00000000" w14:paraId="00000085">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86">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87">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88">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89">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8A">
      <w:pPr>
        <w:rPr>
          <w:rFonts w:ascii="Arial" w:cs="Arial" w:eastAsia="Arial" w:hAnsi="Arial"/>
        </w:rPr>
      </w:pPr>
      <w:r w:rsidDel="00000000" w:rsidR="00000000" w:rsidRPr="00000000">
        <w:rPr>
          <w:rtl w:val="0"/>
        </w:rPr>
      </w:r>
    </w:p>
    <w:p>
      <w:r>
        <w:t>Data Flow Summary: EV dataset → Tableau data source and aggregations → KPI cards and manufacturer/country charts → Tableau Public dashboard → reviewer opens dashboard and GitHub documentation.</w:t>
      </w:r>
    </w:p>
    <w:p>
      <w:r>
        <w:t>EV dataset → Tableau data source and aggregations → KPI cards and charts → Tableau Public dashboard → GitHub repository and README for project review.</w:t>
      </w:r>
    </w:p>
    <w:p>
      <w:r>
        <w:t>Text DFD: External entity (Project owner / viewer) → [Tableau dashboard] → KPI and category visualizations. Data store: local EV dataset and packaged Tableau workbook. Publishing output: Tableau Public; project assets: GitHub.</w:t>
      </w:r>
    </w:p>
    <w:sectPr>
      <w:headerReference r:id="rId9" w:type="default"/>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rPr/>
    </w:pPr>
    <w:r w:rsidDel="00000000" w:rsidR="00000000" w:rsidRPr="00000000">
      <w:rPr/>
      <w:drawing>
        <wp:anchor allowOverlap="1" behindDoc="0" distB="114300" distT="114300" distL="114300" distR="114300" hidden="0" layoutInCell="1" locked="0" relativeHeight="0" simplePos="0">
          <wp:simplePos x="0" y="0"/>
          <wp:positionH relativeFrom="page">
            <wp:posOffset>9667875</wp:posOffset>
          </wp:positionH>
          <wp:positionV relativeFrom="page">
            <wp:posOffset>259080</wp:posOffset>
          </wp:positionV>
          <wp:extent cx="864691" cy="395288"/>
          <wp:effectExtent b="0" l="0" r="0" t="0"/>
          <wp:wrapNone/>
          <wp:docPr id="1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64691" cy="395288"/>
                  </a:xfrm>
                  <a:prstGeom prst="rect"/>
                  <a:ln/>
                </pic:spPr>
              </pic:pic>
            </a:graphicData>
          </a:graphic>
        </wp:anchor>
      </w:drawing>
    </w:r>
    <w:r w:rsidDel="00000000" w:rsidR="00000000" w:rsidRPr="00000000">
      <w:rPr/>
      <w:drawing>
        <wp:anchor allowOverlap="1" behindDoc="0" distB="114300" distT="114300" distL="114300" distR="114300" hidden="0" layoutInCell="1" locked="0" relativeHeight="0" simplePos="0">
          <wp:simplePos x="0" y="0"/>
          <wp:positionH relativeFrom="page">
            <wp:posOffset>161925</wp:posOffset>
          </wp:positionH>
          <wp:positionV relativeFrom="page">
            <wp:posOffset>163830</wp:posOffset>
          </wp:positionV>
          <wp:extent cx="1376363" cy="589870"/>
          <wp:effectExtent b="0" l="0" r="0" t="0"/>
          <wp:wrapNone/>
          <wp:docPr id="13" name="image2.png"/>
          <a:graphic>
            <a:graphicData uri="http://schemas.openxmlformats.org/drawingml/2006/picture">
              <pic:pic>
                <pic:nvPicPr>
                  <pic:cNvPr id="0" name="image2.png"/>
                  <pic:cNvPicPr preferRelativeResize="0"/>
                </pic:nvPicPr>
                <pic:blipFill>
                  <a:blip r:embed="rId2"/>
                  <a:srcRect b="7692" l="0" r="7692" t="0"/>
                  <a:stretch>
                    <a:fillRect/>
                  </a:stretch>
                </pic:blipFill>
                <pic:spPr>
                  <a:xfrm>
                    <a:off x="0" y="0"/>
                    <a:ext cx="1376363" cy="58987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2UA4n8X436z+KIVaFzPrelqaDg==">CgMxLjA4AHIhMTNMS2NOZlQxSVVPaXpJRGpWWFRJcFBVcjRFMFk0NFQx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