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EV Market Performance &amp; Insights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1</w:t>
            </w:r>
          </w:p>
        </w:tc>
        <w:tc>
          <w:tcPr/>
          <w:p>
            <w:r>
              <w:rPr>
                <w:sz w:val="18"/>
              </w:rPr>
              <w:t>Data source</w:t>
            </w:r>
          </w:p>
        </w:tc>
        <w:tc>
          <w:tcPr/>
          <w:p>
            <w:r>
              <w:rPr>
                <w:sz w:val="18"/>
              </w:rPr>
              <w:t>EV vehicle dataset; approximately 200,000 records and 39 columns</w:t>
            </w:r>
          </w:p>
        </w:tc>
        <w:tc>
          <w:tcPr/>
          <w:p>
            <w:r>
              <w:rPr>
                <w:sz w:val="18"/>
              </w:rPr>
              <w:t>CSV / structured dataset</w:t>
            </w:r>
          </w:p>
        </w:tc>
        <w:tc>
          <w:tcPr/>
          <w:p>
            <w:r>
              <w:rPr>
                <w:sz w:val="18"/>
              </w:rPr>
              <w:t>Provides the vehicle-level data for analysis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2</w:t>
            </w:r>
          </w:p>
        </w:tc>
        <w:tc>
          <w:tcPr/>
          <w:p>
            <w:r>
              <w:rPr>
                <w:sz w:val="18"/>
              </w:rPr>
              <w:t>Data preparation</w:t>
            </w:r>
          </w:p>
        </w:tc>
        <w:tc>
          <w:tcPr/>
          <w:p>
            <w:r>
              <w:rPr>
                <w:sz w:val="18"/>
              </w:rPr>
              <w:t>Review fields and use relevant dimensions/measures</w:t>
            </w:r>
          </w:p>
        </w:tc>
        <w:tc>
          <w:tcPr/>
          <w:p>
            <w:r>
              <w:rPr>
                <w:sz w:val="18"/>
              </w:rPr>
              <w:t>Tableau data source workflow</w:t>
            </w:r>
          </w:p>
        </w:tc>
        <w:tc>
          <w:tcPr/>
          <w:p>
            <w:r>
              <w:rPr>
                <w:sz w:val="18"/>
              </w:rPr>
              <w:t>Makes fields usable for visual analysis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3</w:t>
            </w:r>
          </w:p>
        </w:tc>
        <w:tc>
          <w:tcPr/>
          <w:p>
            <w:r>
              <w:rPr>
                <w:sz w:val="18"/>
              </w:rPr>
              <w:t>Analytics and calculations</w:t>
            </w:r>
          </w:p>
        </w:tc>
        <w:tc>
          <w:tcPr/>
          <w:p>
            <w:r>
              <w:rPr>
                <w:sz w:val="18"/>
              </w:rPr>
              <w:t>Distinct Vehicle Id count; average battery capacity; average driving range</w:t>
            </w:r>
          </w:p>
        </w:tc>
        <w:tc>
          <w:tcPr/>
          <w:p>
            <w:r>
              <w:rPr>
                <w:sz w:val="18"/>
              </w:rPr>
              <w:t>Tableau calculated measures / aggregations</w:t>
            </w:r>
          </w:p>
        </w:tc>
        <w:tc>
          <w:tcPr/>
          <w:p>
            <w:r>
              <w:rPr>
                <w:sz w:val="18"/>
              </w:rPr>
              <w:t>Produces headline KPIs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8"/>
              </w:rPr>
              <w:t>4</w:t>
            </w:r>
          </w:p>
        </w:tc>
        <w:tc>
          <w:tcPr/>
          <w:p>
            <w:r>
              <w:rPr>
                <w:sz w:val="18"/>
              </w:rPr>
              <w:t>Visualization</w:t>
            </w:r>
          </w:p>
        </w:tc>
        <w:tc>
          <w:tcPr/>
          <w:p>
            <w:r>
              <w:rPr>
                <w:sz w:val="18"/>
              </w:rPr>
              <w:t>KPI cards and comparison charts</w:t>
            </w:r>
          </w:p>
        </w:tc>
        <w:tc>
          <w:tcPr/>
          <w:p>
            <w:r>
              <w:rPr>
                <w:sz w:val="18"/>
              </w:rPr>
              <w:t>Tableau</w:t>
            </w:r>
          </w:p>
        </w:tc>
        <w:tc>
          <w:tcPr/>
          <w:p>
            <w:r>
              <w:rPr>
                <w:sz w:val="18"/>
              </w:rPr>
              <w:t>Communicates market patterns visually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5</w:t>
            </w:r>
          </w:p>
        </w:tc>
        <w:tc>
          <w:tcPr/>
          <w:p>
            <w:r>
              <w:rPr>
                <w:sz w:val="18"/>
              </w:rPr>
              <w:t>Dashboard publishing</w:t>
            </w:r>
          </w:p>
        </w:tc>
        <w:tc>
          <w:tcPr/>
          <w:p>
            <w:r>
              <w:rPr>
                <w:sz w:val="18"/>
              </w:rPr>
              <w:t>Publicly accessible dashboard</w:t>
            </w:r>
          </w:p>
        </w:tc>
        <w:tc>
          <w:tcPr/>
          <w:p>
            <w:r>
              <w:rPr>
                <w:sz w:val="18"/>
              </w:rPr>
              <w:t>Tableau Public</w:t>
            </w:r>
          </w:p>
        </w:tc>
        <w:tc>
          <w:tcPr/>
          <w:p>
            <w:r>
              <w:rPr>
                <w:sz w:val="18"/>
              </w:rPr>
              <w:t>Allows reviewers to view the dashboard online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8"/>
              </w:rPr>
              <w:t>6</w:t>
            </w:r>
          </w:p>
        </w:tc>
        <w:tc>
          <w:tcPr/>
          <w:p>
            <w:r>
              <w:rPr>
                <w:sz w:val="18"/>
              </w:rPr>
              <w:t>Versioning and documentation</w:t>
            </w:r>
          </w:p>
        </w:tc>
        <w:tc>
          <w:tcPr/>
          <w:p>
            <w:r>
              <w:rPr>
                <w:sz w:val="18"/>
              </w:rPr>
              <w:t>Project files and README</w:t>
            </w:r>
          </w:p>
        </w:tc>
        <w:tc>
          <w:tcPr/>
          <w:p>
            <w:r>
              <w:rPr>
                <w:sz w:val="18"/>
              </w:rPr>
              <w:t>GitHub</w:t>
            </w:r>
          </w:p>
        </w:tc>
        <w:tc>
          <w:tcPr/>
          <w:p>
            <w:r>
              <w:rPr>
                <w:sz w:val="18"/>
              </w:rPr>
              <w:t>Stores workbook, screenshot, and project explanation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>Project note</w:t>
      </w:r>
    </w:p>
    <w:p>
      <w:r>
        <w:t>Snowflake is not part of the implemented project stack. The current implementation uses Tableau and GitHub; no Snowflake database or warehouse is claimed.</w:t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