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
              <w:rPr>
                <w:sz w:val="18"/>
              </w:rPr>
              <w:t>27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
              <w:rPr>
                <w:sz w:val="18"/>
              </w:rPr>
              <w:t>Individual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
              <w:rPr>
                <w:sz w:val="18"/>
              </w:rPr>
              <w:t>EV Market Performance &amp; Insights Dashboard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1"/>
        </w:numPr>
        <w:spacing w:after="0" w:before="240" w:line="240" w:lineRule="auto"/>
        <w:ind w:left="720" w:hanging="360"/>
        <w:rPr>
          <w:u w:val="none"/>
        </w:rPr>
      </w:pPr>
      <w:r/>
    </w:p>
    <w:p w:rsidR="00000000" w:rsidDel="00000000" w:rsidP="00000000" w:rsidRDefault="00000000" w:rsidRPr="00000000" w14:paraId="0000001D">
      <w:pPr>
        <w:numPr>
          <w:ilvl w:val="0"/>
          <w:numId w:val="1"/>
        </w:numPr>
        <w:spacing w:after="0" w:before="0" w:line="240" w:lineRule="auto"/>
        <w:ind w:left="720" w:hanging="360"/>
        <w:rPr>
          <w:u w:val="none"/>
        </w:rPr>
      </w:pPr>
      <w:r/>
    </w:p>
    <w:p w:rsidR="00000000" w:rsidDel="00000000" w:rsidP="00000000" w:rsidRDefault="00000000" w:rsidRPr="00000000" w14:paraId="0000001E">
      <w:pPr>
        <w:numPr>
          <w:ilvl w:val="0"/>
          <w:numId w:val="1"/>
        </w:numPr>
        <w:spacing w:after="0" w:before="0" w:line="240" w:lineRule="auto"/>
        <w:ind w:left="720" w:hanging="360"/>
        <w:rPr>
          <w:u w:val="none"/>
        </w:rPr>
      </w:pPr>
      <w:r/>
    </w:p>
    <w:p w:rsidR="00000000" w:rsidDel="00000000" w:rsidP="00000000" w:rsidRDefault="00000000" w:rsidRPr="00000000" w14:paraId="0000001F">
      <w:pPr>
        <w:numPr>
          <w:ilvl w:val="0"/>
          <w:numId w:val="1"/>
        </w:numPr>
        <w:spacing w:after="0" w:before="0" w:line="240" w:lineRule="auto"/>
        <w:ind w:left="720" w:hanging="360"/>
        <w:rPr>
          <w:u w:val="none"/>
        </w:rPr>
      </w:pPr>
      <w:r/>
    </w:p>
    <w:p w:rsidR="00000000" w:rsidDel="00000000" w:rsidP="00000000" w:rsidRDefault="00000000" w:rsidRPr="00000000" w14:paraId="00000020">
      <w:pPr>
        <w:numPr>
          <w:ilvl w:val="0"/>
          <w:numId w:val="1"/>
        </w:numPr>
        <w:spacing w:after="240" w:before="0" w:line="240" w:lineRule="auto"/>
        <w:ind w:left="720" w:hanging="360"/>
        <w:rPr>
          <w:u w:val="none"/>
        </w:rPr>
      </w:p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p>
      <w:r>
        <w:rPr>
          <w:b/>
        </w:rPr>
        <w:t>Major Outcomes</w:t>
      </w:r>
    </w:p>
    <w:p>
      <w:r>
        <w:t>• The dashboard summarizes approximately 199,999 distinct Vehicle Ids.\n• Average battery capacity is approximately 78.24 kWh.\n• Average driving range is approximately 324.5 km.\n• A manufacturer chart supports comparison of EV record counts across available manufacturers.\n• A manufacturing-country chart shows the distribution of EV records by country.</w:t>
      </w:r>
    </w:p>
    <w:p>
      <w:r>
        <w:rPr>
          <w:b/>
        </w:rPr>
        <w:t>Dashboard Public Link</w:t>
      </w:r>
    </w:p>
    <w:p>
      <w:r>
        <w:t>https://public.tableau.com/views/EVMarketAnalysisDashboard_17930190186570/Dashboard1</w:t>
      </w:r>
    </w:p>
    <w:p>
      <w:r>
        <w:t>Project-specific design: KPI cards for distinct Vehicle Id count, average battery capacity (kWh) and average driving range (km), followed by manufacturer and country count charts. Use concise labels, consistent number formatting, readable category names and a clear title. No unverified filter or drill-down feature is claimed.</w:t>
      </w:r>
    </w:p>
    <w:p>
      <w:r>
        <w:t>Dashboard Public Link: https://public.tableau.com/views/EVMarketAnalysisDashboard_17930190186570/Dashboard1</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