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8"/>
          <w:sz w:val="40"/>
          <w:szCs w:val="40"/>
        </w:rPr>
        <w:t xml:space="preserve">Grofital Consulting LLP</w:t>
      </w:r>
    </w:p>
    <w:p>
      <w:pPr>
        <w:spacing w:after="60"/>
      </w:pPr>
      <w:r>
        <w:rPr>
          <w:color w:val="555555"/>
          <w:sz w:val="26"/>
          <w:szCs w:val="26"/>
        </w:rPr>
        <w:t xml:space="preserve">Power BI Sales Dashboard — Assessment Walkthrough</w:t>
      </w:r>
    </w:p>
    <w:p>
      <w:pPr>
        <w:spacing w:after="320"/>
      </w:pPr>
      <w:r>
        <w:rPr>
          <w:i/>
          <w:iCs/>
          <w:sz w:val="22"/>
          <w:szCs w:val="22"/>
        </w:rPr>
        <w:t xml:space="preserve">Prepared by: Kartik Chourasia</w:t>
      </w:r>
    </w:p>
    <w:p>
      <w:pPr>
        <w:spacing w:after="140"/>
      </w:pPr>
      <w:r>
        <w:t xml:space="preserve">This document walks through the reasoning behind every decision made while building the attached Power BI file (Grofital_Sales_Data_Cleaned_Kartik_Chourasia.pbix). It is written as a set of assessment-style questions and answers so it can be used directly to explain the project to a reviewer, or read standalone as a record of the approach taken.</w:t>
      </w:r>
    </w:p>
    <w:p>
      <w:pPr>
        <w:pStyle w:val="Heading1"/>
      </w:pPr>
      <w:r>
        <w:t xml:space="preserve">1. Understanding the Raw Data</w:t>
      </w:r>
    </w:p>
    <w:p>
      <w:pPr>
        <w:spacing w:after="100" w:before="280"/>
      </w:pPr>
      <w:r>
        <w:rPr>
          <w:b/>
          <w:bCs/>
          <w:color w:val="1F4E78"/>
          <w:sz w:val="24"/>
          <w:szCs w:val="24"/>
        </w:rPr>
        <w:t xml:space="preserve">Q: What did the raw dataset look like, and what problems did it have?</w:t>
      </w:r>
    </w:p>
    <w:p>
      <w:pPr>
        <w:spacing w:after="80"/>
        <w:ind w:left="200"/>
      </w:pPr>
      <w:r>
        <w:rPr>
          <w:b/>
          <w:bCs/>
          <w:sz w:val="22"/>
          <w:szCs w:val="22"/>
        </w:rPr>
        <w:t xml:space="preserve">A: </w:t>
      </w:r>
      <w:r>
        <w:rPr>
          <w:sz w:val="22"/>
          <w:szCs w:val="22"/>
        </w:rPr>
        <w:t xml:space="preserve">The source file (Sales_Dataset_Grofital.xlsx) had two sheets: “Sales By Representative” (13,034 rows) and “Sales By Product” (13,022 rows). On inspection, both sheets had real data quality problems that would have broken any analysis if loaded as-is:</w:t>
      </w:r>
    </w:p>
    <w:p>
      <w:pPr>
        <w:pStyle w:val="ListParagraph"/>
        <w:numPr>
          <w:ilvl w:val="0"/>
          <w:numId w:val="2"/>
        </w:numPr>
        <w:spacing w:after="80"/>
      </w:pPr>
      <w:r>
        <w:rPr>
          <w:sz w:val="22"/>
          <w:szCs w:val="22"/>
        </w:rPr>
        <w:t xml:space="preserve">Embedded subtotal rows: both sheets had summary rows mixed directly into the transaction data — e.g. “TOTAL – Aarav Mehta” style rows in the Rep sheet, and “TOTAL – Breakroom” category subtotal rows plus a “★ GRAND TOTAL” row in the Product sheet (27 such rows combined). If left in, every SUM-based measure in Power BI would have double-counted, because these rows already contained aggregated totals sitting alongside the individual transactions.</w:t>
      </w:r>
    </w:p>
    <w:p>
      <w:pPr>
        <w:pStyle w:val="ListParagraph"/>
        <w:numPr>
          <w:ilvl w:val="0"/>
          <w:numId w:val="2"/>
        </w:numPr>
        <w:spacing w:after="80"/>
      </w:pPr>
      <w:r>
        <w:rPr>
          <w:sz w:val="22"/>
          <w:szCs w:val="22"/>
        </w:rPr>
        <w:t xml:space="preserve">A misleading blank column: the “Sales Representative Name” column in the “Sales By Representative” sheet was blank on every single real transaction row. The actual rep names only existed in the separate “Sales By Product” sheet. This meant the two sheets were not independent — they were two different views of the same underlying transactions, split across files inconsistently.</w:t>
      </w:r>
    </w:p>
    <w:p>
      <w:pPr>
        <w:pStyle w:val="ListParagraph"/>
        <w:numPr>
          <w:ilvl w:val="0"/>
          <w:numId w:val="2"/>
        </w:numPr>
        <w:spacing w:after="80"/>
      </w:pPr>
      <w:r>
        <w:rPr>
          <w:sz w:val="22"/>
          <w:szCs w:val="22"/>
        </w:rPr>
        <w:t xml:space="preserve">Inconsistent date formatting: Order Date and Payment Date were stored as free-text strings with mixed formats — some with single-digit days/months (2026-2-17), some with full timestamps and AM/PM in different cases, some with double spaces. A naive date parser failed on a meaningful share of these values.</w:t>
      </w:r>
    </w:p>
    <w:p>
      <w:pPr>
        <w:pStyle w:val="ListParagraph"/>
        <w:numPr>
          <w:ilvl w:val="0"/>
          <w:numId w:val="2"/>
        </w:numPr>
        <w:spacing w:after="80"/>
      </w:pPr>
      <w:r>
        <w:rPr>
          <w:sz w:val="22"/>
          <w:szCs w:val="22"/>
        </w:rPr>
        <w:t xml:space="preserve">Blank Company Name on 2,300+ rows, representing genuinely independent customers with no company affiliation rather than a data error.</w:t>
      </w:r>
    </w:p>
    <w:p>
      <w:pPr>
        <w:spacing w:after="100" w:before="280"/>
      </w:pPr>
      <w:r>
        <w:rPr>
          <w:b/>
          <w:bCs/>
          <w:color w:val="1F4E78"/>
          <w:sz w:val="24"/>
          <w:szCs w:val="24"/>
        </w:rPr>
        <w:t xml:space="preserve">Q: How did you confirm the two sheets were actually related, rather than separate datasets?</w:t>
      </w:r>
    </w:p>
    <w:p>
      <w:pPr>
        <w:spacing w:after="80"/>
        <w:ind w:left="200"/>
      </w:pPr>
      <w:r>
        <w:rPr>
          <w:b/>
          <w:bCs/>
          <w:sz w:val="22"/>
          <w:szCs w:val="22"/>
        </w:rPr>
        <w:t xml:space="preserve">A: </w:t>
      </w:r>
      <w:r>
        <w:rPr>
          <w:sz w:val="22"/>
          <w:szCs w:val="22"/>
        </w:rPr>
        <w:t xml:space="preserve">I tested whether the two sheets shared a reliable join key. Order Id# alone was not unique in either sheet (each order had multiple line items), so I built a composite key of Order Id# + Quantity + Sales Amount and checked it for uniqueness on both sides. It came back unique in both sheets, and every one of the 12,765 valid rows in the Representative sheet matched exactly one row in the Product sheet on that key. This confirmed both sheets describe the same line items at the same grain — one emphasising order/customer detail, the other emphasising product/rep detail — rather than being two separate fact tables that needed a many-to-many relationship.</w:t>
      </w:r>
    </w:p>
    <w:p>
      <w:pPr>
        <w:pStyle w:val="Heading1"/>
      </w:pPr>
      <w:r>
        <w:t xml:space="preserve">2. Cleaning the Data</w:t>
      </w:r>
    </w:p>
    <w:p>
      <w:pPr>
        <w:spacing w:after="100" w:before="280"/>
      </w:pPr>
      <w:r>
        <w:rPr>
          <w:b/>
          <w:bCs/>
          <w:color w:val="1F4E78"/>
          <w:sz w:val="24"/>
          <w:szCs w:val="24"/>
        </w:rPr>
        <w:t xml:space="preserve">Q: What exactly did you remove, and why?</w:t>
      </w:r>
    </w:p>
    <w:p>
      <w:pPr>
        <w:spacing w:after="80"/>
        <w:ind w:left="200"/>
      </w:pPr>
      <w:r>
        <w:rPr>
          <w:b/>
          <w:bCs/>
          <w:sz w:val="22"/>
          <w:szCs w:val="22"/>
        </w:rPr>
        <w:t xml:space="preserve">A: </w:t>
      </w:r>
      <w:r>
        <w:rPr>
          <w:sz w:val="22"/>
          <w:szCs w:val="22"/>
        </w:rPr>
        <w:t xml:space="preserve">I removed every row whose Order Id# did not start with the prefix “ORD-”. This is a deliberate, defensible rule rather than an arbitrary one: every genuine transaction in this dataset has an Order Id# in that format, so any row failing that test is, by construction, one of the embedded subtotal or grand-total rows, not a real sale. This removed 20 rows from the Representative sheet and 7 from the Product sheet, taking both down to a clean, line-item-only dataset.</w:t>
      </w:r>
    </w:p>
    <w:p>
      <w:pPr>
        <w:spacing w:after="100" w:before="280"/>
      </w:pPr>
      <w:r>
        <w:rPr>
          <w:b/>
          <w:bCs/>
          <w:color w:val="1F4E78"/>
          <w:sz w:val="24"/>
          <w:szCs w:val="24"/>
        </w:rPr>
        <w:t xml:space="preserve">Q: How did you fix the date columns?</w:t>
      </w:r>
    </w:p>
    <w:p>
      <w:pPr>
        <w:spacing w:after="80"/>
        <w:ind w:left="200"/>
      </w:pPr>
      <w:r>
        <w:rPr>
          <w:b/>
          <w:bCs/>
          <w:sz w:val="22"/>
          <w:szCs w:val="22"/>
        </w:rPr>
        <w:t xml:space="preserve">A: </w:t>
      </w:r>
      <w:r>
        <w:rPr>
          <w:sz w:val="22"/>
          <w:szCs w:val="22"/>
        </w:rPr>
        <w:t xml:space="preserve">I stripped extra whitespace and standardised case (so “pm” and “PM” are treated the same), then parsed the cleaned text using pandas’ to_datetime with format='mixed', which lets the parser infer the correct format per value instead of forcing one format across the whole column. This brought date parsing failures from several thousand down to zero. I later discovered in Power BI that the imported column still carried a full date-and-time value, while the calendar (Dim_Date) table only had pure dates — visually identical but not equal as values, which silently broke the relationship. I corrected this by changing the Order Date column’s data type to Date (not Date/Time) directly in Power Query, which removed the time component and made every row match its calendar date exactly.</w:t>
      </w:r>
    </w:p>
    <w:p>
      <w:pPr>
        <w:spacing w:after="100" w:before="280"/>
      </w:pPr>
      <w:r>
        <w:rPr>
          <w:b/>
          <w:bCs/>
          <w:color w:val="1F4E78"/>
          <w:sz w:val="24"/>
          <w:szCs w:val="24"/>
        </w:rPr>
        <w:t xml:space="preserve">Q: Why did you fill blank Company Name with text instead of leaving it blank?</w:t>
      </w:r>
    </w:p>
    <w:p>
      <w:pPr>
        <w:spacing w:after="80"/>
        <w:ind w:left="200"/>
      </w:pPr>
      <w:r>
        <w:rPr>
          <w:b/>
          <w:bCs/>
          <w:sz w:val="22"/>
          <w:szCs w:val="22"/>
        </w:rPr>
        <w:t xml:space="preserve">A: </w:t>
      </w:r>
      <w:r>
        <w:rPr>
          <w:sz w:val="22"/>
          <w:szCs w:val="22"/>
        </w:rPr>
        <w:t xml:space="preserve">Leaving it as a true blank risked Power BI silently dropping those rows from any group-by or filter that used Company Name, or showing a confusing “(Blank)” category with no explanation. Filling it with “Independent / No Company” preserves the real meaning (the customer genuinely has no company) while keeping every row visible and explainable in the model.</w:t>
      </w:r>
    </w:p>
    <w:p>
      <w:pPr>
        <w:spacing w:after="100" w:before="280"/>
      </w:pPr>
      <w:r>
        <w:rPr>
          <w:b/>
          <w:bCs/>
          <w:color w:val="1F4E78"/>
          <w:sz w:val="24"/>
          <w:szCs w:val="24"/>
        </w:rPr>
        <w:t xml:space="preserve">Q: Did you invent or estimate any values during cleaning?</w:t>
      </w:r>
    </w:p>
    <w:p>
      <w:pPr>
        <w:spacing w:after="80"/>
        <w:ind w:left="200"/>
      </w:pPr>
      <w:r>
        <w:rPr>
          <w:b/>
          <w:bCs/>
          <w:sz w:val="22"/>
          <w:szCs w:val="22"/>
        </w:rPr>
        <w:t xml:space="preserve">A: </w:t>
      </w:r>
      <w:r>
        <w:rPr>
          <w:sz w:val="22"/>
          <w:szCs w:val="22"/>
        </w:rPr>
        <w:t xml:space="preserve">No. Every number in the cleaned file is the original source value. The only changes made were: removing rows that were not genuine transactions, correcting how dates were interpreted (not changing what they represented), and labelling genuinely blank text fields. No sales figures, quantities, or financial values were modified, estimated, or backfilled.</w:t>
      </w:r>
    </w:p>
    <w:p>
      <w:pPr>
        <w:pStyle w:val="Heading1"/>
      </w:pPr>
      <w:r>
        <w:t xml:space="preserve">3. Designing the Data Model</w:t>
      </w:r>
    </w:p>
    <w:p>
      <w:pPr>
        <w:spacing w:after="100" w:before="280"/>
      </w:pPr>
      <w:r>
        <w:rPr>
          <w:b/>
          <w:bCs/>
          <w:color w:val="1F4E78"/>
          <w:sz w:val="24"/>
          <w:szCs w:val="24"/>
        </w:rPr>
        <w:t xml:space="preserve">Q: Why a star schema instead of one big flat table?</w:t>
      </w:r>
    </w:p>
    <w:p>
      <w:pPr>
        <w:spacing w:after="80"/>
        <w:ind w:left="200"/>
      </w:pPr>
      <w:r>
        <w:rPr>
          <w:b/>
          <w:bCs/>
          <w:sz w:val="22"/>
          <w:szCs w:val="22"/>
        </w:rPr>
        <w:t xml:space="preserve">A: </w:t>
      </w:r>
      <w:r>
        <w:rPr>
          <w:sz w:val="22"/>
          <w:szCs w:val="22"/>
        </w:rPr>
        <w:t xml:space="preserve">A single flat table would have repeated customer, product, and rep details on every one of the 12,765 rows, which is both wasteful and risky — any inconsistency in a repeated value (e.g. two slightly different spellings of a customer name) would silently fragment the analysis. A star schema separates each entity into its own dimension table once, and the fact table stores only the keys and the transaction-level numbers. This is also the structure Power BI’s relationship and filtering engine is built to work with efficiently.</w:t>
      </w:r>
    </w:p>
    <w:p>
      <w:pPr>
        <w:spacing w:after="100" w:before="280"/>
      </w:pPr>
      <w:r>
        <w:rPr>
          <w:b/>
          <w:bCs/>
          <w:color w:val="1F4E78"/>
          <w:sz w:val="24"/>
          <w:szCs w:val="24"/>
        </w:rPr>
        <w:t xml:space="preserve">Q: What tables make up the model, and what is each one for?</w:t>
      </w:r>
    </w:p>
    <w:p>
      <w:pPr>
        <w:spacing w:after="80"/>
        <w:ind w:left="200"/>
      </w:pPr>
      <w:r>
        <w:rPr>
          <w:b/>
          <w:bCs/>
          <w:sz w:val="22"/>
          <w:szCs w:val="22"/>
        </w:rPr>
        <w:t xml:space="preserve">A: </w:t>
      </w:r>
      <w:r>
        <w:rPr>
          <w:sz w:val="22"/>
          <w:szCs w:val="22"/>
        </w:rPr>
        <w:t xml:space="preserve">Five tables in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b/>
                <w:bCs/>
                <w:color w:val="FFFFFF"/>
                <w:sz w:val="20"/>
                <w:szCs w:val="20"/>
              </w:rPr>
              <w:t xml:space="preserve">Table</w:t>
            </w:r>
          </w:p>
        </w:tc>
        <w:tc>
          <w:tcPr>
            <w:tcW w:type="dxa" w:w="4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b/>
                <w:bCs/>
                <w:color w:val="FFFFFF"/>
                <w:sz w:val="20"/>
                <w:szCs w:val="20"/>
              </w:rPr>
              <w:t xml:space="preserve">Role</w:t>
            </w:r>
          </w:p>
        </w:tc>
        <w:tc>
          <w:tcPr>
            <w:tcW w:type="dxa" w:w="3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b/>
                <w:bCs/>
                <w:color w:val="FFFFFF"/>
                <w:sz w:val="20"/>
                <w:szCs w:val="20"/>
              </w:rPr>
              <w:t xml:space="preserve">Key columns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Fact_Sales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row per order line item — the transactional core of the model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Order Id#, Order Date, Rep ID, Customer ID, SKU, Quantity, Sales Amount, Total Amount, Order Status, Order Type, etc.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Dim_SalesRep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row per sales representative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 ID, Sales Representative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Dim_Product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row per product (SKU)</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SKU, Product Name, Category, Sub-Category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Dim_Customer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row per customer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Customer ID, Customer Name, Company Name, Customer Tier, Customer Type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Dim_Date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row per calendar day across the full data range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 Year, Quarter, Month Name, Month Year, Day, Day Name, Week Number, Is Weekend</w:t>
            </w:r>
          </w:p>
        </w:tc>
      </w:tr>
    </w:tbl>
    <w:p>
      <w:pPr>
        <w:spacing w:after="200"/>
      </w:pPr>
    </w:p>
    <w:p>
      <w:pPr>
        <w:spacing w:after="100" w:before="280"/>
      </w:pPr>
      <w:r>
        <w:rPr>
          <w:b/>
          <w:bCs/>
          <w:color w:val="1F4E78"/>
          <w:sz w:val="24"/>
          <w:szCs w:val="24"/>
        </w:rPr>
        <w:t xml:space="preserve">Q: How are the tables related, and why those particular settings?</w:t>
      </w:r>
    </w:p>
    <w:p>
      <w:pPr>
        <w:spacing w:after="80"/>
        <w:ind w:left="200"/>
      </w:pPr>
      <w:r>
        <w:rPr>
          <w:b/>
          <w:bCs/>
          <w:sz w:val="22"/>
          <w:szCs w:val="22"/>
        </w:rPr>
        <w:t xml:space="preserve">A: </w:t>
      </w:r>
      <w:r>
        <w:rPr>
          <w:sz w:val="22"/>
          <w:szCs w:val="22"/>
        </w:rPr>
        <w:t xml:space="preserve">Four relationships connect Fact_Sales to each dimension table, all many-to-one, all single-direction, all active:</w:t>
      </w:r>
    </w:p>
    <w:p>
      <w:pPr>
        <w:pStyle w:val="ListParagraph"/>
        <w:numPr>
          <w:ilvl w:val="0"/>
          <w:numId w:val="2"/>
        </w:numPr>
        <w:spacing w:after="80"/>
      </w:pPr>
      <w:r>
        <w:rPr>
          <w:sz w:val="22"/>
          <w:szCs w:val="22"/>
        </w:rPr>
        <w:t xml:space="preserve">Fact_Sales[Rep ID] → Dim_SalesRep[Rep ID]</w:t>
      </w:r>
    </w:p>
    <w:p>
      <w:pPr>
        <w:pStyle w:val="ListParagraph"/>
        <w:numPr>
          <w:ilvl w:val="0"/>
          <w:numId w:val="2"/>
        </w:numPr>
        <w:spacing w:after="80"/>
      </w:pPr>
      <w:r>
        <w:rPr>
          <w:sz w:val="22"/>
          <w:szCs w:val="22"/>
        </w:rPr>
        <w:t xml:space="preserve">Fact_Sales[SKU] → Dim_Product[SKU]</w:t>
      </w:r>
    </w:p>
    <w:p>
      <w:pPr>
        <w:pStyle w:val="ListParagraph"/>
        <w:numPr>
          <w:ilvl w:val="0"/>
          <w:numId w:val="2"/>
        </w:numPr>
        <w:spacing w:after="80"/>
      </w:pPr>
      <w:r>
        <w:rPr>
          <w:sz w:val="22"/>
          <w:szCs w:val="22"/>
        </w:rPr>
        <w:t xml:space="preserve">Fact_Sales[Customer ID] → Dim_Customer[Customer ID]</w:t>
      </w:r>
    </w:p>
    <w:p>
      <w:pPr>
        <w:pStyle w:val="ListParagraph"/>
        <w:numPr>
          <w:ilvl w:val="0"/>
          <w:numId w:val="2"/>
        </w:numPr>
        <w:spacing w:after="80"/>
      </w:pPr>
      <w:r>
        <w:rPr>
          <w:sz w:val="22"/>
          <w:szCs w:val="22"/>
        </w:rPr>
        <w:t xml:space="preserve">Fact_Sales[Order Date] → Dim_Date[Date]</w:t>
      </w:r>
    </w:p>
    <w:p>
      <w:pPr>
        <w:spacing w:after="80"/>
        <w:ind w:left="200"/>
      </w:pPr>
      <w:r>
        <w:rPr>
          <w:b/>
          <w:bCs/>
          <w:sz w:val="22"/>
          <w:szCs w:val="22"/>
        </w:rPr>
        <w:t xml:space="preserve">A: </w:t>
      </w:r>
      <w:r>
        <w:rPr>
          <w:sz w:val="22"/>
          <w:szCs w:val="22"/>
        </w:rPr>
        <w:t xml:space="preserve">Many-to-one is correct because many transactions can reference the same rep, product, customer, or date, but each of those dimension rows is unique. Single-direction filtering keeps the model predictable — filtering a dimension (e.g. selecting a Customer Tier) filters the fact table, which is the standard and expected direction for a reporting model. I deliberately did not build an active relationship on Payment Date, since a table can only have one active relationship to another table; Order Date was chosen as the active one because every reporting need in this dashboard (trends, monthly totals, year-over-year comparison) is anchored to when an order was placed, not when it was paid.</w:t>
      </w:r>
    </w:p>
    <w:p>
      <w:pPr>
        <w:pStyle w:val="Heading1"/>
      </w:pPr>
      <w:r>
        <w:t xml:space="preserve">4. Building the Measures</w:t>
      </w:r>
    </w:p>
    <w:p>
      <w:pPr>
        <w:spacing w:after="100" w:before="280"/>
      </w:pPr>
      <w:r>
        <w:rPr>
          <w:b/>
          <w:bCs/>
          <w:color w:val="1F4E78"/>
          <w:sz w:val="24"/>
          <w:szCs w:val="24"/>
        </w:rPr>
        <w:t xml:space="preserve">Q: Why use DAX measures instead of just dragging raw columns into visuals?</w:t>
      </w:r>
    </w:p>
    <w:p>
      <w:pPr>
        <w:spacing w:after="80"/>
        <w:ind w:left="200"/>
      </w:pPr>
      <w:r>
        <w:rPr>
          <w:b/>
          <w:bCs/>
          <w:sz w:val="22"/>
          <w:szCs w:val="22"/>
        </w:rPr>
        <w:t xml:space="preserve">A: </w:t>
      </w:r>
      <w:r>
        <w:rPr>
          <w:sz w:val="22"/>
          <w:szCs w:val="22"/>
        </w:rPr>
        <w:t xml:space="preserve">A raw column like Sales Amount would just average or sum inconsistently depending on which visual it is dropped into, with no guaranteed consistent definition. A measure defines the calculation once, centrally, so every visual on every page that uses [Total Sales] is guaranteed to mean exactly the same thing. This also makes the model far easier to audit — a reviewer can open one measure and see exactly how a number is produced, rather than reverse-engineering it from a chart.</w:t>
      </w:r>
    </w:p>
    <w:p>
      <w:pPr>
        <w:spacing w:after="100" w:before="280"/>
      </w:pPr>
      <w:r>
        <w:rPr>
          <w:b/>
          <w:bCs/>
          <w:color w:val="1F4E78"/>
          <w:sz w:val="24"/>
          <w:szCs w:val="24"/>
        </w:rPr>
        <w:t xml:space="preserve">Q: Walk through a few of the key measures and the logic behind them.</w:t>
      </w:r>
    </w:p>
    <w:p>
      <w:pPr>
        <w:pBdr>
          <w:left w:val="single" w:color="1F4E78" w:sz="12" w:space="8"/>
        </w:pBdr>
        <w:shd w:fill="F2F2F2" w:val="clear"/>
        <w:spacing w:after="140" w:before="60"/>
        <w:ind w:left="200"/>
      </w:pPr>
      <w:r>
        <w:rPr>
          <w:rFonts w:ascii="Consolas" w:cs="Consolas" w:eastAsia="Consolas" w:hAnsi="Consolas"/>
          <w:sz w:val="19"/>
          <w:szCs w:val="19"/>
        </w:rPr>
        <w:t xml:space="preserve">Total Sales = SUM(Fact_Sales[Sales Amount])</w:t>
      </w:r>
    </w:p>
    <w:p>
      <w:pPr>
        <w:spacing w:after="80"/>
        <w:ind w:left="200"/>
      </w:pPr>
      <w:r>
        <w:rPr>
          <w:b/>
          <w:bCs/>
          <w:sz w:val="22"/>
          <w:szCs w:val="22"/>
        </w:rPr>
        <w:t xml:space="preserve">A: </w:t>
      </w:r>
      <w:r>
        <w:rPr>
          <w:sz w:val="22"/>
          <w:szCs w:val="22"/>
        </w:rPr>
        <w:t xml:space="preserve">The headline revenue figure used throughout the dashboard (₹1,34,35,89,115.12 across all pages).</w:t>
      </w:r>
    </w:p>
    <w:p>
      <w:pPr>
        <w:pBdr>
          <w:left w:val="single" w:color="1F4E78" w:sz="12" w:space="8"/>
        </w:pBdr>
        <w:shd w:fill="F2F2F2" w:val="clear"/>
        <w:spacing w:after="140" w:before="60"/>
        <w:ind w:left="200"/>
      </w:pPr>
      <w:r>
        <w:rPr>
          <w:rFonts w:ascii="Consolas" w:cs="Consolas" w:eastAsia="Consolas" w:hAnsi="Consolas"/>
          <w:sz w:val="19"/>
          <w:szCs w:val="19"/>
        </w:rPr>
        <w:t xml:space="preserve">Total Orders = DISTINCTCOUNT(Fact_Sales[Order Id#])</w:t>
      </w:r>
    </w:p>
    <w:p>
      <w:pPr>
        <w:spacing w:after="80"/>
        <w:ind w:left="200"/>
      </w:pPr>
      <w:r>
        <w:rPr>
          <w:b/>
          <w:bCs/>
          <w:sz w:val="22"/>
          <w:szCs w:val="22"/>
        </w:rPr>
        <w:t xml:space="preserve">A: </w:t>
      </w:r>
      <w:r>
        <w:rPr>
          <w:sz w:val="22"/>
          <w:szCs w:val="22"/>
        </w:rPr>
        <w:t xml:space="preserve">Deliberately a distinct count, not a row count — since each order can have multiple product line items, counting rows would have overstated the number of orders. This returns 5,093 distinct orders.</w:t>
      </w:r>
    </w:p>
    <w:p>
      <w:pPr>
        <w:pBdr>
          <w:left w:val="single" w:color="1F4E78" w:sz="12" w:space="8"/>
        </w:pBdr>
        <w:shd w:fill="F2F2F2" w:val="clear"/>
        <w:spacing w:after="140" w:before="60"/>
        <w:ind w:left="200"/>
      </w:pPr>
      <w:r>
        <w:rPr>
          <w:rFonts w:ascii="Consolas" w:cs="Consolas" w:eastAsia="Consolas" w:hAnsi="Consolas"/>
          <w:sz w:val="19"/>
          <w:szCs w:val="19"/>
        </w:rPr>
        <w:t xml:space="preserve">Avg Order Value = DIVIDE([Total Revenue], [Total Orders])</w:t>
      </w:r>
    </w:p>
    <w:p>
      <w:pPr>
        <w:spacing w:after="80"/>
        <w:ind w:left="200"/>
      </w:pPr>
      <w:r>
        <w:rPr>
          <w:b/>
          <w:bCs/>
          <w:sz w:val="22"/>
          <w:szCs w:val="22"/>
        </w:rPr>
        <w:t xml:space="preserve">A: </w:t>
      </w:r>
      <w:r>
        <w:rPr>
          <w:sz w:val="22"/>
          <w:szCs w:val="22"/>
        </w:rPr>
        <w:t xml:space="preserve">Uses DIVIDE() rather than a plain “/” so that if Total Orders is ever zero in some filter context (e.g. an empty slicer selection), the measure returns blank instead of throwing a division error.</w:t>
      </w:r>
    </w:p>
    <w:p>
      <w:pPr>
        <w:pBdr>
          <w:left w:val="single" w:color="1F4E78" w:sz="12" w:space="8"/>
        </w:pBdr>
        <w:shd w:fill="F2F2F2" w:val="clear"/>
        <w:spacing w:after="140" w:before="60"/>
        <w:ind w:left="200"/>
      </w:pPr>
      <w:r>
        <w:rPr>
          <w:rFonts w:ascii="Consolas" w:cs="Consolas" w:eastAsia="Consolas" w:hAnsi="Consolas"/>
          <w:sz w:val="19"/>
          <w:szCs w:val="19"/>
        </w:rPr>
        <w:t xml:space="preserve">Top Rep = CALCULATE(
    FIRSTNONBLANK(Dim_SalesRep[Sales Representative Name], 1),
    TOPN(1, VALUES(Dim_SalesRep[Sales Representative Name]), [Total Sales], DESC)
)</w:t>
      </w:r>
    </w:p>
    <w:p>
      <w:pPr>
        <w:spacing w:after="80"/>
        <w:ind w:left="200"/>
      </w:pPr>
      <w:r>
        <w:rPr>
          <w:b/>
          <w:bCs/>
          <w:sz w:val="22"/>
          <w:szCs w:val="22"/>
        </w:rPr>
        <w:t xml:space="preserve">A: </w:t>
      </w:r>
      <w:r>
        <w:rPr>
          <w:sz w:val="22"/>
          <w:szCs w:val="22"/>
        </w:rPr>
        <w:t xml:space="preserve">This is the most logically involved measure in the model. Rather than just looking up whichever name happens to sort first alphabetically, it ranks every rep by [Total Sales] using TOPN, takes the single highest-ranked one, and returns that rep’s name. The output (Neha Kulkarni) is independently verifiable against the bar chart on the Sales Representative page, where her bar is visibly the longest — confirming the measure is calculating, not guessing.</w:t>
      </w:r>
    </w:p>
    <w:p>
      <w:pPr>
        <w:pStyle w:val="Heading1"/>
      </w:pPr>
      <w:r>
        <w:t xml:space="preserve">5. The Three Dashboard Pages</w:t>
      </w:r>
    </w:p>
    <w:p>
      <w:pPr>
        <w:spacing w:after="100" w:before="280"/>
      </w:pPr>
      <w:r>
        <w:rPr>
          <w:b/>
          <w:bCs/>
          <w:color w:val="1F4E78"/>
          <w:sz w:val="24"/>
          <w:szCs w:val="24"/>
        </w:rPr>
        <w:t xml:space="preserve">Q: Why three pages, and what is each one trying to answer?</w:t>
      </w:r>
    </w:p>
    <w:p>
      <w:pPr>
        <w:spacing w:after="80"/>
        <w:ind w:left="200"/>
      </w:pPr>
      <w:r>
        <w:rPr>
          <w:b/>
          <w:bCs/>
          <w:sz w:val="22"/>
          <w:szCs w:val="22"/>
        </w:rPr>
        <w:t xml:space="preserve">A: </w:t>
      </w:r>
      <w:r>
        <w:rPr>
          <w:sz w:val="22"/>
          <w:szCs w:val="22"/>
        </w:rPr>
        <w:t xml:space="preserve">Each page is built around a different question a stakeholder would actually ask, rather than just being a grid of available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b/>
                <w:bCs/>
                <w:color w:val="FFFFFF"/>
                <w:sz w:val="20"/>
                <w:szCs w:val="20"/>
              </w:rPr>
              <w:t xml:space="preserve">Page</w:t>
            </w:r>
          </w:p>
        </w:tc>
        <w:tc>
          <w:tcPr>
            <w:tcW w:type="dxa" w:w="3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b/>
                <w:bCs/>
                <w:color w:val="FFFFFF"/>
                <w:sz w:val="20"/>
                <w:szCs w:val="20"/>
              </w:rPr>
              <w:t xml:space="preserve">Question it answers</w:t>
            </w:r>
          </w:p>
        </w:tc>
        <w:tc>
          <w:tcPr>
            <w:tcW w:type="dxa" w:w="3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b/>
                <w:bCs/>
                <w:color w:val="FFFFFF"/>
                <w:sz w:val="20"/>
                <w:szCs w:val="20"/>
              </w:rPr>
              <w:t xml:space="preserve">Key visuals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Executive Overview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How is the business performing overall, right now?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KPI cards, monthly sales trend line, sales-by-tier donut and bar chart, slicers for Year/Quarter/Month/Order 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Sales Representative Performance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Who is performing well, and how?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Bar chart of Total Sales by rep, scatter chart of Sales vs Avg Gross Margin %, summary table, dynamic Top Rep card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 &amp; Customer Insights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 is selling, to whom, and at what risk of return?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Treemap of Category/Sub-Category sales, bar chart of top products, Customer Tier × Type table with Return Rate %, Category × Tier matrix</w:t>
            </w:r>
          </w:p>
        </w:tc>
      </w:tr>
    </w:tbl>
    <w:p>
      <w:pPr>
        <w:spacing w:after="200"/>
      </w:pPr>
    </w:p>
    <w:p>
      <w:pPr>
        <w:spacing w:after="100" w:before="280"/>
      </w:pPr>
      <w:r>
        <w:rPr>
          <w:b/>
          <w:bCs/>
          <w:color w:val="1F4E78"/>
          <w:sz w:val="24"/>
          <w:szCs w:val="24"/>
        </w:rPr>
        <w:t xml:space="preserve">Q: Why a scatter chart on the Sales Representative page specifically?</w:t>
      </w:r>
    </w:p>
    <w:p>
      <w:pPr>
        <w:spacing w:after="80"/>
        <w:ind w:left="200"/>
      </w:pPr>
      <w:r>
        <w:rPr>
          <w:b/>
          <w:bCs/>
          <w:sz w:val="22"/>
          <w:szCs w:val="22"/>
        </w:rPr>
        <w:t xml:space="preserve">A: </w:t>
      </w:r>
      <w:r>
        <w:rPr>
          <w:sz w:val="22"/>
          <w:szCs w:val="22"/>
        </w:rPr>
        <w:t xml:space="preserve">A bar chart alone only shows volume — it answers “who sold the most” but says nothing about profitability. Plotting Total Sales against Avg Gross Margin % on a scatter chart, one bubble per rep, lets a manager see at a glance whether the top sellers are also the most profitable ones, or whether some reps are driving high volume at a lower margin. That is a genuinely different insight than the bar chart provides, which is why both are on the same page rather than one replacing the other.</w:t>
      </w:r>
    </w:p>
    <w:p>
      <w:pPr>
        <w:spacing w:after="100" w:before="280"/>
      </w:pPr>
      <w:r>
        <w:rPr>
          <w:b/>
          <w:bCs/>
          <w:color w:val="1F4E78"/>
          <w:sz w:val="24"/>
          <w:szCs w:val="24"/>
        </w:rPr>
        <w:t xml:space="preserve">Q: Why a treemap for category/sub-category instead of another bar chart?</w:t>
      </w:r>
    </w:p>
    <w:p>
      <w:pPr>
        <w:spacing w:after="80"/>
        <w:ind w:left="200"/>
      </w:pPr>
      <w:r>
        <w:rPr>
          <w:b/>
          <w:bCs/>
          <w:sz w:val="22"/>
          <w:szCs w:val="22"/>
        </w:rPr>
        <w:t xml:space="preserve">A: </w:t>
      </w:r>
      <w:r>
        <w:rPr>
          <w:sz w:val="22"/>
          <w:szCs w:val="22"/>
        </w:rPr>
        <w:t xml:space="preserve">A treemap encodes both the hierarchy (Category containing Sub-Categories) and the relative size of each segment in a single glance, through nested rectangles sized by Total Sales. A bar chart can only show one level of hierarchy cleanly; reproducing this same two-level breakdown as bars would have needed either a cluttered double-axis chart or two separate charts. The treemap conveys it more compactly and more legibly for a fast executive scan.</w:t>
      </w:r>
    </w:p>
    <w:p>
      <w:pPr>
        <w:pStyle w:val="Heading1"/>
      </w:pPr>
      <w:r>
        <w:t xml:space="preserve">6. Verifying Correctness</w:t>
      </w:r>
    </w:p>
    <w:p>
      <w:pPr>
        <w:spacing w:after="100" w:before="280"/>
      </w:pPr>
      <w:r>
        <w:rPr>
          <w:b/>
          <w:bCs/>
          <w:color w:val="1F4E78"/>
          <w:sz w:val="24"/>
          <w:szCs w:val="24"/>
        </w:rPr>
        <w:t xml:space="preserve">Q: How do you know the numbers in the dashboard are actually correct, not just plausible-looking?</w:t>
      </w:r>
    </w:p>
    <w:p>
      <w:pPr>
        <w:spacing w:after="80"/>
        <w:ind w:left="200"/>
      </w:pPr>
      <w:r>
        <w:rPr>
          <w:b/>
          <w:bCs/>
          <w:sz w:val="22"/>
          <w:szCs w:val="22"/>
        </w:rPr>
        <w:t xml:space="preserve">A: </w:t>
      </w:r>
      <w:r>
        <w:rPr>
          <w:sz w:val="22"/>
          <w:szCs w:val="22"/>
        </w:rPr>
        <w:t xml:space="preserve">Several independent cross-checks were used throughout the build:</w:t>
      </w:r>
    </w:p>
    <w:p>
      <w:pPr>
        <w:pStyle w:val="ListParagraph"/>
        <w:numPr>
          <w:ilvl w:val="0"/>
          <w:numId w:val="2"/>
        </w:numPr>
        <w:spacing w:after="80"/>
      </w:pPr>
      <w:r>
        <w:rPr>
          <w:sz w:val="22"/>
          <w:szCs w:val="22"/>
        </w:rPr>
        <w:t xml:space="preserve">The Total Sales, Total Orders, and Avg Gross Margin % figures are identical across all three pages regardless of which visual or slicer state is showing them — if the model were inconsistent, these would drift apart between pages.</w:t>
      </w:r>
    </w:p>
    <w:p>
      <w:pPr>
        <w:pStyle w:val="ListParagraph"/>
        <w:numPr>
          <w:ilvl w:val="0"/>
          <w:numId w:val="2"/>
        </w:numPr>
        <w:spacing w:after="80"/>
      </w:pPr>
      <w:r>
        <w:rPr>
          <w:sz w:val="22"/>
          <w:szCs w:val="22"/>
        </w:rPr>
        <w:t xml:space="preserve">The Top Rep measure’s output was checked against the underlying bar chart — the calculated top performer matches the visibly tallest bar, confirming the DAX logic and the raw data agree.</w:t>
      </w:r>
    </w:p>
    <w:p>
      <w:pPr>
        <w:pStyle w:val="ListParagraph"/>
        <w:numPr>
          <w:ilvl w:val="0"/>
          <w:numId w:val="2"/>
        </w:numPr>
        <w:spacing w:after="80"/>
      </w:pPr>
      <w:r>
        <w:rPr>
          <w:sz w:val="22"/>
          <w:szCs w:val="22"/>
        </w:rPr>
        <w:t xml:space="preserve">During the build, a relationship/data-type mismatch caused every KPI to show blank. This was diagnosed methodically: first by confirming the relationship cardinality and active status were correctly configured in Model view, then by checking the actual column types of Fact_Sales[Order Date] and Dim_Date[Date], which revealed the date column still carried a time component. Correcting the data type to a pure Date resolved the issue, and all KPIs and visuals returned to their expected values immediately afterward.</w:t>
      </w:r>
    </w:p>
    <w:p>
      <w:pPr>
        <w:pStyle w:val="ListParagraph"/>
        <w:numPr>
          <w:ilvl w:val="0"/>
          <w:numId w:val="2"/>
        </w:numPr>
        <w:spacing w:after="80"/>
      </w:pPr>
      <w:r>
        <w:rPr>
          <w:sz w:val="22"/>
          <w:szCs w:val="22"/>
        </w:rPr>
        <w:t xml:space="preserve">The cleaned row counts were checked at every stage of the pipeline (12,765 in Fact_Sales) to confirm no rows were silently lost or duplicated during cleaning, merging, or loading.</w:t>
      </w:r>
    </w:p>
    <w:p>
      <w:pPr>
        <w:pStyle w:val="Heading1"/>
      </w:pPr>
      <w:r>
        <w:t xml:space="preserve">7. Summary</w:t>
      </w:r>
    </w:p>
    <w:p>
      <w:pPr>
        <w:spacing w:after="140"/>
      </w:pPr>
      <w:r>
        <w:t xml:space="preserve">The end-to-end approach was: understand the raw data and its real problems before touching it, fix only what was genuinely broken (subtotal rows, date formats, blank labels) without inventing or estimating any figures, build a normalised star-schema model with clearly justified relationship settings, define every metric once as a centrally reusable measure, and design each dashboard page around a specific business question rather than an arbitrary chart layout. Every number presented in the final dashboard can be traced back to a specific, auditable step in this process.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6" w:space="4"/>
      </w:pBdr>
      <w:spacing w:after="180" w:before="320"/>
      <w:outlineLvl w:val="0"/>
    </w:pPr>
    <w:rPr>
      <w:rFonts w:ascii="Arial" w:cs="Arial" w:eastAsia="Arial" w:hAnsi="Arial"/>
      <w:b/>
      <w:bCs/>
      <w:color w:val="1F4E78"/>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2026-06-28T21:06:39.348Z</dcterms:created>
  <dcterms:modified xsi:type="dcterms:W3CDTF">2026-06-28T21:06:39.348Z</dcterms:modified>
</cp:coreProperties>
</file>

<file path=docProps/custom.xml><?xml version="1.0" encoding="utf-8"?>
<Properties xmlns="http://schemas.openxmlformats.org/officeDocument/2006/custom-properties" xmlns:vt="http://schemas.openxmlformats.org/officeDocument/2006/docPropsVTypes"/>
</file>