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Praj — first look</w:t>
      </w:r>
    </w:p>
    <w:p>
      <w:r>
        <w:t>Ethanol capex cycle looks past its peak.</w:t>
      </w:r>
    </w:p>
    <w:p>
      <w:r>
        <w:t>Two things to check:</w:t>
      </w:r>
    </w:p>
    <w:p>
      <w:pPr>
        <w:pStyle w:val="ListBullet"/>
      </w:pPr>
      <w:r>
        <w:t>Order book conversion</w:t>
      </w:r>
    </w:p>
    <w:p>
      <w:pPr>
        <w:pStyle w:val="ListBullet"/>
      </w:pPr>
      <w:r>
        <w:t>Working capital days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FY26 revenue</w:t>
            </w:r>
          </w:p>
        </w:tc>
        <w:tc>
          <w:tcPr>
            <w:tcW w:type="dxa" w:w="4320"/>
          </w:tcPr>
          <w:p>
            <w:r>
              <w:t>3167.88</w:t>
            </w:r>
          </w:p>
        </w:tc>
      </w:tr>
      <w:tr>
        <w:tc>
          <w:tcPr>
            <w:tcW w:type="dxa" w:w="4320"/>
          </w:tcPr>
          <w:p>
            <w:r>
              <w:t>FY26 PAT</w:t>
            </w:r>
          </w:p>
        </w:tc>
        <w:tc>
          <w:tcPr>
            <w:tcW w:type="dxa" w:w="4320"/>
          </w:tcPr>
          <w:p>
            <w:r>
              <w:t>23.85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