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01 - Business Rules Specification</w:t>
      </w:r>
    </w:p>
    <w:p>
      <w:pPr>
        <w:jc w:val="center"/>
      </w:pPr>
      <w:r>
        <w:rPr>
          <w:sz w:val="24"/>
        </w:rPr>
        <w:t>Exhaustive operational rules for Sprint 1</w:t>
      </w:r>
    </w:p>
    <w:p>
      <w:r>
        <w:t>Prepared for: Ivaan Solar Energy (ISE) and PCM Ventures (PCMV)</w:t>
      </w:r>
    </w:p>
    <w:p>
      <w:r>
        <w:t>Version: v3.0 Detailed Implementation Pack</w:t>
      </w:r>
    </w:p>
    <w:p>
      <w:r>
        <w:t>Central principle: one operational source of truth for inventory, sales, payments, booking and dispatch across companies and warehouses.</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320"/>
        <w:gridCol w:w="4320"/>
      </w:tblGrid>
      <w:tr>
        <w:tc>
          <w:tcPr>
            <w:tcW w:type="dxa" w:w="4320"/>
            <w:vAlign w:val="top"/>
            <w:shd w:fill="D9EAF7"/>
          </w:tcPr>
          <w:p>
            <w:r>
              <w:rPr>
                <w:sz w:val="16"/>
              </w:rPr>
            </w:r>
            <w:r>
              <w:rPr>
                <w:b/>
                <w:sz w:val="16"/>
              </w:rPr>
              <w:t>Item</w:t>
            </w:r>
          </w:p>
        </w:tc>
        <w:tc>
          <w:tcPr>
            <w:tcW w:type="dxa" w:w="4320"/>
            <w:vAlign w:val="top"/>
            <w:shd w:fill="D9EAF7"/>
          </w:tcPr>
          <w:p>
            <w:r>
              <w:rPr>
                <w:sz w:val="16"/>
              </w:rPr>
            </w:r>
            <w:r>
              <w:rPr>
                <w:b/>
                <w:sz w:val="16"/>
              </w:rPr>
              <w:t>Value</w:t>
            </w:r>
          </w:p>
        </w:tc>
      </w:tr>
      <w:tr>
        <w:tc>
          <w:tcPr>
            <w:tcW w:type="dxa" w:w="4320"/>
            <w:vAlign w:val="top"/>
          </w:tcPr>
          <w:p>
            <w:r>
              <w:rPr>
                <w:sz w:val="16"/>
              </w:rPr>
            </w:r>
            <w:r>
              <w:rPr>
                <w:b w:val="0"/>
                <w:sz w:val="16"/>
              </w:rPr>
              <w:t>Document version</w:t>
            </w:r>
          </w:p>
        </w:tc>
        <w:tc>
          <w:tcPr>
            <w:tcW w:type="dxa" w:w="4320"/>
            <w:vAlign w:val="top"/>
          </w:tcPr>
          <w:p>
            <w:r>
              <w:rPr>
                <w:sz w:val="16"/>
              </w:rPr>
            </w:r>
            <w:r>
              <w:rPr>
                <w:b w:val="0"/>
                <w:sz w:val="16"/>
              </w:rPr>
              <w:t>v3.0</w:t>
            </w:r>
          </w:p>
        </w:tc>
      </w:tr>
      <w:tr>
        <w:tc>
          <w:tcPr>
            <w:tcW w:type="dxa" w:w="4320"/>
            <w:vAlign w:val="top"/>
          </w:tcPr>
          <w:p>
            <w:r>
              <w:rPr>
                <w:sz w:val="16"/>
              </w:rPr>
            </w:r>
            <w:r>
              <w:rPr>
                <w:b w:val="0"/>
                <w:sz w:val="16"/>
              </w:rPr>
              <w:t>Scope</w:t>
            </w:r>
          </w:p>
        </w:tc>
        <w:tc>
          <w:tcPr>
            <w:tcW w:type="dxa" w:w="4320"/>
            <w:vAlign w:val="top"/>
          </w:tcPr>
          <w:p>
            <w:r>
              <w:rPr>
                <w:sz w:val="16"/>
              </w:rPr>
            </w:r>
            <w:r>
              <w:rPr>
                <w:b w:val="0"/>
                <w:sz w:val="16"/>
              </w:rPr>
              <w:t>Sprint 1 implementation-ready specification</w:t>
            </w:r>
          </w:p>
        </w:tc>
      </w:tr>
      <w:tr>
        <w:tc>
          <w:tcPr>
            <w:tcW w:type="dxa" w:w="4320"/>
            <w:vAlign w:val="top"/>
          </w:tcPr>
          <w:p>
            <w:r>
              <w:rPr>
                <w:sz w:val="16"/>
              </w:rPr>
            </w:r>
            <w:r>
              <w:rPr>
                <w:b w:val="0"/>
                <w:sz w:val="16"/>
              </w:rPr>
              <w:t>System name</w:t>
            </w:r>
          </w:p>
        </w:tc>
        <w:tc>
          <w:tcPr>
            <w:tcW w:type="dxa" w:w="4320"/>
            <w:vAlign w:val="top"/>
          </w:tcPr>
          <w:p>
            <w:r>
              <w:rPr>
                <w:sz w:val="16"/>
              </w:rPr>
            </w:r>
            <w:r>
              <w:rPr>
                <w:b w:val="0"/>
                <w:sz w:val="16"/>
              </w:rPr>
              <w:t>IvaanOps</w:t>
            </w:r>
          </w:p>
        </w:tc>
      </w:tr>
      <w:tr>
        <w:tc>
          <w:tcPr>
            <w:tcW w:type="dxa" w:w="4320"/>
            <w:vAlign w:val="top"/>
          </w:tcPr>
          <w:p>
            <w:r>
              <w:rPr>
                <w:sz w:val="16"/>
              </w:rPr>
            </w:r>
            <w:r>
              <w:rPr>
                <w:b w:val="0"/>
                <w:sz w:val="16"/>
              </w:rPr>
              <w:t>Deployment target</w:t>
            </w:r>
          </w:p>
        </w:tc>
        <w:tc>
          <w:tcPr>
            <w:tcW w:type="dxa" w:w="4320"/>
            <w:vAlign w:val="top"/>
          </w:tcPr>
          <w:p>
            <w:r>
              <w:rPr>
                <w:sz w:val="16"/>
              </w:rPr>
            </w:r>
            <w:r>
              <w:rPr>
                <w:b w:val="0"/>
                <w:sz w:val="16"/>
              </w:rPr>
              <w:t>app.ivaansolar.com under existing ivaansolar.com domain</w:t>
            </w:r>
          </w:p>
        </w:tc>
      </w:tr>
      <w:tr>
        <w:tc>
          <w:tcPr>
            <w:tcW w:type="dxa" w:w="4320"/>
            <w:vAlign w:val="top"/>
          </w:tcPr>
          <w:p>
            <w:r>
              <w:rPr>
                <w:sz w:val="16"/>
              </w:rPr>
            </w:r>
            <w:r>
              <w:rPr>
                <w:b w:val="0"/>
                <w:sz w:val="16"/>
              </w:rPr>
              <w:t>Primary users</w:t>
            </w:r>
          </w:p>
        </w:tc>
        <w:tc>
          <w:tcPr>
            <w:tcW w:type="dxa" w:w="4320"/>
            <w:vAlign w:val="top"/>
          </w:tcPr>
          <w:p>
            <w:r>
              <w:rPr>
                <w:sz w:val="16"/>
              </w:rPr>
            </w:r>
            <w:r>
              <w:rPr>
                <w:b w:val="0"/>
                <w:sz w:val="16"/>
              </w:rPr>
              <w:t>15 users in Year 1</w:t>
            </w:r>
          </w:p>
        </w:tc>
      </w:tr>
      <w:tr>
        <w:tc>
          <w:tcPr>
            <w:tcW w:type="dxa" w:w="4320"/>
            <w:vAlign w:val="top"/>
          </w:tcPr>
          <w:p>
            <w:r>
              <w:rPr>
                <w:sz w:val="16"/>
              </w:rPr>
            </w:r>
            <w:r>
              <w:rPr>
                <w:b w:val="0"/>
                <w:sz w:val="16"/>
              </w:rPr>
              <w:t>Business owner</w:t>
            </w:r>
          </w:p>
        </w:tc>
        <w:tc>
          <w:tcPr>
            <w:tcW w:type="dxa" w:w="4320"/>
            <w:vAlign w:val="top"/>
          </w:tcPr>
          <w:p>
            <w:r>
              <w:rPr>
                <w:sz w:val="16"/>
              </w:rPr>
            </w:r>
            <w:r>
              <w:rPr>
                <w:b w:val="0"/>
                <w:sz w:val="16"/>
              </w:rPr>
              <w:t>Kartikey / Ivaan management</w:t>
            </w:r>
          </w:p>
        </w:tc>
      </w:tr>
      <w:tr>
        <w:tc>
          <w:tcPr>
            <w:tcW w:type="dxa" w:w="4320"/>
            <w:vAlign w:val="top"/>
          </w:tcPr>
          <w:p>
            <w:r>
              <w:rPr>
                <w:sz w:val="16"/>
              </w:rPr>
            </w:r>
            <w:r>
              <w:rPr>
                <w:b w:val="0"/>
                <w:sz w:val="16"/>
              </w:rPr>
              <w:t>Testing approach</w:t>
            </w:r>
          </w:p>
        </w:tc>
        <w:tc>
          <w:tcPr>
            <w:tcW w:type="dxa" w:w="4320"/>
            <w:vAlign w:val="top"/>
          </w:tcPr>
          <w:p>
            <w:r>
              <w:rPr>
                <w:sz w:val="16"/>
              </w:rPr>
            </w:r>
            <w:r>
              <w:rPr>
                <w:b w:val="0"/>
                <w:sz w:val="16"/>
              </w:rPr>
              <w:t>2 active testers with module-wise UAT</w:t>
            </w:r>
          </w:p>
        </w:tc>
      </w:tr>
    </w:tbl>
    <w:p/>
    <w:p>
      <w:pPr>
        <w:pStyle w:val="Heading1"/>
      </w:pPr>
      <w:r>
        <w:t>1. Core Operating Model</w:t>
      </w:r>
    </w:p>
    <w:p>
      <w:r>
        <w:t>IvaanOps is a single web application used by both Ivaan Solar Energy (ISE) and PCM Ventures (PCMV). The system is not two separate applications. It uses company context after login to segregate data, branding, document numbering, pricing and reporting.</w:t>
      </w:r>
    </w:p>
    <w:p>
      <w:r>
        <w:t>Every operational record must belong to a company unless explicitly designed as shared master data. Users may be granted access to one or both companies. The company selector controls which company data is being created, viewed and reported.</w:t>
      </w:r>
    </w:p>
    <w:p>
      <w:r>
        <w:t>The central idea of the application is to eliminate inventory mismatch by linking sales commitments, payment status, manager approvals, booking and dispatch to a common lot-based inventory ledger.</w:t>
      </w:r>
    </w:p>
    <w:p>
      <w:pPr>
        <w:pStyle w:val="Heading1"/>
      </w:pPr>
      <w:r>
        <w:t>2. Finalized Business Rules Register</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top"/>
            <w:shd w:fill="D9EAF7"/>
          </w:tcPr>
          <w:p>
            <w:r>
              <w:rPr>
                <w:sz w:val="16"/>
              </w:rPr>
            </w:r>
            <w:r>
              <w:rPr>
                <w:b/>
                <w:sz w:val="16"/>
              </w:rPr>
              <w:t>Rule ID</w:t>
            </w:r>
          </w:p>
        </w:tc>
        <w:tc>
          <w:tcPr>
            <w:tcW w:type="dxa" w:w="2880"/>
            <w:vAlign w:val="top"/>
            <w:shd w:fill="D9EAF7"/>
          </w:tcPr>
          <w:p>
            <w:r>
              <w:rPr>
                <w:sz w:val="16"/>
              </w:rPr>
            </w:r>
            <w:r>
              <w:rPr>
                <w:b/>
                <w:sz w:val="16"/>
              </w:rPr>
              <w:t>Area</w:t>
            </w:r>
          </w:p>
        </w:tc>
        <w:tc>
          <w:tcPr>
            <w:tcW w:type="dxa" w:w="2880"/>
            <w:vAlign w:val="top"/>
            <w:shd w:fill="D9EAF7"/>
          </w:tcPr>
          <w:p>
            <w:r>
              <w:rPr>
                <w:sz w:val="16"/>
              </w:rPr>
            </w:r>
            <w:r>
              <w:rPr>
                <w:b/>
                <w:sz w:val="16"/>
              </w:rPr>
              <w:t>Rule</w:t>
            </w:r>
          </w:p>
        </w:tc>
      </w:tr>
      <w:tr>
        <w:tc>
          <w:tcPr>
            <w:tcW w:type="dxa" w:w="2880"/>
            <w:vAlign w:val="top"/>
          </w:tcPr>
          <w:p>
            <w:r>
              <w:rPr>
                <w:sz w:val="16"/>
              </w:rPr>
            </w:r>
            <w:r>
              <w:rPr>
                <w:b w:val="0"/>
                <w:sz w:val="16"/>
              </w:rPr>
              <w:t>BR-001</w:t>
            </w:r>
          </w:p>
        </w:tc>
        <w:tc>
          <w:tcPr>
            <w:tcW w:type="dxa" w:w="2880"/>
            <w:vAlign w:val="top"/>
          </w:tcPr>
          <w:p>
            <w:r>
              <w:rPr>
                <w:sz w:val="16"/>
              </w:rPr>
            </w:r>
            <w:r>
              <w:rPr>
                <w:b w:val="0"/>
                <w:sz w:val="16"/>
              </w:rPr>
              <w:t>Company context</w:t>
            </w:r>
          </w:p>
        </w:tc>
        <w:tc>
          <w:tcPr>
            <w:tcW w:type="dxa" w:w="2880"/>
            <w:vAlign w:val="top"/>
          </w:tcPr>
          <w:p>
            <w:r>
              <w:rPr>
                <w:sz w:val="16"/>
              </w:rPr>
            </w:r>
            <w:r>
              <w:rPr>
                <w:b w:val="0"/>
                <w:sz w:val="16"/>
              </w:rPr>
              <w:t>Every operational transaction is recorded under ISE or PCMV. User may access one or both companies.</w:t>
            </w:r>
          </w:p>
        </w:tc>
      </w:tr>
      <w:tr>
        <w:tc>
          <w:tcPr>
            <w:tcW w:type="dxa" w:w="2880"/>
            <w:vAlign w:val="top"/>
          </w:tcPr>
          <w:p>
            <w:r>
              <w:rPr>
                <w:sz w:val="16"/>
              </w:rPr>
            </w:r>
            <w:r>
              <w:rPr>
                <w:b w:val="0"/>
                <w:sz w:val="16"/>
              </w:rPr>
              <w:t>BR-002</w:t>
            </w:r>
          </w:p>
        </w:tc>
        <w:tc>
          <w:tcPr>
            <w:tcW w:type="dxa" w:w="2880"/>
            <w:vAlign w:val="top"/>
          </w:tcPr>
          <w:p>
            <w:r>
              <w:rPr>
                <w:sz w:val="16"/>
              </w:rPr>
            </w:r>
            <w:r>
              <w:rPr>
                <w:b w:val="0"/>
                <w:sz w:val="16"/>
              </w:rPr>
              <w:t>Domain</w:t>
            </w:r>
          </w:p>
        </w:tc>
        <w:tc>
          <w:tcPr>
            <w:tcW w:type="dxa" w:w="2880"/>
            <w:vAlign w:val="top"/>
          </w:tcPr>
          <w:p>
            <w:r>
              <w:rPr>
                <w:sz w:val="16"/>
              </w:rPr>
            </w:r>
            <w:r>
              <w:rPr>
                <w:b w:val="0"/>
                <w:sz w:val="16"/>
              </w:rPr>
              <w:t>Existing domain ivaansolar.com will be used. No new domain required. Application hosted at app.ivaansolar.com.</w:t>
            </w:r>
          </w:p>
        </w:tc>
      </w:tr>
      <w:tr>
        <w:tc>
          <w:tcPr>
            <w:tcW w:type="dxa" w:w="2880"/>
            <w:vAlign w:val="top"/>
          </w:tcPr>
          <w:p>
            <w:r>
              <w:rPr>
                <w:sz w:val="16"/>
              </w:rPr>
            </w:r>
            <w:r>
              <w:rPr>
                <w:b w:val="0"/>
                <w:sz w:val="16"/>
              </w:rPr>
              <w:t>BR-003</w:t>
            </w:r>
          </w:p>
        </w:tc>
        <w:tc>
          <w:tcPr>
            <w:tcW w:type="dxa" w:w="2880"/>
            <w:vAlign w:val="top"/>
          </w:tcPr>
          <w:p>
            <w:r>
              <w:rPr>
                <w:sz w:val="16"/>
              </w:rPr>
            </w:r>
            <w:r>
              <w:rPr>
                <w:b w:val="0"/>
                <w:sz w:val="16"/>
              </w:rPr>
              <w:t>Customer ownership</w:t>
            </w:r>
          </w:p>
        </w:tc>
        <w:tc>
          <w:tcPr>
            <w:tcW w:type="dxa" w:w="2880"/>
            <w:vAlign w:val="top"/>
          </w:tcPr>
          <w:p>
            <w:r>
              <w:rPr>
                <w:sz w:val="16"/>
              </w:rPr>
            </w:r>
            <w:r>
              <w:rPr>
                <w:b w:val="0"/>
                <w:sz w:val="16"/>
              </w:rPr>
              <w:t>Customers are company-owned, not sales-person owned. Each customer is assigned to a Sales Executive.</w:t>
            </w:r>
          </w:p>
        </w:tc>
      </w:tr>
      <w:tr>
        <w:tc>
          <w:tcPr>
            <w:tcW w:type="dxa" w:w="2880"/>
            <w:vAlign w:val="top"/>
          </w:tcPr>
          <w:p>
            <w:r>
              <w:rPr>
                <w:sz w:val="16"/>
              </w:rPr>
            </w:r>
            <w:r>
              <w:rPr>
                <w:b w:val="0"/>
                <w:sz w:val="16"/>
              </w:rPr>
              <w:t>BR-004</w:t>
            </w:r>
          </w:p>
        </w:tc>
        <w:tc>
          <w:tcPr>
            <w:tcW w:type="dxa" w:w="2880"/>
            <w:vAlign w:val="top"/>
          </w:tcPr>
          <w:p>
            <w:r>
              <w:rPr>
                <w:sz w:val="16"/>
              </w:rPr>
            </w:r>
            <w:r>
              <w:rPr>
                <w:b w:val="0"/>
                <w:sz w:val="16"/>
              </w:rPr>
              <w:t>Customer reassignment</w:t>
            </w:r>
          </w:p>
        </w:tc>
        <w:tc>
          <w:tcPr>
            <w:tcW w:type="dxa" w:w="2880"/>
            <w:vAlign w:val="top"/>
          </w:tcPr>
          <w:p>
            <w:r>
              <w:rPr>
                <w:sz w:val="16"/>
              </w:rPr>
            </w:r>
            <w:r>
              <w:rPr>
                <w:b w:val="0"/>
                <w:sz w:val="16"/>
              </w:rPr>
              <w:t>Super Admin and Sales Manager can reassign customers, including bulk reassignment.</w:t>
            </w:r>
          </w:p>
        </w:tc>
      </w:tr>
      <w:tr>
        <w:tc>
          <w:tcPr>
            <w:tcW w:type="dxa" w:w="2880"/>
            <w:vAlign w:val="top"/>
          </w:tcPr>
          <w:p>
            <w:r>
              <w:rPr>
                <w:sz w:val="16"/>
              </w:rPr>
            </w:r>
            <w:r>
              <w:rPr>
                <w:b w:val="0"/>
                <w:sz w:val="16"/>
              </w:rPr>
              <w:t>BR-005</w:t>
            </w:r>
          </w:p>
        </w:tc>
        <w:tc>
          <w:tcPr>
            <w:tcW w:type="dxa" w:w="2880"/>
            <w:vAlign w:val="top"/>
          </w:tcPr>
          <w:p>
            <w:r>
              <w:rPr>
                <w:sz w:val="16"/>
              </w:rPr>
            </w:r>
            <w:r>
              <w:rPr>
                <w:b w:val="0"/>
                <w:sz w:val="16"/>
              </w:rPr>
              <w:t>Duplicate GST</w:t>
            </w:r>
          </w:p>
        </w:tc>
        <w:tc>
          <w:tcPr>
            <w:tcW w:type="dxa" w:w="2880"/>
            <w:vAlign w:val="top"/>
          </w:tcPr>
          <w:p>
            <w:r>
              <w:rPr>
                <w:sz w:val="16"/>
              </w:rPr>
            </w:r>
            <w:r>
              <w:rPr>
                <w:b w:val="0"/>
                <w:sz w:val="16"/>
              </w:rPr>
              <w:t>Duplicate GST is blocked. User should correct existing customer if mistake exists.</w:t>
            </w:r>
          </w:p>
        </w:tc>
      </w:tr>
      <w:tr>
        <w:tc>
          <w:tcPr>
            <w:tcW w:type="dxa" w:w="2880"/>
            <w:vAlign w:val="top"/>
          </w:tcPr>
          <w:p>
            <w:r>
              <w:rPr>
                <w:sz w:val="16"/>
              </w:rPr>
            </w:r>
            <w:r>
              <w:rPr>
                <w:b w:val="0"/>
                <w:sz w:val="16"/>
              </w:rPr>
              <w:t>BR-006</w:t>
            </w:r>
          </w:p>
        </w:tc>
        <w:tc>
          <w:tcPr>
            <w:tcW w:type="dxa" w:w="2880"/>
            <w:vAlign w:val="top"/>
          </w:tcPr>
          <w:p>
            <w:r>
              <w:rPr>
                <w:sz w:val="16"/>
              </w:rPr>
            </w:r>
            <w:r>
              <w:rPr>
                <w:b w:val="0"/>
                <w:sz w:val="16"/>
              </w:rPr>
              <w:t>Customer types</w:t>
            </w:r>
          </w:p>
        </w:tc>
        <w:tc>
          <w:tcPr>
            <w:tcW w:type="dxa" w:w="2880"/>
            <w:vAlign w:val="top"/>
          </w:tcPr>
          <w:p>
            <w:r>
              <w:rPr>
                <w:sz w:val="16"/>
              </w:rPr>
            </w:r>
            <w:r>
              <w:rPr>
                <w:b w:val="0"/>
                <w:sz w:val="16"/>
              </w:rPr>
              <w:t>Default types are Dealer and Project. Admin can add future types.</w:t>
            </w:r>
          </w:p>
        </w:tc>
      </w:tr>
      <w:tr>
        <w:tc>
          <w:tcPr>
            <w:tcW w:type="dxa" w:w="2880"/>
            <w:vAlign w:val="top"/>
          </w:tcPr>
          <w:p>
            <w:r>
              <w:rPr>
                <w:sz w:val="16"/>
              </w:rPr>
            </w:r>
            <w:r>
              <w:rPr>
                <w:b w:val="0"/>
                <w:sz w:val="16"/>
              </w:rPr>
              <w:t>BR-007</w:t>
            </w:r>
          </w:p>
        </w:tc>
        <w:tc>
          <w:tcPr>
            <w:tcW w:type="dxa" w:w="2880"/>
            <w:vAlign w:val="top"/>
          </w:tcPr>
          <w:p>
            <w:r>
              <w:rPr>
                <w:sz w:val="16"/>
              </w:rPr>
            </w:r>
            <w:r>
              <w:rPr>
                <w:b w:val="0"/>
                <w:sz w:val="16"/>
              </w:rPr>
              <w:t>Quotation validity</w:t>
            </w:r>
          </w:p>
        </w:tc>
        <w:tc>
          <w:tcPr>
            <w:tcW w:type="dxa" w:w="2880"/>
            <w:vAlign w:val="top"/>
          </w:tcPr>
          <w:p>
            <w:r>
              <w:rPr>
                <w:sz w:val="16"/>
              </w:rPr>
            </w:r>
            <w:r>
              <w:rPr>
                <w:b w:val="0"/>
                <w:sz w:val="16"/>
              </w:rPr>
              <w:t>Quotation validity is fixed at 3 days from quotation date.</w:t>
            </w:r>
          </w:p>
        </w:tc>
      </w:tr>
      <w:tr>
        <w:tc>
          <w:tcPr>
            <w:tcW w:type="dxa" w:w="2880"/>
            <w:vAlign w:val="top"/>
          </w:tcPr>
          <w:p>
            <w:r>
              <w:rPr>
                <w:sz w:val="16"/>
              </w:rPr>
            </w:r>
            <w:r>
              <w:rPr>
                <w:b w:val="0"/>
                <w:sz w:val="16"/>
              </w:rPr>
              <w:t>BR-008</w:t>
            </w:r>
          </w:p>
        </w:tc>
        <w:tc>
          <w:tcPr>
            <w:tcW w:type="dxa" w:w="2880"/>
            <w:vAlign w:val="top"/>
          </w:tcPr>
          <w:p>
            <w:r>
              <w:rPr>
                <w:sz w:val="16"/>
              </w:rPr>
            </w:r>
            <w:r>
              <w:rPr>
                <w:b w:val="0"/>
                <w:sz w:val="16"/>
              </w:rPr>
              <w:t>Quotation acceptance</w:t>
            </w:r>
          </w:p>
        </w:tc>
        <w:tc>
          <w:tcPr>
            <w:tcW w:type="dxa" w:w="2880"/>
            <w:vAlign w:val="top"/>
          </w:tcPr>
          <w:p>
            <w:r>
              <w:rPr>
                <w:sz w:val="16"/>
              </w:rPr>
            </w:r>
            <w:r>
              <w:rPr>
                <w:b w:val="0"/>
                <w:sz w:val="16"/>
              </w:rPr>
              <w:t>Quotation is automatically treated as accepted when PI is created from it.</w:t>
            </w:r>
          </w:p>
        </w:tc>
      </w:tr>
      <w:tr>
        <w:tc>
          <w:tcPr>
            <w:tcW w:type="dxa" w:w="2880"/>
            <w:vAlign w:val="top"/>
          </w:tcPr>
          <w:p>
            <w:r>
              <w:rPr>
                <w:sz w:val="16"/>
              </w:rPr>
            </w:r>
            <w:r>
              <w:rPr>
                <w:b w:val="0"/>
                <w:sz w:val="16"/>
              </w:rPr>
              <w:t>BR-009</w:t>
            </w:r>
          </w:p>
        </w:tc>
        <w:tc>
          <w:tcPr>
            <w:tcW w:type="dxa" w:w="2880"/>
            <w:vAlign w:val="top"/>
          </w:tcPr>
          <w:p>
            <w:r>
              <w:rPr>
                <w:sz w:val="16"/>
              </w:rPr>
            </w:r>
            <w:r>
              <w:rPr>
                <w:b w:val="0"/>
                <w:sz w:val="16"/>
              </w:rPr>
              <w:t>Quotation revisions</w:t>
            </w:r>
          </w:p>
        </w:tc>
        <w:tc>
          <w:tcPr>
            <w:tcW w:type="dxa" w:w="2880"/>
            <w:vAlign w:val="top"/>
          </w:tcPr>
          <w:p>
            <w:r>
              <w:rPr>
                <w:sz w:val="16"/>
              </w:rPr>
            </w:r>
            <w:r>
              <w:rPr>
                <w:b w:val="0"/>
                <w:sz w:val="16"/>
              </w:rPr>
              <w:t>Generated quotations are never overwritten; changes create revisions.</w:t>
            </w:r>
          </w:p>
        </w:tc>
      </w:tr>
      <w:tr>
        <w:tc>
          <w:tcPr>
            <w:tcW w:type="dxa" w:w="2880"/>
            <w:vAlign w:val="top"/>
          </w:tcPr>
          <w:p>
            <w:r>
              <w:rPr>
                <w:sz w:val="16"/>
              </w:rPr>
            </w:r>
            <w:r>
              <w:rPr>
                <w:b w:val="0"/>
                <w:sz w:val="16"/>
              </w:rPr>
              <w:t>BR-010</w:t>
            </w:r>
          </w:p>
        </w:tc>
        <w:tc>
          <w:tcPr>
            <w:tcW w:type="dxa" w:w="2880"/>
            <w:vAlign w:val="top"/>
          </w:tcPr>
          <w:p>
            <w:r>
              <w:rPr>
                <w:sz w:val="16"/>
              </w:rPr>
            </w:r>
            <w:r>
              <w:rPr>
                <w:b w:val="0"/>
                <w:sz w:val="16"/>
              </w:rPr>
              <w:t>Direct PI</w:t>
            </w:r>
          </w:p>
        </w:tc>
        <w:tc>
          <w:tcPr>
            <w:tcW w:type="dxa" w:w="2880"/>
            <w:vAlign w:val="top"/>
          </w:tcPr>
          <w:p>
            <w:r>
              <w:rPr>
                <w:sz w:val="16"/>
              </w:rPr>
            </w:r>
            <w:r>
              <w:rPr>
                <w:b w:val="0"/>
                <w:sz w:val="16"/>
              </w:rPr>
              <w:t>PI can be created directly or converted from a quotation.</w:t>
            </w:r>
          </w:p>
        </w:tc>
      </w:tr>
      <w:tr>
        <w:tc>
          <w:tcPr>
            <w:tcW w:type="dxa" w:w="2880"/>
            <w:vAlign w:val="top"/>
          </w:tcPr>
          <w:p>
            <w:r>
              <w:rPr>
                <w:sz w:val="16"/>
              </w:rPr>
            </w:r>
            <w:r>
              <w:rPr>
                <w:b w:val="0"/>
                <w:sz w:val="16"/>
              </w:rPr>
              <w:t>BR-011</w:t>
            </w:r>
          </w:p>
        </w:tc>
        <w:tc>
          <w:tcPr>
            <w:tcW w:type="dxa" w:w="2880"/>
            <w:vAlign w:val="top"/>
          </w:tcPr>
          <w:p>
            <w:r>
              <w:rPr>
                <w:sz w:val="16"/>
              </w:rPr>
            </w:r>
            <w:r>
              <w:rPr>
                <w:b w:val="0"/>
                <w:sz w:val="16"/>
              </w:rPr>
              <w:t>PI editing</w:t>
            </w:r>
          </w:p>
        </w:tc>
        <w:tc>
          <w:tcPr>
            <w:tcW w:type="dxa" w:w="2880"/>
            <w:vAlign w:val="top"/>
          </w:tcPr>
          <w:p>
            <w:r>
              <w:rPr>
                <w:sz w:val="16"/>
              </w:rPr>
            </w:r>
            <w:r>
              <w:rPr>
                <w:b w:val="0"/>
                <w:sz w:val="16"/>
              </w:rPr>
              <w:t>After PI generation, changes require revised PI. No overwrite of issued PI.</w:t>
            </w:r>
          </w:p>
        </w:tc>
      </w:tr>
      <w:tr>
        <w:tc>
          <w:tcPr>
            <w:tcW w:type="dxa" w:w="2880"/>
            <w:vAlign w:val="top"/>
          </w:tcPr>
          <w:p>
            <w:r>
              <w:rPr>
                <w:sz w:val="16"/>
              </w:rPr>
            </w:r>
            <w:r>
              <w:rPr>
                <w:b w:val="0"/>
                <w:sz w:val="16"/>
              </w:rPr>
              <w:t>BR-012</w:t>
            </w:r>
          </w:p>
        </w:tc>
        <w:tc>
          <w:tcPr>
            <w:tcW w:type="dxa" w:w="2880"/>
            <w:vAlign w:val="top"/>
          </w:tcPr>
          <w:p>
            <w:r>
              <w:rPr>
                <w:sz w:val="16"/>
              </w:rPr>
            </w:r>
            <w:r>
              <w:rPr>
                <w:b w:val="0"/>
                <w:sz w:val="16"/>
              </w:rPr>
              <w:t>Payment tracking</w:t>
            </w:r>
          </w:p>
        </w:tc>
        <w:tc>
          <w:tcPr>
            <w:tcW w:type="dxa" w:w="2880"/>
            <w:vAlign w:val="top"/>
          </w:tcPr>
          <w:p>
            <w:r>
              <w:rPr>
                <w:sz w:val="16"/>
              </w:rPr>
            </w:r>
            <w:r>
              <w:rPr>
                <w:b w:val="0"/>
                <w:sz w:val="16"/>
              </w:rPr>
              <w:t>Outstanding amount = PI Value - Payments Received. No Tally import required for Sprint 1 outstanding.</w:t>
            </w:r>
          </w:p>
        </w:tc>
      </w:tr>
      <w:tr>
        <w:tc>
          <w:tcPr>
            <w:tcW w:type="dxa" w:w="2880"/>
            <w:vAlign w:val="top"/>
          </w:tcPr>
          <w:p>
            <w:r>
              <w:rPr>
                <w:sz w:val="16"/>
              </w:rPr>
            </w:r>
            <w:r>
              <w:rPr>
                <w:b w:val="0"/>
                <w:sz w:val="16"/>
              </w:rPr>
              <w:t>BR-013</w:t>
            </w:r>
          </w:p>
        </w:tc>
        <w:tc>
          <w:tcPr>
            <w:tcW w:type="dxa" w:w="2880"/>
            <w:vAlign w:val="top"/>
          </w:tcPr>
          <w:p>
            <w:r>
              <w:rPr>
                <w:sz w:val="16"/>
              </w:rPr>
            </w:r>
            <w:r>
              <w:rPr>
                <w:b w:val="0"/>
                <w:sz w:val="16"/>
              </w:rPr>
              <w:t>Booking eligibility</w:t>
            </w:r>
          </w:p>
        </w:tc>
        <w:tc>
          <w:tcPr>
            <w:tcW w:type="dxa" w:w="2880"/>
            <w:vAlign w:val="top"/>
          </w:tcPr>
          <w:p>
            <w:r>
              <w:rPr>
                <w:sz w:val="16"/>
              </w:rPr>
            </w:r>
            <w:r>
              <w:rPr>
                <w:b w:val="0"/>
                <w:sz w:val="16"/>
              </w:rPr>
              <w:t>Inventory booking requires 50% advance payment and Sales Manager approval.</w:t>
            </w:r>
          </w:p>
        </w:tc>
      </w:tr>
      <w:tr>
        <w:tc>
          <w:tcPr>
            <w:tcW w:type="dxa" w:w="2880"/>
            <w:vAlign w:val="top"/>
          </w:tcPr>
          <w:p>
            <w:r>
              <w:rPr>
                <w:sz w:val="16"/>
              </w:rPr>
            </w:r>
            <w:r>
              <w:rPr>
                <w:b w:val="0"/>
                <w:sz w:val="16"/>
              </w:rPr>
              <w:t>BR-014</w:t>
            </w:r>
          </w:p>
        </w:tc>
        <w:tc>
          <w:tcPr>
            <w:tcW w:type="dxa" w:w="2880"/>
            <w:vAlign w:val="top"/>
          </w:tcPr>
          <w:p>
            <w:r>
              <w:rPr>
                <w:sz w:val="16"/>
              </w:rPr>
            </w:r>
            <w:r>
              <w:rPr>
                <w:b w:val="0"/>
                <w:sz w:val="16"/>
              </w:rPr>
              <w:t>Booking effect</w:t>
            </w:r>
          </w:p>
        </w:tc>
        <w:tc>
          <w:tcPr>
            <w:tcW w:type="dxa" w:w="2880"/>
            <w:vAlign w:val="top"/>
          </w:tcPr>
          <w:p>
            <w:r>
              <w:rPr>
                <w:sz w:val="16"/>
              </w:rPr>
            </w:r>
            <w:r>
              <w:rPr>
                <w:b w:val="0"/>
                <w:sz w:val="16"/>
              </w:rPr>
              <w:t>Approved booking reduces available stock immediately.</w:t>
            </w:r>
          </w:p>
        </w:tc>
      </w:tr>
      <w:tr>
        <w:tc>
          <w:tcPr>
            <w:tcW w:type="dxa" w:w="2880"/>
            <w:vAlign w:val="top"/>
          </w:tcPr>
          <w:p>
            <w:r>
              <w:rPr>
                <w:sz w:val="16"/>
              </w:rPr>
            </w:r>
            <w:r>
              <w:rPr>
                <w:b w:val="0"/>
                <w:sz w:val="16"/>
              </w:rPr>
              <w:t>BR-015</w:t>
            </w:r>
          </w:p>
        </w:tc>
        <w:tc>
          <w:tcPr>
            <w:tcW w:type="dxa" w:w="2880"/>
            <w:vAlign w:val="top"/>
          </w:tcPr>
          <w:p>
            <w:r>
              <w:rPr>
                <w:sz w:val="16"/>
              </w:rPr>
            </w:r>
            <w:r>
              <w:rPr>
                <w:b w:val="0"/>
                <w:sz w:val="16"/>
              </w:rPr>
              <w:t>Dispatch rule</w:t>
            </w:r>
          </w:p>
        </w:tc>
        <w:tc>
          <w:tcPr>
            <w:tcW w:type="dxa" w:w="2880"/>
            <w:vAlign w:val="top"/>
          </w:tcPr>
          <w:p>
            <w:r>
              <w:rPr>
                <w:sz w:val="16"/>
              </w:rPr>
            </w:r>
            <w:r>
              <w:rPr>
                <w:b w:val="0"/>
                <w:sz w:val="16"/>
              </w:rPr>
              <w:t>Warehouse cannot dispatch without booked inventory.</w:t>
            </w:r>
          </w:p>
        </w:tc>
      </w:tr>
      <w:tr>
        <w:tc>
          <w:tcPr>
            <w:tcW w:type="dxa" w:w="2880"/>
            <w:vAlign w:val="top"/>
          </w:tcPr>
          <w:p>
            <w:r>
              <w:rPr>
                <w:sz w:val="16"/>
              </w:rPr>
            </w:r>
            <w:r>
              <w:rPr>
                <w:b w:val="0"/>
                <w:sz w:val="16"/>
              </w:rPr>
              <w:t>BR-016</w:t>
            </w:r>
          </w:p>
        </w:tc>
        <w:tc>
          <w:tcPr>
            <w:tcW w:type="dxa" w:w="2880"/>
            <w:vAlign w:val="top"/>
          </w:tcPr>
          <w:p>
            <w:r>
              <w:rPr>
                <w:sz w:val="16"/>
              </w:rPr>
            </w:r>
            <w:r>
              <w:rPr>
                <w:b w:val="0"/>
                <w:sz w:val="16"/>
              </w:rPr>
              <w:t>Partial dispatch</w:t>
            </w:r>
          </w:p>
        </w:tc>
        <w:tc>
          <w:tcPr>
            <w:tcW w:type="dxa" w:w="2880"/>
            <w:vAlign w:val="top"/>
          </w:tcPr>
          <w:p>
            <w:r>
              <w:rPr>
                <w:sz w:val="16"/>
              </w:rPr>
            </w:r>
            <w:r>
              <w:rPr>
                <w:b w:val="0"/>
                <w:sz w:val="16"/>
              </w:rPr>
              <w:t>One PI can have multiple dispatches. Remaining quantity stays booked.</w:t>
            </w:r>
          </w:p>
        </w:tc>
      </w:tr>
      <w:tr>
        <w:tc>
          <w:tcPr>
            <w:tcW w:type="dxa" w:w="2880"/>
            <w:vAlign w:val="top"/>
          </w:tcPr>
          <w:p>
            <w:r>
              <w:rPr>
                <w:sz w:val="16"/>
              </w:rPr>
            </w:r>
            <w:r>
              <w:rPr>
                <w:b w:val="0"/>
                <w:sz w:val="16"/>
              </w:rPr>
              <w:t>BR-017</w:t>
            </w:r>
          </w:p>
        </w:tc>
        <w:tc>
          <w:tcPr>
            <w:tcW w:type="dxa" w:w="2880"/>
            <w:vAlign w:val="top"/>
          </w:tcPr>
          <w:p>
            <w:r>
              <w:rPr>
                <w:sz w:val="16"/>
              </w:rPr>
            </w:r>
            <w:r>
              <w:rPr>
                <w:b w:val="0"/>
                <w:sz w:val="16"/>
              </w:rPr>
              <w:t>DC cancellation</w:t>
            </w:r>
          </w:p>
        </w:tc>
        <w:tc>
          <w:tcPr>
            <w:tcW w:type="dxa" w:w="2880"/>
            <w:vAlign w:val="top"/>
          </w:tcPr>
          <w:p>
            <w:r>
              <w:rPr>
                <w:sz w:val="16"/>
              </w:rPr>
            </w:r>
            <w:r>
              <w:rPr>
                <w:b w:val="0"/>
                <w:sz w:val="16"/>
              </w:rPr>
              <w:t>Delivery Challan can be cancelled only through approval workflow.</w:t>
            </w:r>
          </w:p>
        </w:tc>
      </w:tr>
      <w:tr>
        <w:tc>
          <w:tcPr>
            <w:tcW w:type="dxa" w:w="2880"/>
            <w:vAlign w:val="top"/>
          </w:tcPr>
          <w:p>
            <w:r>
              <w:rPr>
                <w:sz w:val="16"/>
              </w:rPr>
            </w:r>
            <w:r>
              <w:rPr>
                <w:b w:val="0"/>
                <w:sz w:val="16"/>
              </w:rPr>
              <w:t>BR-018</w:t>
            </w:r>
          </w:p>
        </w:tc>
        <w:tc>
          <w:tcPr>
            <w:tcW w:type="dxa" w:w="2880"/>
            <w:vAlign w:val="top"/>
          </w:tcPr>
          <w:p>
            <w:r>
              <w:rPr>
                <w:sz w:val="16"/>
              </w:rPr>
            </w:r>
            <w:r>
              <w:rPr>
                <w:b w:val="0"/>
                <w:sz w:val="16"/>
              </w:rPr>
              <w:t>Negative stock</w:t>
            </w:r>
          </w:p>
        </w:tc>
        <w:tc>
          <w:tcPr>
            <w:tcW w:type="dxa" w:w="2880"/>
            <w:vAlign w:val="top"/>
          </w:tcPr>
          <w:p>
            <w:r>
              <w:rPr>
                <w:sz w:val="16"/>
              </w:rPr>
            </w:r>
            <w:r>
              <w:rPr>
                <w:b w:val="0"/>
                <w:sz w:val="16"/>
              </w:rPr>
              <w:t>No negative stock is allowed under any workflow.</w:t>
            </w:r>
          </w:p>
        </w:tc>
      </w:tr>
      <w:tr>
        <w:tc>
          <w:tcPr>
            <w:tcW w:type="dxa" w:w="2880"/>
            <w:vAlign w:val="top"/>
          </w:tcPr>
          <w:p>
            <w:r>
              <w:rPr>
                <w:sz w:val="16"/>
              </w:rPr>
            </w:r>
            <w:r>
              <w:rPr>
                <w:b w:val="0"/>
                <w:sz w:val="16"/>
              </w:rPr>
              <w:t>BR-019</w:t>
            </w:r>
          </w:p>
        </w:tc>
        <w:tc>
          <w:tcPr>
            <w:tcW w:type="dxa" w:w="2880"/>
            <w:vAlign w:val="top"/>
          </w:tcPr>
          <w:p>
            <w:r>
              <w:rPr>
                <w:sz w:val="16"/>
              </w:rPr>
            </w:r>
            <w:r>
              <w:rPr>
                <w:b w:val="0"/>
                <w:sz w:val="16"/>
              </w:rPr>
              <w:t>Inventory model</w:t>
            </w:r>
          </w:p>
        </w:tc>
        <w:tc>
          <w:tcPr>
            <w:tcW w:type="dxa" w:w="2880"/>
            <w:vAlign w:val="top"/>
          </w:tcPr>
          <w:p>
            <w:r>
              <w:rPr>
                <w:sz w:val="16"/>
              </w:rPr>
            </w:r>
            <w:r>
              <w:rPr>
                <w:b w:val="0"/>
                <w:sz w:val="16"/>
              </w:rPr>
              <w:t>Inventory is lot-based, not simple product balance based.</w:t>
            </w:r>
          </w:p>
        </w:tc>
      </w:tr>
      <w:tr>
        <w:tc>
          <w:tcPr>
            <w:tcW w:type="dxa" w:w="2880"/>
            <w:vAlign w:val="top"/>
          </w:tcPr>
          <w:p>
            <w:r>
              <w:rPr>
                <w:sz w:val="16"/>
              </w:rPr>
            </w:r>
            <w:r>
              <w:rPr>
                <w:b w:val="0"/>
                <w:sz w:val="16"/>
              </w:rPr>
              <w:t>BR-020</w:t>
            </w:r>
          </w:p>
        </w:tc>
        <w:tc>
          <w:tcPr>
            <w:tcW w:type="dxa" w:w="2880"/>
            <w:vAlign w:val="top"/>
          </w:tcPr>
          <w:p>
            <w:r>
              <w:rPr>
                <w:sz w:val="16"/>
              </w:rPr>
            </w:r>
            <w:r>
              <w:rPr>
                <w:b w:val="0"/>
                <w:sz w:val="16"/>
              </w:rPr>
              <w:t>Incoming tracking</w:t>
            </w:r>
          </w:p>
        </w:tc>
        <w:tc>
          <w:tcPr>
            <w:tcW w:type="dxa" w:w="2880"/>
            <w:vAlign w:val="top"/>
          </w:tcPr>
          <w:p>
            <w:r>
              <w:rPr>
                <w:sz w:val="16"/>
              </w:rPr>
            </w:r>
            <w:r>
              <w:rPr>
                <w:b w:val="0"/>
                <w:sz w:val="16"/>
              </w:rPr>
              <w:t>Incoming material is tracked before warehouse inwarding.</w:t>
            </w:r>
          </w:p>
        </w:tc>
      </w:tr>
      <w:tr>
        <w:tc>
          <w:tcPr>
            <w:tcW w:type="dxa" w:w="2880"/>
            <w:vAlign w:val="top"/>
          </w:tcPr>
          <w:p>
            <w:r>
              <w:rPr>
                <w:sz w:val="16"/>
              </w:rPr>
            </w:r>
            <w:r>
              <w:rPr>
                <w:b w:val="0"/>
                <w:sz w:val="16"/>
              </w:rPr>
              <w:t>BR-021</w:t>
            </w:r>
          </w:p>
        </w:tc>
        <w:tc>
          <w:tcPr>
            <w:tcW w:type="dxa" w:w="2880"/>
            <w:vAlign w:val="top"/>
          </w:tcPr>
          <w:p>
            <w:r>
              <w:rPr>
                <w:sz w:val="16"/>
              </w:rPr>
            </w:r>
            <w:r>
              <w:rPr>
                <w:b w:val="0"/>
                <w:sz w:val="16"/>
              </w:rPr>
              <w:t>Partial inwarding</w:t>
            </w:r>
          </w:p>
        </w:tc>
        <w:tc>
          <w:tcPr>
            <w:tcW w:type="dxa" w:w="2880"/>
            <w:vAlign w:val="top"/>
          </w:tcPr>
          <w:p>
            <w:r>
              <w:rPr>
                <w:sz w:val="16"/>
              </w:rPr>
            </w:r>
            <w:r>
              <w:rPr>
                <w:b w:val="0"/>
                <w:sz w:val="16"/>
              </w:rPr>
              <w:t>Warehouse may receive partial quantities against incoming stock.</w:t>
            </w:r>
          </w:p>
        </w:tc>
      </w:tr>
      <w:tr>
        <w:tc>
          <w:tcPr>
            <w:tcW w:type="dxa" w:w="2880"/>
            <w:vAlign w:val="top"/>
          </w:tcPr>
          <w:p>
            <w:r>
              <w:rPr>
                <w:sz w:val="16"/>
              </w:rPr>
            </w:r>
            <w:r>
              <w:rPr>
                <w:b w:val="0"/>
                <w:sz w:val="16"/>
              </w:rPr>
              <w:t>BR-022</w:t>
            </w:r>
          </w:p>
        </w:tc>
        <w:tc>
          <w:tcPr>
            <w:tcW w:type="dxa" w:w="2880"/>
            <w:vAlign w:val="top"/>
          </w:tcPr>
          <w:p>
            <w:r>
              <w:rPr>
                <w:sz w:val="16"/>
              </w:rPr>
            </w:r>
            <w:r>
              <w:rPr>
                <w:b w:val="0"/>
                <w:sz w:val="16"/>
              </w:rPr>
              <w:t>Damaged stock</w:t>
            </w:r>
          </w:p>
        </w:tc>
        <w:tc>
          <w:tcPr>
            <w:tcW w:type="dxa" w:w="2880"/>
            <w:vAlign w:val="top"/>
          </w:tcPr>
          <w:p>
            <w:r>
              <w:rPr>
                <w:sz w:val="16"/>
              </w:rPr>
            </w:r>
            <w:r>
              <w:rPr>
                <w:b w:val="0"/>
                <w:sz w:val="16"/>
              </w:rPr>
              <w:t>Damaged stock is moved to Damaged and cannot be restored to Available in Sprint 1.</w:t>
            </w:r>
          </w:p>
        </w:tc>
      </w:tr>
      <w:tr>
        <w:tc>
          <w:tcPr>
            <w:tcW w:type="dxa" w:w="2880"/>
            <w:vAlign w:val="top"/>
          </w:tcPr>
          <w:p>
            <w:r>
              <w:rPr>
                <w:sz w:val="16"/>
              </w:rPr>
            </w:r>
            <w:r>
              <w:rPr>
                <w:b w:val="0"/>
                <w:sz w:val="16"/>
              </w:rPr>
              <w:t>BR-023</w:t>
            </w:r>
          </w:p>
        </w:tc>
        <w:tc>
          <w:tcPr>
            <w:tcW w:type="dxa" w:w="2880"/>
            <w:vAlign w:val="top"/>
          </w:tcPr>
          <w:p>
            <w:r>
              <w:rPr>
                <w:sz w:val="16"/>
              </w:rPr>
            </w:r>
            <w:r>
              <w:rPr>
                <w:b w:val="0"/>
                <w:sz w:val="16"/>
              </w:rPr>
              <w:t>Serial tracking</w:t>
            </w:r>
          </w:p>
        </w:tc>
        <w:tc>
          <w:tcPr>
            <w:tcW w:type="dxa" w:w="2880"/>
            <w:vAlign w:val="top"/>
          </w:tcPr>
          <w:p>
            <w:r>
              <w:rPr>
                <w:sz w:val="16"/>
              </w:rPr>
            </w:r>
            <w:r>
              <w:rPr>
                <w:b w:val="0"/>
                <w:sz w:val="16"/>
              </w:rPr>
              <w:t>Modules and Inverters require serial number capture during inwarding and dispatch. Other products do not.</w:t>
            </w:r>
          </w:p>
        </w:tc>
      </w:tr>
      <w:tr>
        <w:tc>
          <w:tcPr>
            <w:tcW w:type="dxa" w:w="2880"/>
            <w:vAlign w:val="top"/>
          </w:tcPr>
          <w:p>
            <w:r>
              <w:rPr>
                <w:sz w:val="16"/>
              </w:rPr>
            </w:r>
            <w:r>
              <w:rPr>
                <w:b w:val="0"/>
                <w:sz w:val="16"/>
              </w:rPr>
              <w:t>BR-024</w:t>
            </w:r>
          </w:p>
        </w:tc>
        <w:tc>
          <w:tcPr>
            <w:tcW w:type="dxa" w:w="2880"/>
            <w:vAlign w:val="top"/>
          </w:tcPr>
          <w:p>
            <w:r>
              <w:rPr>
                <w:sz w:val="16"/>
              </w:rPr>
            </w:r>
            <w:r>
              <w:rPr>
                <w:b w:val="0"/>
                <w:sz w:val="16"/>
              </w:rPr>
              <w:t>Serial visibility</w:t>
            </w:r>
          </w:p>
        </w:tc>
        <w:tc>
          <w:tcPr>
            <w:tcW w:type="dxa" w:w="2880"/>
            <w:vAlign w:val="top"/>
          </w:tcPr>
          <w:p>
            <w:r>
              <w:rPr>
                <w:sz w:val="16"/>
              </w:rPr>
            </w:r>
            <w:r>
              <w:rPr>
                <w:b w:val="0"/>
                <w:sz w:val="16"/>
              </w:rPr>
              <w:t>Sales cannot see serial numbers. Warehouse handles serial selection.</w:t>
            </w:r>
          </w:p>
        </w:tc>
      </w:tr>
      <w:tr>
        <w:tc>
          <w:tcPr>
            <w:tcW w:type="dxa" w:w="2880"/>
            <w:vAlign w:val="top"/>
          </w:tcPr>
          <w:p>
            <w:r>
              <w:rPr>
                <w:sz w:val="16"/>
              </w:rPr>
            </w:r>
            <w:r>
              <w:rPr>
                <w:b w:val="0"/>
                <w:sz w:val="16"/>
              </w:rPr>
              <w:t>BR-025</w:t>
            </w:r>
          </w:p>
        </w:tc>
        <w:tc>
          <w:tcPr>
            <w:tcW w:type="dxa" w:w="2880"/>
            <w:vAlign w:val="top"/>
          </w:tcPr>
          <w:p>
            <w:r>
              <w:rPr>
                <w:sz w:val="16"/>
              </w:rPr>
            </w:r>
            <w:r>
              <w:rPr>
                <w:b w:val="0"/>
                <w:sz w:val="16"/>
              </w:rPr>
              <w:t>Transfers</w:t>
            </w:r>
          </w:p>
        </w:tc>
        <w:tc>
          <w:tcPr>
            <w:tcW w:type="dxa" w:w="2880"/>
            <w:vAlign w:val="top"/>
          </w:tcPr>
          <w:p>
            <w:r>
              <w:rPr>
                <w:sz w:val="16"/>
              </w:rPr>
            </w:r>
            <w:r>
              <w:rPr>
                <w:b w:val="0"/>
                <w:sz w:val="16"/>
              </w:rPr>
              <w:t>Inter-company and inter-warehouse transfers are supported and require receive confirmation.</w:t>
            </w:r>
          </w:p>
        </w:tc>
      </w:tr>
      <w:tr>
        <w:tc>
          <w:tcPr>
            <w:tcW w:type="dxa" w:w="2880"/>
            <w:vAlign w:val="top"/>
          </w:tcPr>
          <w:p>
            <w:r>
              <w:rPr>
                <w:sz w:val="16"/>
              </w:rPr>
            </w:r>
            <w:r>
              <w:rPr>
                <w:b w:val="0"/>
                <w:sz w:val="16"/>
              </w:rPr>
              <w:t>BR-026</w:t>
            </w:r>
          </w:p>
        </w:tc>
        <w:tc>
          <w:tcPr>
            <w:tcW w:type="dxa" w:w="2880"/>
            <w:vAlign w:val="top"/>
          </w:tcPr>
          <w:p>
            <w:r>
              <w:rPr>
                <w:sz w:val="16"/>
              </w:rPr>
            </w:r>
            <w:r>
              <w:rPr>
                <w:b w:val="0"/>
                <w:sz w:val="16"/>
              </w:rPr>
              <w:t>Stock adjustment</w:t>
            </w:r>
          </w:p>
        </w:tc>
        <w:tc>
          <w:tcPr>
            <w:tcW w:type="dxa" w:w="2880"/>
            <w:vAlign w:val="top"/>
          </w:tcPr>
          <w:p>
            <w:r>
              <w:rPr>
                <w:sz w:val="16"/>
              </w:rPr>
            </w:r>
            <w:r>
              <w:rPr>
                <w:b w:val="0"/>
                <w:sz w:val="16"/>
              </w:rPr>
              <w:t>Only Super Admin can manually adjust stock.</w:t>
            </w:r>
          </w:p>
        </w:tc>
      </w:tr>
      <w:tr>
        <w:tc>
          <w:tcPr>
            <w:tcW w:type="dxa" w:w="2880"/>
            <w:vAlign w:val="top"/>
          </w:tcPr>
          <w:p>
            <w:r>
              <w:rPr>
                <w:sz w:val="16"/>
              </w:rPr>
            </w:r>
            <w:r>
              <w:rPr>
                <w:b w:val="0"/>
                <w:sz w:val="16"/>
              </w:rPr>
              <w:t>BR-027</w:t>
            </w:r>
          </w:p>
        </w:tc>
        <w:tc>
          <w:tcPr>
            <w:tcW w:type="dxa" w:w="2880"/>
            <w:vAlign w:val="top"/>
          </w:tcPr>
          <w:p>
            <w:r>
              <w:rPr>
                <w:sz w:val="16"/>
              </w:rPr>
            </w:r>
            <w:r>
              <w:rPr>
                <w:b w:val="0"/>
                <w:sz w:val="16"/>
              </w:rPr>
              <w:t>Product categories</w:t>
            </w:r>
          </w:p>
        </w:tc>
        <w:tc>
          <w:tcPr>
            <w:tcW w:type="dxa" w:w="2880"/>
            <w:vAlign w:val="top"/>
          </w:tcPr>
          <w:p>
            <w:r>
              <w:rPr>
                <w:sz w:val="16"/>
              </w:rPr>
            </w:r>
            <w:r>
              <w:rPr>
                <w:b w:val="0"/>
                <w:sz w:val="16"/>
              </w:rPr>
              <w:t>Initial product categories: Modules, Inverters, Other.</w:t>
            </w:r>
          </w:p>
        </w:tc>
      </w:tr>
      <w:tr>
        <w:tc>
          <w:tcPr>
            <w:tcW w:type="dxa" w:w="2880"/>
            <w:vAlign w:val="top"/>
          </w:tcPr>
          <w:p>
            <w:r>
              <w:rPr>
                <w:sz w:val="16"/>
              </w:rPr>
            </w:r>
            <w:r>
              <w:rPr>
                <w:b w:val="0"/>
                <w:sz w:val="16"/>
              </w:rPr>
              <w:t>BR-028</w:t>
            </w:r>
          </w:p>
        </w:tc>
        <w:tc>
          <w:tcPr>
            <w:tcW w:type="dxa" w:w="2880"/>
            <w:vAlign w:val="top"/>
          </w:tcPr>
          <w:p>
            <w:r>
              <w:rPr>
                <w:sz w:val="16"/>
              </w:rPr>
            </w:r>
            <w:r>
              <w:rPr>
                <w:b w:val="0"/>
                <w:sz w:val="16"/>
              </w:rPr>
              <w:t>Product details</w:t>
            </w:r>
          </w:p>
        </w:tc>
        <w:tc>
          <w:tcPr>
            <w:tcW w:type="dxa" w:w="2880"/>
            <w:vAlign w:val="top"/>
          </w:tcPr>
          <w:p>
            <w:r>
              <w:rPr>
                <w:sz w:val="16"/>
              </w:rPr>
            </w:r>
            <w:r>
              <w:rPr>
                <w:b w:val="0"/>
                <w:sz w:val="16"/>
              </w:rPr>
              <w:t>Products store category, brand, technology, technical specifications and capacity separately; display name is generated automatically.</w:t>
            </w:r>
          </w:p>
        </w:tc>
      </w:tr>
      <w:tr>
        <w:tc>
          <w:tcPr>
            <w:tcW w:type="dxa" w:w="2880"/>
            <w:vAlign w:val="top"/>
          </w:tcPr>
          <w:p>
            <w:r>
              <w:rPr>
                <w:sz w:val="16"/>
              </w:rPr>
            </w:r>
            <w:r>
              <w:rPr>
                <w:b w:val="0"/>
                <w:sz w:val="16"/>
              </w:rPr>
              <w:t>BR-029</w:t>
            </w:r>
          </w:p>
        </w:tc>
        <w:tc>
          <w:tcPr>
            <w:tcW w:type="dxa" w:w="2880"/>
            <w:vAlign w:val="top"/>
          </w:tcPr>
          <w:p>
            <w:r>
              <w:rPr>
                <w:sz w:val="16"/>
              </w:rPr>
            </w:r>
            <w:r>
              <w:rPr>
                <w:b w:val="0"/>
                <w:sz w:val="16"/>
              </w:rPr>
              <w:t>Pricing model</w:t>
            </w:r>
          </w:p>
        </w:tc>
        <w:tc>
          <w:tcPr>
            <w:tcW w:type="dxa" w:w="2880"/>
            <w:vAlign w:val="top"/>
          </w:tcPr>
          <w:p>
            <w:r>
              <w:rPr>
                <w:sz w:val="16"/>
              </w:rPr>
            </w:r>
            <w:r>
              <w:rPr>
                <w:b w:val="0"/>
                <w:sz w:val="16"/>
              </w:rPr>
              <w:t>Modules support WP pricing. Other products support unit pricing.</w:t>
            </w:r>
          </w:p>
        </w:tc>
      </w:tr>
      <w:tr>
        <w:tc>
          <w:tcPr>
            <w:tcW w:type="dxa" w:w="2880"/>
            <w:vAlign w:val="top"/>
          </w:tcPr>
          <w:p>
            <w:r>
              <w:rPr>
                <w:sz w:val="16"/>
              </w:rPr>
            </w:r>
            <w:r>
              <w:rPr>
                <w:b w:val="0"/>
                <w:sz w:val="16"/>
              </w:rPr>
              <w:t>BR-030</w:t>
            </w:r>
          </w:p>
        </w:tc>
        <w:tc>
          <w:tcPr>
            <w:tcW w:type="dxa" w:w="2880"/>
            <w:vAlign w:val="top"/>
          </w:tcPr>
          <w:p>
            <w:r>
              <w:rPr>
                <w:sz w:val="16"/>
              </w:rPr>
            </w:r>
            <w:r>
              <w:rPr>
                <w:b w:val="0"/>
                <w:sz w:val="16"/>
              </w:rPr>
              <w:t>No maximum price</w:t>
            </w:r>
          </w:p>
        </w:tc>
        <w:tc>
          <w:tcPr>
            <w:tcW w:type="dxa" w:w="2880"/>
            <w:vAlign w:val="top"/>
          </w:tcPr>
          <w:p>
            <w:r>
              <w:rPr>
                <w:sz w:val="16"/>
              </w:rPr>
            </w:r>
            <w:r>
              <w:rPr>
                <w:b w:val="0"/>
                <w:sz w:val="16"/>
              </w:rPr>
              <w:t>No maximum selling price limit is maintained.</w:t>
            </w:r>
          </w:p>
        </w:tc>
      </w:tr>
      <w:tr>
        <w:tc>
          <w:tcPr>
            <w:tcW w:type="dxa" w:w="2880"/>
            <w:vAlign w:val="top"/>
          </w:tcPr>
          <w:p>
            <w:r>
              <w:rPr>
                <w:sz w:val="16"/>
              </w:rPr>
            </w:r>
            <w:r>
              <w:rPr>
                <w:b w:val="0"/>
                <w:sz w:val="16"/>
              </w:rPr>
              <w:t>BR-031</w:t>
            </w:r>
          </w:p>
        </w:tc>
        <w:tc>
          <w:tcPr>
            <w:tcW w:type="dxa" w:w="2880"/>
            <w:vAlign w:val="top"/>
          </w:tcPr>
          <w:p>
            <w:r>
              <w:rPr>
                <w:sz w:val="16"/>
              </w:rPr>
            </w:r>
            <w:r>
              <w:rPr>
                <w:b w:val="0"/>
                <w:sz w:val="16"/>
              </w:rPr>
              <w:t>Minimum price</w:t>
            </w:r>
          </w:p>
        </w:tc>
        <w:tc>
          <w:tcPr>
            <w:tcW w:type="dxa" w:w="2880"/>
            <w:vAlign w:val="top"/>
          </w:tcPr>
          <w:p>
            <w:r>
              <w:rPr>
                <w:sz w:val="16"/>
              </w:rPr>
            </w:r>
            <w:r>
              <w:rPr>
                <w:b w:val="0"/>
                <w:sz w:val="16"/>
              </w:rPr>
              <w:t>Price below minimum selling price requires Sales Manager approval.</w:t>
            </w:r>
          </w:p>
        </w:tc>
      </w:tr>
      <w:tr>
        <w:tc>
          <w:tcPr>
            <w:tcW w:type="dxa" w:w="2880"/>
            <w:vAlign w:val="top"/>
          </w:tcPr>
          <w:p>
            <w:r>
              <w:rPr>
                <w:sz w:val="16"/>
              </w:rPr>
            </w:r>
            <w:r>
              <w:rPr>
                <w:b w:val="0"/>
                <w:sz w:val="16"/>
              </w:rPr>
              <w:t>BR-032</w:t>
            </w:r>
          </w:p>
        </w:tc>
        <w:tc>
          <w:tcPr>
            <w:tcW w:type="dxa" w:w="2880"/>
            <w:vAlign w:val="top"/>
          </w:tcPr>
          <w:p>
            <w:r>
              <w:rPr>
                <w:sz w:val="16"/>
              </w:rPr>
            </w:r>
            <w:r>
              <w:rPr>
                <w:b w:val="0"/>
                <w:sz w:val="16"/>
              </w:rPr>
              <w:t>Price history</w:t>
            </w:r>
          </w:p>
        </w:tc>
        <w:tc>
          <w:tcPr>
            <w:tcW w:type="dxa" w:w="2880"/>
            <w:vAlign w:val="top"/>
          </w:tcPr>
          <w:p>
            <w:r>
              <w:rPr>
                <w:sz w:val="16"/>
              </w:rPr>
            </w:r>
            <w:r>
              <w:rPr>
                <w:b w:val="0"/>
                <w:sz w:val="16"/>
              </w:rPr>
              <w:t>Historical pricing is maintained. Old quotations retain old prices.</w:t>
            </w:r>
          </w:p>
        </w:tc>
      </w:tr>
      <w:tr>
        <w:tc>
          <w:tcPr>
            <w:tcW w:type="dxa" w:w="2880"/>
            <w:vAlign w:val="top"/>
          </w:tcPr>
          <w:p>
            <w:r>
              <w:rPr>
                <w:sz w:val="16"/>
              </w:rPr>
            </w:r>
            <w:r>
              <w:rPr>
                <w:b w:val="0"/>
                <w:sz w:val="16"/>
              </w:rPr>
              <w:t>BR-033</w:t>
            </w:r>
          </w:p>
        </w:tc>
        <w:tc>
          <w:tcPr>
            <w:tcW w:type="dxa" w:w="2880"/>
            <w:vAlign w:val="top"/>
          </w:tcPr>
          <w:p>
            <w:r>
              <w:rPr>
                <w:sz w:val="16"/>
              </w:rPr>
            </w:r>
            <w:r>
              <w:rPr>
                <w:b w:val="0"/>
                <w:sz w:val="16"/>
              </w:rPr>
              <w:t>GST</w:t>
            </w:r>
          </w:p>
        </w:tc>
        <w:tc>
          <w:tcPr>
            <w:tcW w:type="dxa" w:w="2880"/>
            <w:vAlign w:val="top"/>
          </w:tcPr>
          <w:p>
            <w:r>
              <w:rPr>
                <w:sz w:val="16"/>
              </w:rPr>
            </w:r>
            <w:r>
              <w:rPr>
                <w:b w:val="0"/>
                <w:sz w:val="16"/>
              </w:rPr>
              <w:t>Product master stores single GST rate.</w:t>
            </w:r>
          </w:p>
        </w:tc>
      </w:tr>
      <w:tr>
        <w:tc>
          <w:tcPr>
            <w:tcW w:type="dxa" w:w="2880"/>
            <w:vAlign w:val="top"/>
          </w:tcPr>
          <w:p>
            <w:r>
              <w:rPr>
                <w:sz w:val="16"/>
              </w:rPr>
            </w:r>
            <w:r>
              <w:rPr>
                <w:b w:val="0"/>
                <w:sz w:val="16"/>
              </w:rPr>
              <w:t>BR-034</w:t>
            </w:r>
          </w:p>
        </w:tc>
        <w:tc>
          <w:tcPr>
            <w:tcW w:type="dxa" w:w="2880"/>
            <w:vAlign w:val="top"/>
          </w:tcPr>
          <w:p>
            <w:r>
              <w:rPr>
                <w:sz w:val="16"/>
              </w:rPr>
            </w:r>
            <w:r>
              <w:rPr>
                <w:b w:val="0"/>
                <w:sz w:val="16"/>
              </w:rPr>
              <w:t>Units</w:t>
            </w:r>
          </w:p>
        </w:tc>
        <w:tc>
          <w:tcPr>
            <w:tcW w:type="dxa" w:w="2880"/>
            <w:vAlign w:val="top"/>
          </w:tcPr>
          <w:p>
            <w:r>
              <w:rPr>
                <w:sz w:val="16"/>
              </w:rPr>
            </w:r>
            <w:r>
              <w:rPr>
                <w:b w:val="0"/>
                <w:sz w:val="16"/>
              </w:rPr>
              <w:t>System supports configurable units including Wp, kW, kVA, Nos and Meter.</w:t>
            </w:r>
          </w:p>
        </w:tc>
      </w:tr>
      <w:tr>
        <w:tc>
          <w:tcPr>
            <w:tcW w:type="dxa" w:w="2880"/>
            <w:vAlign w:val="top"/>
          </w:tcPr>
          <w:p>
            <w:r>
              <w:rPr>
                <w:sz w:val="16"/>
              </w:rPr>
            </w:r>
            <w:r>
              <w:rPr>
                <w:b w:val="0"/>
                <w:sz w:val="16"/>
              </w:rPr>
              <w:t>BR-035</w:t>
            </w:r>
          </w:p>
        </w:tc>
        <w:tc>
          <w:tcPr>
            <w:tcW w:type="dxa" w:w="2880"/>
            <w:vAlign w:val="top"/>
          </w:tcPr>
          <w:p>
            <w:r>
              <w:rPr>
                <w:sz w:val="16"/>
              </w:rPr>
            </w:r>
            <w:r>
              <w:rPr>
                <w:b w:val="0"/>
                <w:sz w:val="16"/>
              </w:rPr>
              <w:t>Document numbering</w:t>
            </w:r>
          </w:p>
        </w:tc>
        <w:tc>
          <w:tcPr>
            <w:tcW w:type="dxa" w:w="2880"/>
            <w:vAlign w:val="top"/>
          </w:tcPr>
          <w:p>
            <w:r>
              <w:rPr>
                <w:sz w:val="16"/>
              </w:rPr>
            </w:r>
            <w:r>
              <w:rPr>
                <w:b w:val="0"/>
                <w:sz w:val="16"/>
              </w:rPr>
              <w:t>Document numbering is separate by company and document type and resets every financial year.</w:t>
            </w:r>
          </w:p>
        </w:tc>
      </w:tr>
      <w:tr>
        <w:tc>
          <w:tcPr>
            <w:tcW w:type="dxa" w:w="2880"/>
            <w:vAlign w:val="top"/>
          </w:tcPr>
          <w:p>
            <w:r>
              <w:rPr>
                <w:sz w:val="16"/>
              </w:rPr>
            </w:r>
            <w:r>
              <w:rPr>
                <w:b w:val="0"/>
                <w:sz w:val="16"/>
              </w:rPr>
              <w:t>BR-036</w:t>
            </w:r>
          </w:p>
        </w:tc>
        <w:tc>
          <w:tcPr>
            <w:tcW w:type="dxa" w:w="2880"/>
            <w:vAlign w:val="top"/>
          </w:tcPr>
          <w:p>
            <w:r>
              <w:rPr>
                <w:sz w:val="16"/>
              </w:rPr>
            </w:r>
            <w:r>
              <w:rPr>
                <w:b w:val="0"/>
                <w:sz w:val="16"/>
              </w:rPr>
              <w:t>Document numbering format</w:t>
            </w:r>
          </w:p>
        </w:tc>
        <w:tc>
          <w:tcPr>
            <w:tcW w:type="dxa" w:w="2880"/>
            <w:vAlign w:val="top"/>
          </w:tcPr>
          <w:p>
            <w:r>
              <w:rPr>
                <w:sz w:val="16"/>
              </w:rPr>
            </w:r>
            <w:r>
              <w:rPr>
                <w:b w:val="0"/>
                <w:sz w:val="16"/>
              </w:rPr>
              <w:t>Format: ISE-QT-26-27-00001, ISE-PI-26-27-00001, ISE-DC-26-27-00001, PCMV equivalents.</w:t>
            </w:r>
          </w:p>
        </w:tc>
      </w:tr>
      <w:tr>
        <w:tc>
          <w:tcPr>
            <w:tcW w:type="dxa" w:w="2880"/>
            <w:vAlign w:val="top"/>
          </w:tcPr>
          <w:p>
            <w:r>
              <w:rPr>
                <w:sz w:val="16"/>
              </w:rPr>
            </w:r>
            <w:r>
              <w:rPr>
                <w:b w:val="0"/>
                <w:sz w:val="16"/>
              </w:rPr>
              <w:t>BR-037</w:t>
            </w:r>
          </w:p>
        </w:tc>
        <w:tc>
          <w:tcPr>
            <w:tcW w:type="dxa" w:w="2880"/>
            <w:vAlign w:val="top"/>
          </w:tcPr>
          <w:p>
            <w:r>
              <w:rPr>
                <w:sz w:val="16"/>
              </w:rPr>
            </w:r>
            <w:r>
              <w:rPr>
                <w:b w:val="0"/>
                <w:sz w:val="16"/>
              </w:rPr>
              <w:t>PDF branding</w:t>
            </w:r>
          </w:p>
        </w:tc>
        <w:tc>
          <w:tcPr>
            <w:tcW w:type="dxa" w:w="2880"/>
            <w:vAlign w:val="top"/>
          </w:tcPr>
          <w:p>
            <w:r>
              <w:rPr>
                <w:sz w:val="16"/>
              </w:rPr>
            </w:r>
            <w:r>
              <w:rPr>
                <w:b w:val="0"/>
                <w:sz w:val="16"/>
              </w:rPr>
              <w:t>PDFs include company logo, company details, bank details, terms, validity, executive name and digital signature image.</w:t>
            </w:r>
          </w:p>
        </w:tc>
      </w:tr>
      <w:tr>
        <w:tc>
          <w:tcPr>
            <w:tcW w:type="dxa" w:w="2880"/>
            <w:vAlign w:val="top"/>
          </w:tcPr>
          <w:p>
            <w:r>
              <w:rPr>
                <w:sz w:val="16"/>
              </w:rPr>
            </w:r>
            <w:r>
              <w:rPr>
                <w:b w:val="0"/>
                <w:sz w:val="16"/>
              </w:rPr>
              <w:t>BR-038</w:t>
            </w:r>
          </w:p>
        </w:tc>
        <w:tc>
          <w:tcPr>
            <w:tcW w:type="dxa" w:w="2880"/>
            <w:vAlign w:val="top"/>
          </w:tcPr>
          <w:p>
            <w:r>
              <w:rPr>
                <w:sz w:val="16"/>
              </w:rPr>
            </w:r>
            <w:r>
              <w:rPr>
                <w:b w:val="0"/>
                <w:sz w:val="16"/>
              </w:rPr>
              <w:t>Stored documents</w:t>
            </w:r>
          </w:p>
        </w:tc>
        <w:tc>
          <w:tcPr>
            <w:tcW w:type="dxa" w:w="2880"/>
            <w:vAlign w:val="top"/>
          </w:tcPr>
          <w:p>
            <w:r>
              <w:rPr>
                <w:sz w:val="16"/>
              </w:rPr>
            </w:r>
            <w:r>
              <w:rPr>
                <w:b w:val="0"/>
                <w:sz w:val="16"/>
              </w:rPr>
              <w:t>Delivery Challan PDF is stored. Quotation and PI are regenerated from data when needed.</w:t>
            </w:r>
          </w:p>
        </w:tc>
      </w:tr>
      <w:tr>
        <w:tc>
          <w:tcPr>
            <w:tcW w:type="dxa" w:w="2880"/>
            <w:vAlign w:val="top"/>
          </w:tcPr>
          <w:p>
            <w:r>
              <w:rPr>
                <w:sz w:val="16"/>
              </w:rPr>
            </w:r>
            <w:r>
              <w:rPr>
                <w:b w:val="0"/>
                <w:sz w:val="16"/>
              </w:rPr>
              <w:t>BR-039</w:t>
            </w:r>
          </w:p>
        </w:tc>
        <w:tc>
          <w:tcPr>
            <w:tcW w:type="dxa" w:w="2880"/>
            <w:vAlign w:val="top"/>
          </w:tcPr>
          <w:p>
            <w:r>
              <w:rPr>
                <w:sz w:val="16"/>
              </w:rPr>
            </w:r>
            <w:r>
              <w:rPr>
                <w:b w:val="0"/>
                <w:sz w:val="16"/>
              </w:rPr>
              <w:t>Tally</w:t>
            </w:r>
          </w:p>
        </w:tc>
        <w:tc>
          <w:tcPr>
            <w:tcW w:type="dxa" w:w="2880"/>
            <w:vAlign w:val="top"/>
          </w:tcPr>
          <w:p>
            <w:r>
              <w:rPr>
                <w:sz w:val="16"/>
              </w:rPr>
            </w:r>
            <w:r>
              <w:rPr>
                <w:b w:val="0"/>
                <w:sz w:val="16"/>
              </w:rPr>
              <w:t>Tax invoice is generated in Tally. Sprint 1 provides Excel export for Tally if needed.</w:t>
            </w:r>
          </w:p>
        </w:tc>
      </w:tr>
      <w:tr>
        <w:tc>
          <w:tcPr>
            <w:tcW w:type="dxa" w:w="2880"/>
            <w:vAlign w:val="top"/>
          </w:tcPr>
          <w:p>
            <w:r>
              <w:rPr>
                <w:sz w:val="16"/>
              </w:rPr>
            </w:r>
            <w:r>
              <w:rPr>
                <w:b w:val="0"/>
                <w:sz w:val="16"/>
              </w:rPr>
              <w:t>BR-040</w:t>
            </w:r>
          </w:p>
        </w:tc>
        <w:tc>
          <w:tcPr>
            <w:tcW w:type="dxa" w:w="2880"/>
            <w:vAlign w:val="top"/>
          </w:tcPr>
          <w:p>
            <w:r>
              <w:rPr>
                <w:sz w:val="16"/>
              </w:rPr>
            </w:r>
            <w:r>
              <w:rPr>
                <w:b w:val="0"/>
                <w:sz w:val="16"/>
              </w:rPr>
              <w:t>Deletes</w:t>
            </w:r>
          </w:p>
        </w:tc>
        <w:tc>
          <w:tcPr>
            <w:tcW w:type="dxa" w:w="2880"/>
            <w:vAlign w:val="top"/>
          </w:tcPr>
          <w:p>
            <w:r>
              <w:rPr>
                <w:sz w:val="16"/>
              </w:rPr>
            </w:r>
            <w:r>
              <w:rPr>
                <w:b w:val="0"/>
                <w:sz w:val="16"/>
              </w:rPr>
              <w:t>No hard deletes. Records are soft-disabled/cancelled with audit trail.</w:t>
            </w:r>
          </w:p>
        </w:tc>
      </w:tr>
      <w:tr>
        <w:tc>
          <w:tcPr>
            <w:tcW w:type="dxa" w:w="2880"/>
            <w:vAlign w:val="top"/>
          </w:tcPr>
          <w:p>
            <w:r>
              <w:rPr>
                <w:sz w:val="16"/>
              </w:rPr>
            </w:r>
            <w:r>
              <w:rPr>
                <w:b w:val="0"/>
                <w:sz w:val="16"/>
              </w:rPr>
              <w:t>BR-041</w:t>
            </w:r>
          </w:p>
        </w:tc>
        <w:tc>
          <w:tcPr>
            <w:tcW w:type="dxa" w:w="2880"/>
            <w:vAlign w:val="top"/>
          </w:tcPr>
          <w:p>
            <w:r>
              <w:rPr>
                <w:sz w:val="16"/>
              </w:rPr>
            </w:r>
            <w:r>
              <w:rPr>
                <w:b w:val="0"/>
                <w:sz w:val="16"/>
              </w:rPr>
              <w:t>Audit</w:t>
            </w:r>
          </w:p>
        </w:tc>
        <w:tc>
          <w:tcPr>
            <w:tcW w:type="dxa" w:w="2880"/>
            <w:vAlign w:val="top"/>
          </w:tcPr>
          <w:p>
            <w:r>
              <w:rPr>
                <w:sz w:val="16"/>
              </w:rPr>
            </w:r>
            <w:r>
              <w:rPr>
                <w:b w:val="0"/>
                <w:sz w:val="16"/>
              </w:rPr>
              <w:t>All operational changes record user, timestamp, old value, new value and reference.</w:t>
            </w:r>
          </w:p>
        </w:tc>
      </w:tr>
      <w:tr>
        <w:tc>
          <w:tcPr>
            <w:tcW w:type="dxa" w:w="2880"/>
            <w:vAlign w:val="top"/>
          </w:tcPr>
          <w:p>
            <w:r>
              <w:rPr>
                <w:sz w:val="16"/>
              </w:rPr>
            </w:r>
            <w:r>
              <w:rPr>
                <w:b w:val="0"/>
                <w:sz w:val="16"/>
              </w:rPr>
              <w:t>BR-042</w:t>
            </w:r>
          </w:p>
        </w:tc>
        <w:tc>
          <w:tcPr>
            <w:tcW w:type="dxa" w:w="2880"/>
            <w:vAlign w:val="top"/>
          </w:tcPr>
          <w:p>
            <w:r>
              <w:rPr>
                <w:sz w:val="16"/>
              </w:rPr>
            </w:r>
            <w:r>
              <w:rPr>
                <w:b w:val="0"/>
                <w:sz w:val="16"/>
              </w:rPr>
              <w:t>MFA</w:t>
            </w:r>
          </w:p>
        </w:tc>
        <w:tc>
          <w:tcPr>
            <w:tcW w:type="dxa" w:w="2880"/>
            <w:vAlign w:val="top"/>
          </w:tcPr>
          <w:p>
            <w:r>
              <w:rPr>
                <w:sz w:val="16"/>
              </w:rPr>
            </w:r>
            <w:r>
              <w:rPr>
                <w:b w:val="0"/>
                <w:sz w:val="16"/>
              </w:rPr>
              <w:t>MFA is deferred to Sprint 2.</w:t>
            </w:r>
          </w:p>
        </w:tc>
      </w:tr>
      <w:tr>
        <w:tc>
          <w:tcPr>
            <w:tcW w:type="dxa" w:w="2880"/>
            <w:vAlign w:val="top"/>
          </w:tcPr>
          <w:p>
            <w:r>
              <w:rPr>
                <w:sz w:val="16"/>
              </w:rPr>
            </w:r>
            <w:r>
              <w:rPr>
                <w:b w:val="0"/>
                <w:sz w:val="16"/>
              </w:rPr>
              <w:t>BR-043</w:t>
            </w:r>
          </w:p>
        </w:tc>
        <w:tc>
          <w:tcPr>
            <w:tcW w:type="dxa" w:w="2880"/>
            <w:vAlign w:val="top"/>
          </w:tcPr>
          <w:p>
            <w:r>
              <w:rPr>
                <w:sz w:val="16"/>
              </w:rPr>
            </w:r>
            <w:r>
              <w:rPr>
                <w:b w:val="0"/>
                <w:sz w:val="16"/>
              </w:rPr>
              <w:t>Notifications</w:t>
            </w:r>
          </w:p>
        </w:tc>
        <w:tc>
          <w:tcPr>
            <w:tcW w:type="dxa" w:w="2880"/>
            <w:vAlign w:val="top"/>
          </w:tcPr>
          <w:p>
            <w:r>
              <w:rPr>
                <w:sz w:val="16"/>
              </w:rPr>
            </w:r>
            <w:r>
              <w:rPr>
                <w:b w:val="0"/>
                <w:sz w:val="16"/>
              </w:rPr>
              <w:t>Sprint 1 uses in-app notifications only.</w:t>
            </w:r>
          </w:p>
        </w:tc>
      </w:tr>
      <w:tr>
        <w:tc>
          <w:tcPr>
            <w:tcW w:type="dxa" w:w="2880"/>
            <w:vAlign w:val="top"/>
          </w:tcPr>
          <w:p>
            <w:r>
              <w:rPr>
                <w:sz w:val="16"/>
              </w:rPr>
            </w:r>
            <w:r>
              <w:rPr>
                <w:b w:val="0"/>
                <w:sz w:val="16"/>
              </w:rPr>
              <w:t>BR-044</w:t>
            </w:r>
          </w:p>
        </w:tc>
        <w:tc>
          <w:tcPr>
            <w:tcW w:type="dxa" w:w="2880"/>
            <w:vAlign w:val="top"/>
          </w:tcPr>
          <w:p>
            <w:r>
              <w:rPr>
                <w:sz w:val="16"/>
              </w:rPr>
            </w:r>
            <w:r>
              <w:rPr>
                <w:b w:val="0"/>
                <w:sz w:val="16"/>
              </w:rPr>
              <w:t>Mobile</w:t>
            </w:r>
          </w:p>
        </w:tc>
        <w:tc>
          <w:tcPr>
            <w:tcW w:type="dxa" w:w="2880"/>
            <w:vAlign w:val="top"/>
          </w:tcPr>
          <w:p>
            <w:r>
              <w:rPr>
                <w:sz w:val="16"/>
              </w:rPr>
            </w:r>
            <w:r>
              <w:rPr>
                <w:b w:val="0"/>
                <w:sz w:val="16"/>
              </w:rPr>
              <w:t>Warehouse screens are mobile-friendly and support QR/barcode scanning.</w:t>
            </w:r>
          </w:p>
        </w:tc>
      </w:tr>
      <w:tr>
        <w:tc>
          <w:tcPr>
            <w:tcW w:type="dxa" w:w="2880"/>
            <w:vAlign w:val="top"/>
          </w:tcPr>
          <w:p>
            <w:r>
              <w:rPr>
                <w:sz w:val="16"/>
              </w:rPr>
            </w:r>
            <w:r>
              <w:rPr>
                <w:b w:val="0"/>
                <w:sz w:val="16"/>
              </w:rPr>
              <w:t>BR-045</w:t>
            </w:r>
          </w:p>
        </w:tc>
        <w:tc>
          <w:tcPr>
            <w:tcW w:type="dxa" w:w="2880"/>
            <w:vAlign w:val="top"/>
          </w:tcPr>
          <w:p>
            <w:r>
              <w:rPr>
                <w:sz w:val="16"/>
              </w:rPr>
            </w:r>
            <w:r>
              <w:rPr>
                <w:b w:val="0"/>
                <w:sz w:val="16"/>
              </w:rPr>
              <w:t>Future phases</w:t>
            </w:r>
          </w:p>
        </w:tc>
        <w:tc>
          <w:tcPr>
            <w:tcW w:type="dxa" w:w="2880"/>
            <w:vAlign w:val="top"/>
          </w:tcPr>
          <w:p>
            <w:r>
              <w:rPr>
                <w:sz w:val="16"/>
              </w:rPr>
            </w:r>
            <w:r>
              <w:rPr>
                <w:b w:val="0"/>
                <w:sz w:val="16"/>
              </w:rPr>
              <w:t>B2C projects, CRM pipeline, complaint management, HR and AI assistant are Phase 2 placeholders.</w:t>
            </w:r>
          </w:p>
        </w:tc>
      </w:tr>
    </w:tbl>
    <w:p/>
    <w:p>
      <w:pPr>
        <w:pStyle w:val="Heading1"/>
      </w:pPr>
      <w:r>
        <w:t>3. Document Numbering Rules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top"/>
            <w:shd w:fill="D9EAF7"/>
          </w:tcPr>
          <w:p>
            <w:r>
              <w:rPr>
                <w:sz w:val="16"/>
              </w:rPr>
            </w:r>
            <w:r>
              <w:rPr>
                <w:b/>
                <w:sz w:val="16"/>
              </w:rPr>
              <w:t>Document</w:t>
            </w:r>
          </w:p>
        </w:tc>
        <w:tc>
          <w:tcPr>
            <w:tcW w:type="dxa" w:w="2160"/>
            <w:vAlign w:val="top"/>
            <w:shd w:fill="D9EAF7"/>
          </w:tcPr>
          <w:p>
            <w:r>
              <w:rPr>
                <w:sz w:val="16"/>
              </w:rPr>
            </w:r>
            <w:r>
              <w:rPr>
                <w:b/>
                <w:sz w:val="16"/>
              </w:rPr>
              <w:t>Format</w:t>
            </w:r>
          </w:p>
        </w:tc>
        <w:tc>
          <w:tcPr>
            <w:tcW w:type="dxa" w:w="2160"/>
            <w:vAlign w:val="top"/>
            <w:shd w:fill="D9EAF7"/>
          </w:tcPr>
          <w:p>
            <w:r>
              <w:rPr>
                <w:sz w:val="16"/>
              </w:rPr>
            </w:r>
            <w:r>
              <w:rPr>
                <w:b/>
                <w:sz w:val="16"/>
              </w:rPr>
              <w:t>Reset</w:t>
            </w:r>
          </w:p>
        </w:tc>
        <w:tc>
          <w:tcPr>
            <w:tcW w:type="dxa" w:w="2160"/>
            <w:vAlign w:val="top"/>
            <w:shd w:fill="D9EAF7"/>
          </w:tcPr>
          <w:p>
            <w:r>
              <w:rPr>
                <w:sz w:val="16"/>
              </w:rPr>
            </w:r>
            <w:r>
              <w:rPr>
                <w:b/>
                <w:sz w:val="16"/>
              </w:rPr>
              <w:t>Example</w:t>
            </w:r>
          </w:p>
        </w:tc>
      </w:tr>
      <w:tr>
        <w:tc>
          <w:tcPr>
            <w:tcW w:type="dxa" w:w="2160"/>
            <w:vAlign w:val="top"/>
          </w:tcPr>
          <w:p>
            <w:r>
              <w:rPr>
                <w:sz w:val="16"/>
              </w:rPr>
            </w:r>
            <w:r>
              <w:rPr>
                <w:b w:val="0"/>
                <w:sz w:val="16"/>
              </w:rPr>
              <w:t>Quotation</w:t>
            </w:r>
          </w:p>
        </w:tc>
        <w:tc>
          <w:tcPr>
            <w:tcW w:type="dxa" w:w="2160"/>
            <w:vAlign w:val="top"/>
          </w:tcPr>
          <w:p>
            <w:r>
              <w:rPr>
                <w:sz w:val="16"/>
              </w:rPr>
            </w:r>
            <w:r>
              <w:rPr>
                <w:b w:val="0"/>
                <w:sz w:val="16"/>
              </w:rPr>
              <w:t>{COMPANY}-QT-{FY}-{SEQUENCE}</w:t>
            </w:r>
          </w:p>
        </w:tc>
        <w:tc>
          <w:tcPr>
            <w:tcW w:type="dxa" w:w="2160"/>
            <w:vAlign w:val="top"/>
          </w:tcPr>
          <w:p>
            <w:r>
              <w:rPr>
                <w:sz w:val="16"/>
              </w:rPr>
            </w:r>
            <w:r>
              <w:rPr>
                <w:b w:val="0"/>
                <w:sz w:val="16"/>
              </w:rPr>
              <w:t>Every financial year</w:t>
            </w:r>
          </w:p>
        </w:tc>
        <w:tc>
          <w:tcPr>
            <w:tcW w:type="dxa" w:w="2160"/>
            <w:vAlign w:val="top"/>
          </w:tcPr>
          <w:p>
            <w:r>
              <w:rPr>
                <w:sz w:val="16"/>
              </w:rPr>
            </w:r>
            <w:r>
              <w:rPr>
                <w:b w:val="0"/>
                <w:sz w:val="16"/>
              </w:rPr>
              <w:t>ISE-QT-26-27-00001</w:t>
            </w:r>
          </w:p>
        </w:tc>
      </w:tr>
      <w:tr>
        <w:tc>
          <w:tcPr>
            <w:tcW w:type="dxa" w:w="2160"/>
            <w:vAlign w:val="top"/>
          </w:tcPr>
          <w:p>
            <w:r>
              <w:rPr>
                <w:sz w:val="16"/>
              </w:rPr>
            </w:r>
            <w:r>
              <w:rPr>
                <w:b w:val="0"/>
                <w:sz w:val="16"/>
              </w:rPr>
              <w:t>Proforma Invoice</w:t>
            </w:r>
          </w:p>
        </w:tc>
        <w:tc>
          <w:tcPr>
            <w:tcW w:type="dxa" w:w="2160"/>
            <w:vAlign w:val="top"/>
          </w:tcPr>
          <w:p>
            <w:r>
              <w:rPr>
                <w:sz w:val="16"/>
              </w:rPr>
            </w:r>
            <w:r>
              <w:rPr>
                <w:b w:val="0"/>
                <w:sz w:val="16"/>
              </w:rPr>
              <w:t>{COMPANY}-PI-{FY}-{SEQUENCE}</w:t>
            </w:r>
          </w:p>
        </w:tc>
        <w:tc>
          <w:tcPr>
            <w:tcW w:type="dxa" w:w="2160"/>
            <w:vAlign w:val="top"/>
          </w:tcPr>
          <w:p>
            <w:r>
              <w:rPr>
                <w:sz w:val="16"/>
              </w:rPr>
            </w:r>
            <w:r>
              <w:rPr>
                <w:b w:val="0"/>
                <w:sz w:val="16"/>
              </w:rPr>
              <w:t>Every financial year</w:t>
            </w:r>
          </w:p>
        </w:tc>
        <w:tc>
          <w:tcPr>
            <w:tcW w:type="dxa" w:w="2160"/>
            <w:vAlign w:val="top"/>
          </w:tcPr>
          <w:p>
            <w:r>
              <w:rPr>
                <w:sz w:val="16"/>
              </w:rPr>
            </w:r>
            <w:r>
              <w:rPr>
                <w:b w:val="0"/>
                <w:sz w:val="16"/>
              </w:rPr>
              <w:t>PCMV-PI-26-27-00001</w:t>
            </w:r>
          </w:p>
        </w:tc>
      </w:tr>
      <w:tr>
        <w:tc>
          <w:tcPr>
            <w:tcW w:type="dxa" w:w="2160"/>
            <w:vAlign w:val="top"/>
          </w:tcPr>
          <w:p>
            <w:r>
              <w:rPr>
                <w:sz w:val="16"/>
              </w:rPr>
            </w:r>
            <w:r>
              <w:rPr>
                <w:b w:val="0"/>
                <w:sz w:val="16"/>
              </w:rPr>
              <w:t>Delivery Challan</w:t>
            </w:r>
          </w:p>
        </w:tc>
        <w:tc>
          <w:tcPr>
            <w:tcW w:type="dxa" w:w="2160"/>
            <w:vAlign w:val="top"/>
          </w:tcPr>
          <w:p>
            <w:r>
              <w:rPr>
                <w:sz w:val="16"/>
              </w:rPr>
            </w:r>
            <w:r>
              <w:rPr>
                <w:b w:val="0"/>
                <w:sz w:val="16"/>
              </w:rPr>
              <w:t>{COMPANY}-DC-{FY}-{SEQUENCE}</w:t>
            </w:r>
          </w:p>
        </w:tc>
        <w:tc>
          <w:tcPr>
            <w:tcW w:type="dxa" w:w="2160"/>
            <w:vAlign w:val="top"/>
          </w:tcPr>
          <w:p>
            <w:r>
              <w:rPr>
                <w:sz w:val="16"/>
              </w:rPr>
            </w:r>
            <w:r>
              <w:rPr>
                <w:b w:val="0"/>
                <w:sz w:val="16"/>
              </w:rPr>
              <w:t>Every financial year</w:t>
            </w:r>
          </w:p>
        </w:tc>
        <w:tc>
          <w:tcPr>
            <w:tcW w:type="dxa" w:w="2160"/>
            <w:vAlign w:val="top"/>
          </w:tcPr>
          <w:p>
            <w:r>
              <w:rPr>
                <w:sz w:val="16"/>
              </w:rPr>
            </w:r>
            <w:r>
              <w:rPr>
                <w:b w:val="0"/>
                <w:sz w:val="16"/>
              </w:rPr>
              <w:t>ISE-DC-26-27-00001</w:t>
            </w:r>
          </w:p>
        </w:tc>
      </w:tr>
      <w:tr>
        <w:tc>
          <w:tcPr>
            <w:tcW w:type="dxa" w:w="2160"/>
            <w:vAlign w:val="top"/>
          </w:tcPr>
          <w:p>
            <w:r>
              <w:rPr>
                <w:sz w:val="16"/>
              </w:rPr>
            </w:r>
            <w:r>
              <w:rPr>
                <w:b w:val="0"/>
                <w:sz w:val="16"/>
              </w:rPr>
              <w:t>Inventory Transfer</w:t>
            </w:r>
          </w:p>
        </w:tc>
        <w:tc>
          <w:tcPr>
            <w:tcW w:type="dxa" w:w="2160"/>
            <w:vAlign w:val="top"/>
          </w:tcPr>
          <w:p>
            <w:r>
              <w:rPr>
                <w:sz w:val="16"/>
              </w:rPr>
            </w:r>
            <w:r>
              <w:rPr>
                <w:b w:val="0"/>
                <w:sz w:val="16"/>
              </w:rPr>
              <w:t>{COMPANY}-TRF-{FY}-{SEQUENCE}</w:t>
            </w:r>
          </w:p>
        </w:tc>
        <w:tc>
          <w:tcPr>
            <w:tcW w:type="dxa" w:w="2160"/>
            <w:vAlign w:val="top"/>
          </w:tcPr>
          <w:p>
            <w:r>
              <w:rPr>
                <w:sz w:val="16"/>
              </w:rPr>
            </w:r>
            <w:r>
              <w:rPr>
                <w:b w:val="0"/>
                <w:sz w:val="16"/>
              </w:rPr>
              <w:t>Every financial year</w:t>
            </w:r>
          </w:p>
        </w:tc>
        <w:tc>
          <w:tcPr>
            <w:tcW w:type="dxa" w:w="2160"/>
            <w:vAlign w:val="top"/>
          </w:tcPr>
          <w:p>
            <w:r>
              <w:rPr>
                <w:sz w:val="16"/>
              </w:rPr>
            </w:r>
            <w:r>
              <w:rPr>
                <w:b w:val="0"/>
                <w:sz w:val="16"/>
              </w:rPr>
              <w:t>ISE-TRF-26-27-00001</w:t>
            </w:r>
          </w:p>
        </w:tc>
      </w:tr>
      <w:tr>
        <w:tc>
          <w:tcPr>
            <w:tcW w:type="dxa" w:w="2160"/>
            <w:vAlign w:val="top"/>
          </w:tcPr>
          <w:p>
            <w:r>
              <w:rPr>
                <w:sz w:val="16"/>
              </w:rPr>
            </w:r>
            <w:r>
              <w:rPr>
                <w:b w:val="0"/>
                <w:sz w:val="16"/>
              </w:rPr>
              <w:t>Inventory Lot</w:t>
            </w:r>
          </w:p>
        </w:tc>
        <w:tc>
          <w:tcPr>
            <w:tcW w:type="dxa" w:w="2160"/>
            <w:vAlign w:val="top"/>
          </w:tcPr>
          <w:p>
            <w:r>
              <w:rPr>
                <w:sz w:val="16"/>
              </w:rPr>
            </w:r>
            <w:r>
              <w:rPr>
                <w:b w:val="0"/>
                <w:sz w:val="16"/>
              </w:rPr>
              <w:t>LOT-{FY}-{SEQUENCE}</w:t>
            </w:r>
          </w:p>
        </w:tc>
        <w:tc>
          <w:tcPr>
            <w:tcW w:type="dxa" w:w="2160"/>
            <w:vAlign w:val="top"/>
          </w:tcPr>
          <w:p>
            <w:r>
              <w:rPr>
                <w:sz w:val="16"/>
              </w:rPr>
            </w:r>
            <w:r>
              <w:rPr>
                <w:b w:val="0"/>
                <w:sz w:val="16"/>
              </w:rPr>
              <w:t>Every financial year</w:t>
            </w:r>
          </w:p>
        </w:tc>
        <w:tc>
          <w:tcPr>
            <w:tcW w:type="dxa" w:w="2160"/>
            <w:vAlign w:val="top"/>
          </w:tcPr>
          <w:p>
            <w:r>
              <w:rPr>
                <w:sz w:val="16"/>
              </w:rPr>
            </w:r>
            <w:r>
              <w:rPr>
                <w:b w:val="0"/>
                <w:sz w:val="16"/>
              </w:rPr>
              <w:t>LOT-26-27-00001</w:t>
            </w:r>
          </w:p>
        </w:tc>
      </w:tr>
    </w:tbl>
    <w:p/>
    <w:p>
      <w:pPr>
        <w:pStyle w:val="Heading1"/>
      </w:pPr>
      <w:r>
        <w:t>4. Acceptance Criteria for Business Rules</w:t>
      </w:r>
    </w:p>
    <w:p>
      <w:r>
        <w:t>AC-BR-001: The system must enforce the finalized rules through validation, permissions or approval workflows rather than relying on manual discipline.</w:t>
      </w:r>
    </w:p>
    <w:p>
      <w:r>
        <w:t>AC-BR-002: The system must enforce the finalized rules through validation, permissions or approval workflows rather than relying on manual discipline.</w:t>
      </w:r>
    </w:p>
    <w:p>
      <w:r>
        <w:t>AC-BR-003: The system must enforce the finalized rules through validation, permissions or approval workflows rather than relying on manual discipline.</w:t>
      </w:r>
    </w:p>
    <w:p>
      <w:r>
        <w:t>AC-BR-004: The system must enforce the finalized rules through validation, permissions or approval workflows rather than relying on manual discipline.</w:t>
      </w:r>
    </w:p>
    <w:p>
      <w:r>
        <w:t>AC-BR-005: The system must enforce the finalized rules through validation, permissions or approval workflows rather than relying on manual discipline.</w:t>
      </w:r>
    </w:p>
    <w:p>
      <w:r>
        <w:t>AC-BR-006: The system must enforce the finalized rules through validation, permissions or approval workflows rather than relying on manual discipline.</w:t>
      </w:r>
    </w:p>
    <w:p>
      <w:r>
        <w:t>AC-BR-007: The system must enforce the finalized rules through validation, permissions or approval workflows rather than relying on manual discipline.</w:t>
      </w:r>
    </w:p>
    <w:p>
      <w:r>
        <w:t>AC-BR-008: The system must enforce the finalized rules through validation, permissions or approval workflows rather than relying on manual discipline.</w:t>
      </w:r>
    </w:p>
    <w:p>
      <w:r>
        <w:t>AC-BR-009: The system must enforce the finalized rules through validation, permissions or approval workflows rather than relying on manual discipline.</w:t>
      </w:r>
    </w:p>
    <w:p>
      <w:r>
        <w:t>AC-BR-010: The system must enforce the finalized rules through validation, permissions or approval workflows rather than relying on manual discipline.</w:t>
      </w:r>
    </w:p>
    <w:p>
      <w:r>
        <w:t>AC-BR-011: The system must enforce the finalized rules through validation, permissions or approval workflows rather than relying on manual discipline.</w:t>
      </w:r>
    </w:p>
    <w:p>
      <w:r>
        <w:t>AC-BR-012: The system must enforce the finalized rules through validation, permissions or approval workflows rather than relying on manual discipline.</w:t>
      </w:r>
    </w:p>
    <w:p>
      <w:r>
        <w:t>AC-BR-013: The system must enforce the finalized rules through validation, permissions or approval workflows rather than relying on manual discipline.</w:t>
      </w:r>
    </w:p>
    <w:p>
      <w:r>
        <w:t>AC-BR-014: The system must enforce the finalized rules through validation, permissions or approval workflows rather than relying on manual discipline.</w:t>
      </w:r>
    </w:p>
    <w:p>
      <w:r>
        <w:t>AC-BR-015: The system must enforce the finalized rules through validation, permissions or approval workflows rather than relying on manual discipline.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