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0F7709E8" w:rsidR="005E7805" w:rsidRPr="00D51D32" w:rsidRDefault="005E7805" w:rsidP="00D51D32">
      <w:pPr>
        <w:rPr>
          <w:i/>
        </w:rPr>
      </w:pPr>
      <w:r w:rsidRPr="00D51D32">
        <w:rPr>
          <w:b/>
          <w:i/>
        </w:rPr>
        <w:t>Note:</w:t>
      </w:r>
      <w:r w:rsidRPr="00D51D32">
        <w:rPr>
          <w:i/>
        </w:rPr>
        <w:t xml:space="preserve"> Try changing Cash and </w:t>
      </w:r>
      <w:r w:rsidR="0017550B" w:rsidRPr="00D51D32">
        <w:rPr>
          <w:i/>
        </w:rPr>
        <w:t>Common Stock</w:t>
      </w:r>
      <w:r w:rsidRPr="00D51D32">
        <w:rPr>
          <w:i/>
        </w:rPr>
        <w:t xml:space="preserve"> values in the green boxes of the Accounting Equation above. The i</w:t>
      </w:r>
      <w:bookmarkStart w:id="0" w:name="_GoBack"/>
      <w:bookmarkEnd w:id="0"/>
      <w:r w:rsidRPr="00D51D32">
        <w:rPr>
          <w:i/>
        </w:rPr>
        <w:t>mpacting changes will reflect in the Balance Sheet and Statement of Cash Flow tables.</w:t>
      </w: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lastRenderedPageBreak/>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365ED"/>
    <w:rsid w:val="004B313E"/>
    <w:rsid w:val="00501092"/>
    <w:rsid w:val="00576C43"/>
    <w:rsid w:val="005812CA"/>
    <w:rsid w:val="005A310C"/>
    <w:rsid w:val="005E7805"/>
    <w:rsid w:val="00644391"/>
    <w:rsid w:val="0066458A"/>
    <w:rsid w:val="006912C9"/>
    <w:rsid w:val="006F3908"/>
    <w:rsid w:val="00702FB1"/>
    <w:rsid w:val="007370A1"/>
    <w:rsid w:val="007E7ADE"/>
    <w:rsid w:val="00813F6F"/>
    <w:rsid w:val="008D3AD1"/>
    <w:rsid w:val="009A33F2"/>
    <w:rsid w:val="009B15E1"/>
    <w:rsid w:val="009F5EEB"/>
    <w:rsid w:val="00A84881"/>
    <w:rsid w:val="00B47EBF"/>
    <w:rsid w:val="00B77EBA"/>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40</cp:revision>
  <dcterms:created xsi:type="dcterms:W3CDTF">2018-06-26T14:19:00Z</dcterms:created>
  <dcterms:modified xsi:type="dcterms:W3CDTF">2018-07-16T10:39:00Z</dcterms:modified>
</cp:coreProperties>
</file>