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17364C46"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370BA360" w:rsidR="00E576CF" w:rsidRPr="000E0CBD" w:rsidRDefault="00E576CF" w:rsidP="00E576CF">
      <w:pPr>
        <w:pStyle w:val="Normal1"/>
        <w:rPr>
          <w:noProof/>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4943F3A6" w14:textId="16B1720E" w:rsidR="00E31CEC" w:rsidRDefault="005A310C" w:rsidP="00050167">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heme="minorEastAsia" w:hAnsiTheme="minorHAnsi" w:cstheme="minorBidi"/>
          <w:b w:val="0"/>
          <w:color w:val="auto"/>
          <w:sz w:val="22"/>
          <w:szCs w:val="22"/>
          <w:lang w:val="en-GB"/>
        </w:rPr>
      </w:pPr>
      <w:r w:rsidRPr="00050167">
        <w:rPr>
          <w:rFonts w:asciiTheme="minorHAnsi" w:eastAsiaTheme="minorEastAsia" w:hAnsiTheme="minorHAnsi" w:cstheme="minorBidi"/>
          <w:b w:val="0"/>
          <w:color w:val="auto"/>
          <w:sz w:val="22"/>
          <w:szCs w:val="22"/>
          <w:lang w:val="en-GB"/>
        </w:rPr>
        <w:t>Let’s take a close look at this transaction above following these steps:</w:t>
      </w:r>
    </w:p>
    <w:p w14:paraId="3071307E" w14:textId="77777777" w:rsidR="00050167" w:rsidRPr="00050167" w:rsidRDefault="00050167" w:rsidP="00050167">
      <w:pPr>
        <w:pStyle w:val="Normal1"/>
        <w:rPr>
          <w:lang w:val="en-GB"/>
        </w:rPr>
      </w:pP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0EA18C45" w14:textId="45B96299"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33A27425" w14:textId="1EB49E57" w:rsidR="004B313E" w:rsidRPr="004B313E" w:rsidRDefault="006F3908" w:rsidP="004B313E">
      <w:pPr>
        <w:pStyle w:val="Heading3"/>
        <w:rPr>
          <w:rFonts w:eastAsiaTheme="minorEastAsia"/>
          <w:lang w:val="en-GB"/>
        </w:rPr>
      </w:pPr>
      <w:r w:rsidRPr="002C1C17">
        <w:rPr>
          <w:rFonts w:eastAsiaTheme="minorEastAsia"/>
          <w:lang w:val="en-GB"/>
        </w:rPr>
        <w:t>Why would a company choose equity financing over debt financing?</w:t>
      </w:r>
      <w:r w:rsidR="004B313E">
        <w:rPr>
          <w:rFonts w:eastAsiaTheme="minorEastAsia"/>
          <w:lang w:val="en-GB"/>
        </w:rPr>
        <w:t xml:space="preserve"> Move to next topic …</w:t>
      </w:r>
    </w:p>
    <w:p w14:paraId="72771CA7" w14:textId="77777777" w:rsidR="006F3908" w:rsidRPr="002C1C17" w:rsidRDefault="006F3908" w:rsidP="005A310C">
      <w:pPr>
        <w:pStyle w:val="Normal1"/>
        <w:rPr>
          <w:rFonts w:asciiTheme="minorHAnsi" w:eastAsiaTheme="minorEastAsia" w:hAnsiTheme="minorHAnsi" w:cstheme="minorBidi"/>
          <w:color w:val="auto"/>
          <w:sz w:val="22"/>
          <w:szCs w:val="22"/>
          <w:lang w:val="en-GB"/>
        </w:rPr>
      </w:pPr>
      <w:bookmarkStart w:id="0" w:name="_GoBack"/>
      <w:bookmarkEnd w:id="0"/>
    </w:p>
    <w:sectPr w:rsidR="006F3908" w:rsidRPr="002C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E0CBD"/>
    <w:rsid w:val="002A3038"/>
    <w:rsid w:val="002C1C17"/>
    <w:rsid w:val="002F2E20"/>
    <w:rsid w:val="003A48F8"/>
    <w:rsid w:val="004365ED"/>
    <w:rsid w:val="004B313E"/>
    <w:rsid w:val="005812CA"/>
    <w:rsid w:val="005A310C"/>
    <w:rsid w:val="00644391"/>
    <w:rsid w:val="006F3908"/>
    <w:rsid w:val="00702FB1"/>
    <w:rsid w:val="007E7ADE"/>
    <w:rsid w:val="008D3AD1"/>
    <w:rsid w:val="00B47EBF"/>
    <w:rsid w:val="00D2320B"/>
    <w:rsid w:val="00D34FE4"/>
    <w:rsid w:val="00E31CEC"/>
    <w:rsid w:val="00E576CF"/>
    <w:rsid w:val="00EA20CF"/>
    <w:rsid w:val="00FB08C7"/>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21</cp:revision>
  <dcterms:created xsi:type="dcterms:W3CDTF">2018-06-26T14:19:00Z</dcterms:created>
  <dcterms:modified xsi:type="dcterms:W3CDTF">2018-07-02T09:39:00Z</dcterms:modified>
</cp:coreProperties>
</file>