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152D" w14:textId="62C7639E" w:rsidR="00004DBA" w:rsidRDefault="00F9185F">
      <w:pPr>
        <w:rPr>
          <w:b/>
          <w:bCs/>
          <w:sz w:val="28"/>
          <w:szCs w:val="28"/>
        </w:rPr>
      </w:pPr>
      <w:r>
        <w:tab/>
      </w:r>
      <w:r>
        <w:tab/>
      </w:r>
      <w:r>
        <w:tab/>
      </w:r>
      <w:r>
        <w:tab/>
      </w:r>
      <w:r w:rsidRPr="00F9185F">
        <w:rPr>
          <w:b/>
          <w:bCs/>
          <w:sz w:val="28"/>
          <w:szCs w:val="28"/>
        </w:rPr>
        <w:t>ROYAL BANK OF CANADA</w:t>
      </w:r>
    </w:p>
    <w:p w14:paraId="16458D3A" w14:textId="77777777" w:rsidR="00F9185F" w:rsidRDefault="00F9185F">
      <w:pPr>
        <w:rPr>
          <w:b/>
          <w:bCs/>
          <w:sz w:val="28"/>
          <w:szCs w:val="28"/>
        </w:rPr>
      </w:pPr>
    </w:p>
    <w:p w14:paraId="26653378" w14:textId="7EEF5EE3" w:rsidR="00F9185F" w:rsidRDefault="00F9185F">
      <w:pPr>
        <w:rPr>
          <w:b/>
          <w:bCs/>
          <w:sz w:val="26"/>
          <w:szCs w:val="26"/>
        </w:rPr>
      </w:pPr>
      <w:r w:rsidRPr="00F9185F">
        <w:rPr>
          <w:b/>
          <w:bCs/>
          <w:sz w:val="26"/>
          <w:szCs w:val="26"/>
        </w:rPr>
        <w:t>History and its current operations</w:t>
      </w:r>
    </w:p>
    <w:p w14:paraId="401817B6" w14:textId="0558AF40" w:rsidR="00F9185F" w:rsidRPr="00F9185F" w:rsidRDefault="00F9185F">
      <w:pPr>
        <w:rPr>
          <w:sz w:val="26"/>
          <w:szCs w:val="26"/>
        </w:rPr>
      </w:pPr>
      <w:r w:rsidRPr="00F9185F">
        <w:rPr>
          <w:sz w:val="26"/>
          <w:szCs w:val="26"/>
        </w:rPr>
        <w:t>In 1864, the Royal Bank of Canada (RBC) was established. It is currently the biggest chartered bank and financial organisation in the nation. There are five divisions within it: Personal and Commercial Banking, which oversees banking operations in 36 different countries; RBC Wealth Management, which offers investment products and services to retail investors; RBC Capital Markets, which handles international investment banking; RBC Insurance, which caters to both individual and group clients; and Investor and Treasury Services, which manages international clients' funds and provides custody services. Royal Bank is a publicly traded business that uses the ticker RY to trade on the SIX Swiss Exchange, the New York Stock Exchange, and the Toronto Stock Exchange. RBC had $1.7 trillion in assets, $49.7 billion in sales, and $16.05 billion in profit in 2021.</w:t>
      </w:r>
      <w:r w:rsidR="008537F3" w:rsidRPr="008537F3">
        <w:t xml:space="preserve"> </w:t>
      </w:r>
      <w:r w:rsidR="008537F3" w:rsidRPr="008537F3">
        <w:rPr>
          <w:sz w:val="26"/>
          <w:szCs w:val="26"/>
        </w:rPr>
        <w:t>More than 87,000 employees work at Royal Bank, which has 17 million clients.</w:t>
      </w:r>
    </w:p>
    <w:p w14:paraId="7D2644D8" w14:textId="071B81B7" w:rsidR="008537F3" w:rsidRDefault="00F9185F" w:rsidP="00F9185F">
      <w:pPr>
        <w:tabs>
          <w:tab w:val="left" w:pos="0"/>
        </w:tabs>
        <w:ind w:right="-188"/>
        <w:rPr>
          <w:sz w:val="26"/>
          <w:szCs w:val="26"/>
        </w:rPr>
      </w:pPr>
      <w:r w:rsidRPr="00F9185F">
        <w:rPr>
          <w:sz w:val="26"/>
          <w:szCs w:val="26"/>
        </w:rPr>
        <w:t>The Royal Bank of Canada is a global provider of varied financial services. The company's Personal &amp; Commercial Banking segment provides checking and savings accounts, home equity financing, personal loans, private banking, indirect lending, including auto financing, mutual funds and self-directed brokerage accounts, guaranteed investment certificates, credit cards, and payment products and solutions. It also provides small and medium-sized businesses with lending, leasing, deposit, investment, foreign exchange, cash management, and trade products and services. This market sector provides financial services and products via brick-and-mortar locations, automated teller machines, and a mobile sales network. High net worth and ultra-high net worth individuals, as well as institutional clients, can access a variety of advice-based solutions and strategies through the company's wealth management section.</w:t>
      </w:r>
      <w:r>
        <w:rPr>
          <w:sz w:val="26"/>
          <w:szCs w:val="26"/>
        </w:rPr>
        <w:t xml:space="preserve"> </w:t>
      </w:r>
      <w:r w:rsidRPr="00F9185F">
        <w:rPr>
          <w:sz w:val="26"/>
          <w:szCs w:val="26"/>
        </w:rPr>
        <w:t xml:space="preserve">Through its advice centres, RBC insurance stores, and mobile advisors as well as digital, mobile, and social platforms, independent brokers, and travel partners, the company's insurance segment provides individual, business, and group clients with life, health, home, auto, travel, wealth, annuities, and reinsurance advice and solutions, as well as business insurance services. The company's investor and treasury services division </w:t>
      </w:r>
      <w:proofErr w:type="gramStart"/>
      <w:r w:rsidRPr="00F9185F">
        <w:rPr>
          <w:sz w:val="26"/>
          <w:szCs w:val="26"/>
        </w:rPr>
        <w:t>offers</w:t>
      </w:r>
      <w:proofErr w:type="gramEnd"/>
      <w:r w:rsidRPr="00F9185F">
        <w:rPr>
          <w:sz w:val="26"/>
          <w:szCs w:val="26"/>
        </w:rPr>
        <w:t xml:space="preserve"> fund and investment administration, shareholder, private capital, performance measurement and compliance monitoring, distribution, transaction banking, cash and liquidity management, foreign exchange, and global securities finance services, as well as asset servicing, custody, payments, and treasury services to financial and other investors.</w:t>
      </w:r>
    </w:p>
    <w:p w14:paraId="2BDD31F4" w14:textId="02E5F69B" w:rsidR="008329B3" w:rsidRDefault="008329B3" w:rsidP="00F9185F">
      <w:pPr>
        <w:tabs>
          <w:tab w:val="left" w:pos="0"/>
        </w:tabs>
        <w:ind w:right="-188"/>
        <w:rPr>
          <w:b/>
          <w:bCs/>
          <w:sz w:val="26"/>
          <w:szCs w:val="26"/>
        </w:rPr>
      </w:pPr>
    </w:p>
    <w:p w14:paraId="4B323EAC" w14:textId="77777777" w:rsidR="002A6A93" w:rsidRDefault="002A6A93" w:rsidP="00F9185F">
      <w:pPr>
        <w:tabs>
          <w:tab w:val="left" w:pos="0"/>
        </w:tabs>
        <w:ind w:right="-188"/>
        <w:rPr>
          <w:b/>
          <w:bCs/>
          <w:sz w:val="26"/>
          <w:szCs w:val="26"/>
        </w:rPr>
      </w:pPr>
    </w:p>
    <w:p w14:paraId="7A6A0B1E" w14:textId="1F59F2E7" w:rsidR="008537F3" w:rsidRDefault="008329B3" w:rsidP="00F9185F">
      <w:pPr>
        <w:tabs>
          <w:tab w:val="left" w:pos="0"/>
        </w:tabs>
        <w:ind w:right="-188"/>
        <w:rPr>
          <w:b/>
          <w:bCs/>
          <w:sz w:val="26"/>
          <w:szCs w:val="26"/>
        </w:rPr>
      </w:pPr>
      <w:r>
        <w:rPr>
          <w:b/>
          <w:bCs/>
          <w:sz w:val="26"/>
          <w:szCs w:val="26"/>
        </w:rPr>
        <w:t>M</w:t>
      </w:r>
      <w:r w:rsidR="008537F3" w:rsidRPr="008537F3">
        <w:rPr>
          <w:b/>
          <w:bCs/>
          <w:sz w:val="26"/>
          <w:szCs w:val="26"/>
        </w:rPr>
        <w:t>acroeconomic environment</w:t>
      </w:r>
    </w:p>
    <w:p w14:paraId="2B3B462F" w14:textId="11C6E6D5" w:rsidR="00B743DA" w:rsidRDefault="002A6A93" w:rsidP="00B743DA">
      <w:pPr>
        <w:tabs>
          <w:tab w:val="left" w:pos="0"/>
        </w:tabs>
        <w:ind w:right="-188"/>
        <w:rPr>
          <w:sz w:val="26"/>
          <w:szCs w:val="26"/>
        </w:rPr>
      </w:pPr>
      <w:r w:rsidRPr="002A6A93">
        <w:rPr>
          <w:sz w:val="26"/>
          <w:szCs w:val="26"/>
        </w:rPr>
        <w:t>The Macro environment factors such as – inflation rate, savings rate, interest rate, foreign exchange rate and economic cycle determine the aggregate demand and aggregate investment in an economy</w:t>
      </w:r>
      <w:r>
        <w:rPr>
          <w:sz w:val="26"/>
          <w:szCs w:val="26"/>
        </w:rPr>
        <w:t xml:space="preserve">. </w:t>
      </w:r>
      <w:r w:rsidR="00B743DA" w:rsidRPr="00B743DA">
        <w:rPr>
          <w:sz w:val="26"/>
          <w:szCs w:val="26"/>
        </w:rPr>
        <w:t xml:space="preserve">Concerns about the economic future are still dominated by the global spike in inflation and how high interest rates will need to rise to contain it. Risks associated with sky-high costs are increased by supply chain interruptions brought on by the conflict in the Ukraine and pandemic lockdowns in China. Interest rates are rising as central banks try to curb demand. Furthermore, the advanced economies' economic recovery is already sluggish </w:t>
      </w:r>
      <w:proofErr w:type="gramStart"/>
      <w:r w:rsidR="00B743DA" w:rsidRPr="00B743DA">
        <w:rPr>
          <w:sz w:val="26"/>
          <w:szCs w:val="26"/>
        </w:rPr>
        <w:t>as a result of</w:t>
      </w:r>
      <w:proofErr w:type="gramEnd"/>
      <w:r w:rsidR="00B743DA" w:rsidRPr="00B743DA">
        <w:rPr>
          <w:sz w:val="26"/>
          <w:szCs w:val="26"/>
        </w:rPr>
        <w:t xml:space="preserve"> labour shortages that make it harder to ramp up output.</w:t>
      </w:r>
    </w:p>
    <w:p w14:paraId="7B2B0D6D" w14:textId="23F186C3" w:rsidR="00B743DA" w:rsidRDefault="00B743DA" w:rsidP="00B743DA">
      <w:pPr>
        <w:tabs>
          <w:tab w:val="left" w:pos="0"/>
        </w:tabs>
        <w:ind w:right="-188"/>
        <w:rPr>
          <w:sz w:val="26"/>
          <w:szCs w:val="26"/>
        </w:rPr>
      </w:pPr>
      <w:r>
        <w:rPr>
          <w:sz w:val="26"/>
          <w:szCs w:val="26"/>
        </w:rPr>
        <w:tab/>
      </w:r>
      <w:r w:rsidRPr="00B743DA">
        <w:rPr>
          <w:sz w:val="26"/>
          <w:szCs w:val="26"/>
        </w:rPr>
        <w:t xml:space="preserve">As widely accessible vaccines and innovative therapies lead to a more aggressive lifting of restrictions in </w:t>
      </w:r>
      <w:proofErr w:type="gramStart"/>
      <w:r w:rsidRPr="00B743DA">
        <w:rPr>
          <w:sz w:val="26"/>
          <w:szCs w:val="26"/>
        </w:rPr>
        <w:t>the majority of</w:t>
      </w:r>
      <w:proofErr w:type="gramEnd"/>
      <w:r w:rsidRPr="00B743DA">
        <w:rPr>
          <w:sz w:val="26"/>
          <w:szCs w:val="26"/>
        </w:rPr>
        <w:t xml:space="preserve"> the locations we cover, the economic burden of the pandemic is decreasing. But new dangers have surfaced. The invasion of Ukraine is causing turmoil in the financial markets, driving up the cost of commodities and endangering already stressed global supply networks.</w:t>
      </w:r>
    </w:p>
    <w:p w14:paraId="03CB9FB7" w14:textId="77777777" w:rsidR="00B743DA" w:rsidRDefault="00B743DA" w:rsidP="00B743DA">
      <w:pPr>
        <w:tabs>
          <w:tab w:val="left" w:pos="0"/>
        </w:tabs>
        <w:ind w:right="-188"/>
        <w:rPr>
          <w:sz w:val="26"/>
          <w:szCs w:val="26"/>
        </w:rPr>
      </w:pPr>
    </w:p>
    <w:p w14:paraId="5A5A5545" w14:textId="26E4965F" w:rsidR="00B6754F" w:rsidRPr="002A6A93" w:rsidRDefault="002A6A93" w:rsidP="00F9185F">
      <w:pPr>
        <w:tabs>
          <w:tab w:val="left" w:pos="0"/>
        </w:tabs>
        <w:ind w:right="-188"/>
        <w:rPr>
          <w:b/>
          <w:bCs/>
          <w:sz w:val="26"/>
          <w:szCs w:val="26"/>
        </w:rPr>
      </w:pPr>
      <w:r w:rsidRPr="002A6A93">
        <w:rPr>
          <w:b/>
          <w:bCs/>
          <w:sz w:val="26"/>
          <w:szCs w:val="26"/>
        </w:rPr>
        <w:t>Business Cycle and Current Industry Environment</w:t>
      </w:r>
    </w:p>
    <w:p w14:paraId="2A697A94" w14:textId="2B903EDB" w:rsidR="002A6A93" w:rsidRDefault="002A6A93" w:rsidP="00F9185F">
      <w:pPr>
        <w:tabs>
          <w:tab w:val="left" w:pos="0"/>
        </w:tabs>
        <w:ind w:right="-188"/>
        <w:rPr>
          <w:b/>
          <w:bCs/>
          <w:sz w:val="26"/>
          <w:szCs w:val="26"/>
        </w:rPr>
      </w:pPr>
      <w:r>
        <w:rPr>
          <w:noProof/>
        </w:rPr>
        <w:drawing>
          <wp:inline distT="0" distB="0" distL="0" distR="0" wp14:anchorId="57C82F26" wp14:editId="528D2FB5">
            <wp:extent cx="5731510" cy="3035986"/>
            <wp:effectExtent l="0" t="0" r="254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35986"/>
                    </a:xfrm>
                    <a:prstGeom prst="rect">
                      <a:avLst/>
                    </a:prstGeom>
                    <a:noFill/>
                    <a:ln>
                      <a:noFill/>
                    </a:ln>
                  </pic:spPr>
                </pic:pic>
              </a:graphicData>
            </a:graphic>
          </wp:inline>
        </w:drawing>
      </w:r>
    </w:p>
    <w:p w14:paraId="0C414ACB" w14:textId="6F819FB6" w:rsidR="002A6A93" w:rsidRDefault="002A6A93" w:rsidP="00F9185F">
      <w:pPr>
        <w:tabs>
          <w:tab w:val="left" w:pos="0"/>
        </w:tabs>
        <w:ind w:right="-188"/>
        <w:rPr>
          <w:b/>
          <w:bCs/>
          <w:sz w:val="26"/>
          <w:szCs w:val="26"/>
        </w:rPr>
      </w:pPr>
    </w:p>
    <w:p w14:paraId="5AD90AD1" w14:textId="77777777" w:rsidR="002A6A93" w:rsidRDefault="002A6A93" w:rsidP="00F9185F">
      <w:pPr>
        <w:tabs>
          <w:tab w:val="left" w:pos="0"/>
        </w:tabs>
        <w:ind w:right="-188"/>
        <w:rPr>
          <w:b/>
          <w:bCs/>
          <w:sz w:val="26"/>
          <w:szCs w:val="26"/>
        </w:rPr>
      </w:pPr>
    </w:p>
    <w:p w14:paraId="6AE8263D" w14:textId="670FCF72" w:rsidR="002A6A93" w:rsidRDefault="002A6A93" w:rsidP="00F9185F">
      <w:pPr>
        <w:tabs>
          <w:tab w:val="left" w:pos="0"/>
        </w:tabs>
        <w:ind w:right="-188"/>
        <w:rPr>
          <w:b/>
          <w:bCs/>
          <w:sz w:val="26"/>
          <w:szCs w:val="26"/>
        </w:rPr>
      </w:pPr>
    </w:p>
    <w:p w14:paraId="649627CC" w14:textId="77777777" w:rsidR="002A6A93" w:rsidRDefault="002A6A93" w:rsidP="00F9185F">
      <w:pPr>
        <w:tabs>
          <w:tab w:val="left" w:pos="0"/>
        </w:tabs>
        <w:ind w:right="-188"/>
        <w:rPr>
          <w:b/>
          <w:bCs/>
          <w:sz w:val="26"/>
          <w:szCs w:val="26"/>
        </w:rPr>
      </w:pPr>
    </w:p>
    <w:p w14:paraId="7F577683" w14:textId="0A8C721C" w:rsidR="00B6754F" w:rsidRDefault="00B6754F" w:rsidP="00F9185F">
      <w:pPr>
        <w:tabs>
          <w:tab w:val="left" w:pos="0"/>
        </w:tabs>
        <w:ind w:right="-188"/>
        <w:rPr>
          <w:b/>
          <w:bCs/>
          <w:sz w:val="26"/>
          <w:szCs w:val="26"/>
        </w:rPr>
      </w:pPr>
      <w:r>
        <w:rPr>
          <w:b/>
          <w:bCs/>
          <w:sz w:val="26"/>
          <w:szCs w:val="26"/>
        </w:rPr>
        <w:lastRenderedPageBreak/>
        <w:t>Top Industrial Com</w:t>
      </w:r>
      <w:r w:rsidR="00E14400">
        <w:rPr>
          <w:b/>
          <w:bCs/>
          <w:sz w:val="26"/>
          <w:szCs w:val="26"/>
        </w:rPr>
        <w:t>petitors</w:t>
      </w:r>
    </w:p>
    <w:tbl>
      <w:tblPr>
        <w:tblStyle w:val="TableGrid"/>
        <w:tblW w:w="0" w:type="auto"/>
        <w:tblLook w:val="04A0" w:firstRow="1" w:lastRow="0" w:firstColumn="1" w:lastColumn="0" w:noHBand="0" w:noVBand="1"/>
      </w:tblPr>
      <w:tblGrid>
        <w:gridCol w:w="1522"/>
        <w:gridCol w:w="1405"/>
        <w:gridCol w:w="1439"/>
        <w:gridCol w:w="992"/>
        <w:gridCol w:w="945"/>
        <w:gridCol w:w="1217"/>
        <w:gridCol w:w="1496"/>
      </w:tblGrid>
      <w:tr w:rsidR="00E14400" w:rsidRPr="00BE7A74" w14:paraId="03E82B3B" w14:textId="77777777" w:rsidTr="001F169B">
        <w:trPr>
          <w:trHeight w:val="182"/>
        </w:trPr>
        <w:tc>
          <w:tcPr>
            <w:tcW w:w="1621" w:type="dxa"/>
          </w:tcPr>
          <w:p w14:paraId="223AFB9F" w14:textId="77777777" w:rsidR="00E14400" w:rsidRPr="00BE7A74" w:rsidRDefault="00E14400" w:rsidP="001F169B">
            <w:pPr>
              <w:rPr>
                <w:rFonts w:cstheme="minorHAnsi"/>
                <w:sz w:val="20"/>
                <w:szCs w:val="20"/>
              </w:rPr>
            </w:pPr>
            <w:r w:rsidRPr="00BE7A74">
              <w:rPr>
                <w:rFonts w:cstheme="minorHAnsi"/>
                <w:sz w:val="20"/>
                <w:szCs w:val="20"/>
              </w:rPr>
              <w:t>Competitors</w:t>
            </w:r>
          </w:p>
        </w:tc>
        <w:tc>
          <w:tcPr>
            <w:tcW w:w="1429" w:type="dxa"/>
          </w:tcPr>
          <w:p w14:paraId="4BD3B99C" w14:textId="77777777" w:rsidR="00E14400" w:rsidRPr="00BE7A74" w:rsidRDefault="00E14400" w:rsidP="001F169B">
            <w:pPr>
              <w:rPr>
                <w:rFonts w:cstheme="minorHAnsi"/>
                <w:sz w:val="20"/>
                <w:szCs w:val="20"/>
              </w:rPr>
            </w:pPr>
            <w:r w:rsidRPr="00BE7A74">
              <w:rPr>
                <w:rFonts w:cstheme="minorHAnsi"/>
                <w:sz w:val="20"/>
                <w:szCs w:val="20"/>
              </w:rPr>
              <w:t>Headquarters</w:t>
            </w:r>
          </w:p>
        </w:tc>
        <w:tc>
          <w:tcPr>
            <w:tcW w:w="1550" w:type="dxa"/>
          </w:tcPr>
          <w:p w14:paraId="14846E04" w14:textId="77777777" w:rsidR="00E14400" w:rsidRPr="00BE7A74" w:rsidRDefault="00E14400" w:rsidP="001F169B">
            <w:pPr>
              <w:rPr>
                <w:rFonts w:cstheme="minorHAnsi"/>
                <w:sz w:val="20"/>
                <w:szCs w:val="20"/>
              </w:rPr>
            </w:pPr>
            <w:r w:rsidRPr="00BE7A74">
              <w:rPr>
                <w:rFonts w:cstheme="minorHAnsi"/>
                <w:sz w:val="20"/>
                <w:szCs w:val="20"/>
              </w:rPr>
              <w:t>No. of employees</w:t>
            </w:r>
          </w:p>
        </w:tc>
        <w:tc>
          <w:tcPr>
            <w:tcW w:w="1014" w:type="dxa"/>
          </w:tcPr>
          <w:p w14:paraId="377D48D9" w14:textId="77777777" w:rsidR="00E14400" w:rsidRPr="00BE7A74" w:rsidRDefault="00E14400" w:rsidP="001F169B">
            <w:pPr>
              <w:rPr>
                <w:rFonts w:cstheme="minorHAnsi"/>
                <w:sz w:val="20"/>
                <w:szCs w:val="20"/>
              </w:rPr>
            </w:pPr>
            <w:r w:rsidRPr="00BE7A74">
              <w:rPr>
                <w:rFonts w:cstheme="minorHAnsi"/>
                <w:sz w:val="20"/>
                <w:szCs w:val="20"/>
              </w:rPr>
              <w:t>Revenue</w:t>
            </w:r>
          </w:p>
        </w:tc>
        <w:tc>
          <w:tcPr>
            <w:tcW w:w="1023" w:type="dxa"/>
          </w:tcPr>
          <w:p w14:paraId="5C608BEA" w14:textId="77777777" w:rsidR="00E14400" w:rsidRPr="00BE7A74" w:rsidRDefault="00E14400" w:rsidP="001F169B">
            <w:pPr>
              <w:rPr>
                <w:rFonts w:cstheme="minorHAnsi"/>
                <w:sz w:val="20"/>
                <w:szCs w:val="20"/>
              </w:rPr>
            </w:pPr>
            <w:r w:rsidRPr="00BE7A74">
              <w:rPr>
                <w:rFonts w:cstheme="minorHAnsi"/>
                <w:sz w:val="20"/>
                <w:szCs w:val="20"/>
              </w:rPr>
              <w:t>Entity type</w:t>
            </w:r>
          </w:p>
        </w:tc>
        <w:tc>
          <w:tcPr>
            <w:tcW w:w="1217" w:type="dxa"/>
          </w:tcPr>
          <w:p w14:paraId="7EE47D1A" w14:textId="77777777" w:rsidR="00E14400" w:rsidRPr="00BE7A74" w:rsidRDefault="00E14400" w:rsidP="001F169B">
            <w:pPr>
              <w:rPr>
                <w:rFonts w:cstheme="minorHAnsi"/>
                <w:sz w:val="20"/>
                <w:szCs w:val="20"/>
              </w:rPr>
            </w:pPr>
            <w:r>
              <w:rPr>
                <w:rFonts w:cstheme="minorHAnsi"/>
                <w:sz w:val="20"/>
                <w:szCs w:val="20"/>
              </w:rPr>
              <w:t>Shares</w:t>
            </w:r>
          </w:p>
        </w:tc>
        <w:tc>
          <w:tcPr>
            <w:tcW w:w="1496" w:type="dxa"/>
          </w:tcPr>
          <w:p w14:paraId="1EA03A45" w14:textId="77777777" w:rsidR="00E14400" w:rsidRPr="00BE7A74" w:rsidRDefault="00E14400" w:rsidP="001F169B">
            <w:pPr>
              <w:rPr>
                <w:rFonts w:cstheme="minorHAnsi"/>
                <w:sz w:val="20"/>
                <w:szCs w:val="20"/>
              </w:rPr>
            </w:pPr>
            <w:r>
              <w:rPr>
                <w:rFonts w:cstheme="minorHAnsi"/>
                <w:sz w:val="20"/>
                <w:szCs w:val="20"/>
              </w:rPr>
              <w:t>Value</w:t>
            </w:r>
          </w:p>
        </w:tc>
      </w:tr>
      <w:tr w:rsidR="00E14400" w:rsidRPr="00BE7A74" w14:paraId="6BF8F2F0" w14:textId="77777777" w:rsidTr="001F169B">
        <w:trPr>
          <w:trHeight w:val="190"/>
        </w:trPr>
        <w:tc>
          <w:tcPr>
            <w:tcW w:w="1621" w:type="dxa"/>
          </w:tcPr>
          <w:p w14:paraId="7CCF38D1" w14:textId="77777777" w:rsidR="00E14400" w:rsidRPr="00BE7A74" w:rsidRDefault="00E14400" w:rsidP="001F169B">
            <w:pPr>
              <w:rPr>
                <w:rFonts w:cstheme="minorHAnsi"/>
                <w:sz w:val="20"/>
                <w:szCs w:val="20"/>
              </w:rPr>
            </w:pPr>
            <w:r w:rsidRPr="00BE7A74">
              <w:rPr>
                <w:rFonts w:cstheme="minorHAnsi"/>
                <w:sz w:val="20"/>
                <w:szCs w:val="20"/>
              </w:rPr>
              <w:t>Royal Bank of Canada</w:t>
            </w:r>
          </w:p>
        </w:tc>
        <w:tc>
          <w:tcPr>
            <w:tcW w:w="1429" w:type="dxa"/>
          </w:tcPr>
          <w:p w14:paraId="34C3A795" w14:textId="77777777" w:rsidR="00E14400" w:rsidRPr="00BE7A74" w:rsidRDefault="00E14400" w:rsidP="001F169B">
            <w:pPr>
              <w:rPr>
                <w:rFonts w:cstheme="minorHAnsi"/>
                <w:sz w:val="20"/>
                <w:szCs w:val="20"/>
              </w:rPr>
            </w:pPr>
            <w:r w:rsidRPr="00BE7A74">
              <w:rPr>
                <w:rFonts w:cstheme="minorHAnsi"/>
                <w:sz w:val="20"/>
                <w:szCs w:val="20"/>
              </w:rPr>
              <w:t>Canada</w:t>
            </w:r>
          </w:p>
        </w:tc>
        <w:tc>
          <w:tcPr>
            <w:tcW w:w="1550" w:type="dxa"/>
          </w:tcPr>
          <w:p w14:paraId="5100CA22" w14:textId="77777777" w:rsidR="00E14400" w:rsidRPr="00BE7A74" w:rsidRDefault="00E14400" w:rsidP="001F169B">
            <w:pPr>
              <w:rPr>
                <w:rFonts w:cstheme="minorHAnsi"/>
                <w:sz w:val="20"/>
                <w:szCs w:val="20"/>
              </w:rPr>
            </w:pPr>
            <w:r w:rsidRPr="00BE7A74">
              <w:rPr>
                <w:rFonts w:cstheme="minorHAnsi"/>
                <w:sz w:val="20"/>
                <w:szCs w:val="20"/>
              </w:rPr>
              <w:t>86,007</w:t>
            </w:r>
          </w:p>
        </w:tc>
        <w:tc>
          <w:tcPr>
            <w:tcW w:w="1014" w:type="dxa"/>
          </w:tcPr>
          <w:p w14:paraId="26574D60" w14:textId="77777777" w:rsidR="00E14400" w:rsidRPr="00BE7A74" w:rsidRDefault="00E14400" w:rsidP="001F169B">
            <w:pPr>
              <w:rPr>
                <w:rFonts w:cstheme="minorHAnsi"/>
                <w:sz w:val="20"/>
                <w:szCs w:val="20"/>
              </w:rPr>
            </w:pPr>
            <w:r w:rsidRPr="00BE7A74">
              <w:rPr>
                <w:rFonts w:cstheme="minorHAnsi"/>
                <w:sz w:val="20"/>
                <w:szCs w:val="20"/>
              </w:rPr>
              <w:t>$43.1B</w:t>
            </w:r>
          </w:p>
        </w:tc>
        <w:tc>
          <w:tcPr>
            <w:tcW w:w="1023" w:type="dxa"/>
          </w:tcPr>
          <w:p w14:paraId="7E40193D" w14:textId="77777777" w:rsidR="00E14400" w:rsidRPr="00BE7A74" w:rsidRDefault="00E14400" w:rsidP="001F169B">
            <w:pPr>
              <w:rPr>
                <w:rFonts w:cstheme="minorHAnsi"/>
                <w:sz w:val="20"/>
                <w:szCs w:val="20"/>
              </w:rPr>
            </w:pPr>
            <w:r w:rsidRPr="00BE7A74">
              <w:rPr>
                <w:rFonts w:cstheme="minorHAnsi"/>
                <w:sz w:val="20"/>
                <w:szCs w:val="20"/>
              </w:rPr>
              <w:t>Public</w:t>
            </w:r>
          </w:p>
        </w:tc>
        <w:tc>
          <w:tcPr>
            <w:tcW w:w="1217" w:type="dxa"/>
          </w:tcPr>
          <w:p w14:paraId="7C15304B" w14:textId="77777777" w:rsidR="00E14400" w:rsidRPr="00BE7A74" w:rsidRDefault="00E14400" w:rsidP="001F169B">
            <w:pPr>
              <w:rPr>
                <w:rFonts w:cstheme="minorHAnsi"/>
                <w:sz w:val="20"/>
                <w:szCs w:val="20"/>
              </w:rPr>
            </w:pPr>
            <w:r>
              <w:rPr>
                <w:rFonts w:ascii="Arial" w:hAnsi="Arial" w:cs="Arial"/>
                <w:color w:val="232A31"/>
                <w:sz w:val="20"/>
                <w:szCs w:val="20"/>
              </w:rPr>
              <w:t>73,845,226</w:t>
            </w:r>
          </w:p>
        </w:tc>
        <w:tc>
          <w:tcPr>
            <w:tcW w:w="1496" w:type="dxa"/>
            <w:vAlign w:val="center"/>
          </w:tcPr>
          <w:p w14:paraId="53EAA641" w14:textId="77777777" w:rsidR="00E14400" w:rsidRPr="00BE7A74" w:rsidRDefault="00E14400" w:rsidP="001F169B">
            <w:pPr>
              <w:rPr>
                <w:rFonts w:cstheme="minorHAnsi"/>
                <w:sz w:val="20"/>
                <w:szCs w:val="20"/>
              </w:rPr>
            </w:pPr>
            <w:r>
              <w:rPr>
                <w:rFonts w:ascii="Arial" w:hAnsi="Arial" w:cs="Arial"/>
                <w:color w:val="232A31"/>
                <w:sz w:val="20"/>
                <w:szCs w:val="20"/>
              </w:rPr>
              <w:t>6,726,561,365</w:t>
            </w:r>
          </w:p>
        </w:tc>
      </w:tr>
      <w:tr w:rsidR="00E14400" w:rsidRPr="00BE7A74" w14:paraId="3FFEE62B" w14:textId="77777777" w:rsidTr="001F169B">
        <w:trPr>
          <w:trHeight w:val="374"/>
        </w:trPr>
        <w:tc>
          <w:tcPr>
            <w:tcW w:w="1621" w:type="dxa"/>
          </w:tcPr>
          <w:p w14:paraId="488CCD89" w14:textId="77777777" w:rsidR="00E14400" w:rsidRPr="00BE7A74" w:rsidRDefault="00E14400" w:rsidP="001F169B">
            <w:pPr>
              <w:rPr>
                <w:rFonts w:cstheme="minorHAnsi"/>
                <w:sz w:val="20"/>
                <w:szCs w:val="20"/>
              </w:rPr>
            </w:pPr>
            <w:r w:rsidRPr="00BE7A74">
              <w:rPr>
                <w:rFonts w:cstheme="minorHAnsi"/>
                <w:sz w:val="20"/>
                <w:szCs w:val="20"/>
              </w:rPr>
              <w:t>The Toronto-Dominion Bank</w:t>
            </w:r>
          </w:p>
        </w:tc>
        <w:tc>
          <w:tcPr>
            <w:tcW w:w="1429" w:type="dxa"/>
          </w:tcPr>
          <w:p w14:paraId="5CB5CD6B" w14:textId="77777777" w:rsidR="00E14400" w:rsidRPr="00BE7A74" w:rsidRDefault="00E14400" w:rsidP="001F169B">
            <w:pPr>
              <w:rPr>
                <w:rFonts w:cstheme="minorHAnsi"/>
                <w:sz w:val="20"/>
                <w:szCs w:val="20"/>
              </w:rPr>
            </w:pPr>
            <w:r w:rsidRPr="00BE7A74">
              <w:rPr>
                <w:rFonts w:cstheme="minorHAnsi"/>
                <w:sz w:val="20"/>
                <w:szCs w:val="20"/>
              </w:rPr>
              <w:t>Canada</w:t>
            </w:r>
          </w:p>
        </w:tc>
        <w:tc>
          <w:tcPr>
            <w:tcW w:w="1550" w:type="dxa"/>
          </w:tcPr>
          <w:p w14:paraId="45967B1B" w14:textId="77777777" w:rsidR="00E14400" w:rsidRPr="00BE7A74" w:rsidRDefault="00E14400" w:rsidP="001F169B">
            <w:pPr>
              <w:rPr>
                <w:rFonts w:cstheme="minorHAnsi"/>
                <w:sz w:val="20"/>
                <w:szCs w:val="20"/>
              </w:rPr>
            </w:pPr>
            <w:r w:rsidRPr="00BE7A74">
              <w:rPr>
                <w:rFonts w:cstheme="minorHAnsi"/>
                <w:sz w:val="20"/>
                <w:szCs w:val="20"/>
              </w:rPr>
              <w:t>89,464</w:t>
            </w:r>
          </w:p>
        </w:tc>
        <w:tc>
          <w:tcPr>
            <w:tcW w:w="1014" w:type="dxa"/>
          </w:tcPr>
          <w:p w14:paraId="38FD909A" w14:textId="77777777" w:rsidR="00E14400" w:rsidRPr="00BE7A74" w:rsidRDefault="00E14400" w:rsidP="001F169B">
            <w:pPr>
              <w:rPr>
                <w:rFonts w:cstheme="minorHAnsi"/>
                <w:sz w:val="20"/>
                <w:szCs w:val="20"/>
              </w:rPr>
            </w:pPr>
            <w:r w:rsidRPr="00BE7A74">
              <w:rPr>
                <w:rFonts w:cstheme="minorHAnsi"/>
                <w:sz w:val="20"/>
                <w:szCs w:val="20"/>
              </w:rPr>
              <w:t>$35.9B</w:t>
            </w:r>
          </w:p>
        </w:tc>
        <w:tc>
          <w:tcPr>
            <w:tcW w:w="1023" w:type="dxa"/>
          </w:tcPr>
          <w:p w14:paraId="72A13CF5" w14:textId="77777777" w:rsidR="00E14400" w:rsidRPr="00BE7A74" w:rsidRDefault="00E14400" w:rsidP="001F169B">
            <w:pPr>
              <w:rPr>
                <w:rFonts w:cstheme="minorHAnsi"/>
                <w:sz w:val="20"/>
                <w:szCs w:val="20"/>
              </w:rPr>
            </w:pPr>
            <w:r w:rsidRPr="00BE7A74">
              <w:rPr>
                <w:rFonts w:cstheme="minorHAnsi"/>
                <w:sz w:val="20"/>
                <w:szCs w:val="20"/>
              </w:rPr>
              <w:t>Public</w:t>
            </w:r>
          </w:p>
        </w:tc>
        <w:tc>
          <w:tcPr>
            <w:tcW w:w="1217" w:type="dxa"/>
          </w:tcPr>
          <w:p w14:paraId="2EAC7B1E" w14:textId="77777777" w:rsidR="00E14400" w:rsidRPr="00BE7A74" w:rsidRDefault="00E14400" w:rsidP="001F169B">
            <w:pPr>
              <w:rPr>
                <w:rFonts w:cstheme="minorHAnsi"/>
                <w:sz w:val="20"/>
                <w:szCs w:val="20"/>
              </w:rPr>
            </w:pPr>
            <w:r>
              <w:rPr>
                <w:rFonts w:ascii="Arial" w:hAnsi="Arial" w:cs="Arial"/>
                <w:color w:val="232A31"/>
                <w:sz w:val="20"/>
                <w:szCs w:val="20"/>
              </w:rPr>
              <w:t>28,820,790</w:t>
            </w:r>
          </w:p>
        </w:tc>
        <w:tc>
          <w:tcPr>
            <w:tcW w:w="1496" w:type="dxa"/>
            <w:vAlign w:val="center"/>
          </w:tcPr>
          <w:p w14:paraId="29FBE7F8" w14:textId="77777777" w:rsidR="00E14400" w:rsidRPr="00BE7A74" w:rsidRDefault="00E14400" w:rsidP="001F169B">
            <w:pPr>
              <w:rPr>
                <w:rFonts w:cstheme="minorHAnsi"/>
                <w:sz w:val="20"/>
                <w:szCs w:val="20"/>
              </w:rPr>
            </w:pPr>
            <w:r>
              <w:rPr>
                <w:rFonts w:ascii="Arial" w:hAnsi="Arial" w:cs="Arial"/>
                <w:color w:val="232A31"/>
                <w:sz w:val="20"/>
                <w:szCs w:val="20"/>
              </w:rPr>
              <w:t>2,625,285,655</w:t>
            </w:r>
          </w:p>
        </w:tc>
      </w:tr>
      <w:tr w:rsidR="00E14400" w:rsidRPr="00BE7A74" w14:paraId="269AAA64" w14:textId="77777777" w:rsidTr="001F169B">
        <w:trPr>
          <w:trHeight w:val="366"/>
        </w:trPr>
        <w:tc>
          <w:tcPr>
            <w:tcW w:w="1621" w:type="dxa"/>
          </w:tcPr>
          <w:p w14:paraId="30D0C7A1" w14:textId="77777777" w:rsidR="00E14400" w:rsidRPr="00BE7A74" w:rsidRDefault="00E14400" w:rsidP="001F169B">
            <w:pPr>
              <w:rPr>
                <w:rFonts w:cstheme="minorHAnsi"/>
                <w:sz w:val="20"/>
                <w:szCs w:val="20"/>
              </w:rPr>
            </w:pPr>
            <w:r w:rsidRPr="00BE7A74">
              <w:rPr>
                <w:rFonts w:cstheme="minorHAnsi"/>
                <w:sz w:val="20"/>
                <w:szCs w:val="20"/>
              </w:rPr>
              <w:t>The Bank of Nova Scotia</w:t>
            </w:r>
          </w:p>
        </w:tc>
        <w:tc>
          <w:tcPr>
            <w:tcW w:w="1429" w:type="dxa"/>
          </w:tcPr>
          <w:p w14:paraId="54873451" w14:textId="77777777" w:rsidR="00E14400" w:rsidRPr="00BE7A74" w:rsidRDefault="00E14400" w:rsidP="001F169B">
            <w:pPr>
              <w:rPr>
                <w:rFonts w:cstheme="minorHAnsi"/>
                <w:sz w:val="20"/>
                <w:szCs w:val="20"/>
              </w:rPr>
            </w:pPr>
            <w:r w:rsidRPr="00BE7A74">
              <w:rPr>
                <w:rFonts w:cstheme="minorHAnsi"/>
                <w:sz w:val="20"/>
                <w:szCs w:val="20"/>
              </w:rPr>
              <w:t>Canada</w:t>
            </w:r>
          </w:p>
        </w:tc>
        <w:tc>
          <w:tcPr>
            <w:tcW w:w="1550" w:type="dxa"/>
          </w:tcPr>
          <w:p w14:paraId="61EEF68B" w14:textId="77777777" w:rsidR="00E14400" w:rsidRPr="00BE7A74" w:rsidRDefault="00E14400" w:rsidP="001F169B">
            <w:pPr>
              <w:rPr>
                <w:rFonts w:cstheme="minorHAnsi"/>
                <w:sz w:val="20"/>
                <w:szCs w:val="20"/>
              </w:rPr>
            </w:pPr>
            <w:r w:rsidRPr="00BE7A74">
              <w:rPr>
                <w:rFonts w:cstheme="minorHAnsi"/>
                <w:sz w:val="20"/>
                <w:szCs w:val="20"/>
              </w:rPr>
              <w:t>90,619</w:t>
            </w:r>
          </w:p>
        </w:tc>
        <w:tc>
          <w:tcPr>
            <w:tcW w:w="1014" w:type="dxa"/>
          </w:tcPr>
          <w:p w14:paraId="27751AA6" w14:textId="77777777" w:rsidR="00E14400" w:rsidRPr="00BE7A74" w:rsidRDefault="00E14400" w:rsidP="001F169B">
            <w:pPr>
              <w:rPr>
                <w:rFonts w:cstheme="minorHAnsi"/>
                <w:sz w:val="20"/>
                <w:szCs w:val="20"/>
              </w:rPr>
            </w:pPr>
            <w:r w:rsidRPr="00BE7A74">
              <w:rPr>
                <w:rFonts w:cstheme="minorHAnsi"/>
                <w:sz w:val="20"/>
                <w:szCs w:val="20"/>
              </w:rPr>
              <w:t>$29.3B</w:t>
            </w:r>
          </w:p>
        </w:tc>
        <w:tc>
          <w:tcPr>
            <w:tcW w:w="1023" w:type="dxa"/>
          </w:tcPr>
          <w:p w14:paraId="528C1836" w14:textId="77777777" w:rsidR="00E14400" w:rsidRPr="00BE7A74" w:rsidRDefault="00E14400" w:rsidP="001F169B">
            <w:pPr>
              <w:rPr>
                <w:rFonts w:cstheme="minorHAnsi"/>
                <w:sz w:val="20"/>
                <w:szCs w:val="20"/>
              </w:rPr>
            </w:pPr>
            <w:r w:rsidRPr="00BE7A74">
              <w:rPr>
                <w:rFonts w:cstheme="minorHAnsi"/>
                <w:sz w:val="20"/>
                <w:szCs w:val="20"/>
              </w:rPr>
              <w:t>Public</w:t>
            </w:r>
          </w:p>
        </w:tc>
        <w:tc>
          <w:tcPr>
            <w:tcW w:w="1217" w:type="dxa"/>
            <w:vAlign w:val="center"/>
          </w:tcPr>
          <w:p w14:paraId="6389BB83" w14:textId="77777777" w:rsidR="00E14400" w:rsidRPr="00BE7A74" w:rsidRDefault="00E14400" w:rsidP="001F169B">
            <w:pPr>
              <w:rPr>
                <w:rFonts w:cstheme="minorHAnsi"/>
                <w:sz w:val="20"/>
                <w:szCs w:val="20"/>
              </w:rPr>
            </w:pPr>
            <w:r>
              <w:rPr>
                <w:rFonts w:ascii="Arial" w:hAnsi="Arial" w:cs="Arial"/>
                <w:color w:val="232A31"/>
                <w:sz w:val="20"/>
                <w:szCs w:val="20"/>
              </w:rPr>
              <w:t>19,644,354</w:t>
            </w:r>
          </w:p>
        </w:tc>
        <w:tc>
          <w:tcPr>
            <w:tcW w:w="1496" w:type="dxa"/>
            <w:vAlign w:val="center"/>
          </w:tcPr>
          <w:p w14:paraId="35EB8002" w14:textId="77777777" w:rsidR="00E14400" w:rsidRPr="00BE7A74" w:rsidRDefault="00E14400" w:rsidP="001F169B">
            <w:pPr>
              <w:rPr>
                <w:rFonts w:cstheme="minorHAnsi"/>
                <w:sz w:val="20"/>
                <w:szCs w:val="20"/>
              </w:rPr>
            </w:pPr>
            <w:r>
              <w:rPr>
                <w:rFonts w:ascii="Arial" w:hAnsi="Arial" w:cs="Arial"/>
                <w:color w:val="232A31"/>
                <w:sz w:val="20"/>
                <w:szCs w:val="20"/>
              </w:rPr>
              <w:t>1,789,404,133</w:t>
            </w:r>
          </w:p>
        </w:tc>
      </w:tr>
      <w:tr w:rsidR="00E14400" w:rsidRPr="00BE7A74" w14:paraId="03C2A54F" w14:textId="77777777" w:rsidTr="001F169B">
        <w:trPr>
          <w:trHeight w:val="190"/>
        </w:trPr>
        <w:tc>
          <w:tcPr>
            <w:tcW w:w="1621" w:type="dxa"/>
          </w:tcPr>
          <w:p w14:paraId="168773C1" w14:textId="77777777" w:rsidR="00E14400" w:rsidRPr="00BE7A74" w:rsidRDefault="00E14400" w:rsidP="001F169B">
            <w:pPr>
              <w:rPr>
                <w:rFonts w:cstheme="minorHAnsi"/>
                <w:sz w:val="20"/>
                <w:szCs w:val="20"/>
              </w:rPr>
            </w:pPr>
            <w:r w:rsidRPr="00BE7A74">
              <w:rPr>
                <w:rFonts w:cstheme="minorHAnsi"/>
                <w:sz w:val="20"/>
                <w:szCs w:val="20"/>
              </w:rPr>
              <w:t>Bank of Montreal</w:t>
            </w:r>
          </w:p>
        </w:tc>
        <w:tc>
          <w:tcPr>
            <w:tcW w:w="1429" w:type="dxa"/>
          </w:tcPr>
          <w:p w14:paraId="65707A25" w14:textId="77777777" w:rsidR="00E14400" w:rsidRPr="00BE7A74" w:rsidRDefault="00E14400" w:rsidP="001F169B">
            <w:pPr>
              <w:rPr>
                <w:rFonts w:cstheme="minorHAnsi"/>
                <w:sz w:val="20"/>
                <w:szCs w:val="20"/>
              </w:rPr>
            </w:pPr>
            <w:r w:rsidRPr="00BE7A74">
              <w:rPr>
                <w:rFonts w:cstheme="minorHAnsi"/>
                <w:sz w:val="20"/>
                <w:szCs w:val="20"/>
              </w:rPr>
              <w:t>Canada</w:t>
            </w:r>
          </w:p>
        </w:tc>
        <w:tc>
          <w:tcPr>
            <w:tcW w:w="1550" w:type="dxa"/>
          </w:tcPr>
          <w:p w14:paraId="270ABEC6" w14:textId="77777777" w:rsidR="00E14400" w:rsidRPr="00BE7A74" w:rsidRDefault="00E14400" w:rsidP="001F169B">
            <w:pPr>
              <w:rPr>
                <w:rFonts w:cstheme="minorHAnsi"/>
                <w:sz w:val="20"/>
                <w:szCs w:val="20"/>
              </w:rPr>
            </w:pPr>
            <w:r w:rsidRPr="00BE7A74">
              <w:rPr>
                <w:rFonts w:cstheme="minorHAnsi"/>
                <w:sz w:val="20"/>
                <w:szCs w:val="20"/>
              </w:rPr>
              <w:t>43,863</w:t>
            </w:r>
          </w:p>
        </w:tc>
        <w:tc>
          <w:tcPr>
            <w:tcW w:w="1014" w:type="dxa"/>
          </w:tcPr>
          <w:p w14:paraId="624589E5" w14:textId="77777777" w:rsidR="00E14400" w:rsidRPr="00BE7A74" w:rsidRDefault="00E14400" w:rsidP="001F169B">
            <w:pPr>
              <w:rPr>
                <w:rFonts w:cstheme="minorHAnsi"/>
                <w:sz w:val="20"/>
                <w:szCs w:val="20"/>
              </w:rPr>
            </w:pPr>
            <w:r w:rsidRPr="00BE7A74">
              <w:rPr>
                <w:rFonts w:cstheme="minorHAnsi"/>
                <w:sz w:val="20"/>
                <w:szCs w:val="20"/>
              </w:rPr>
              <w:t>$24.4B</w:t>
            </w:r>
          </w:p>
        </w:tc>
        <w:tc>
          <w:tcPr>
            <w:tcW w:w="1023" w:type="dxa"/>
          </w:tcPr>
          <w:p w14:paraId="20C7F979" w14:textId="77777777" w:rsidR="00E14400" w:rsidRPr="00BE7A74" w:rsidRDefault="00E14400" w:rsidP="001F169B">
            <w:pPr>
              <w:rPr>
                <w:rFonts w:cstheme="minorHAnsi"/>
                <w:sz w:val="20"/>
                <w:szCs w:val="20"/>
              </w:rPr>
            </w:pPr>
            <w:r w:rsidRPr="00BE7A74">
              <w:rPr>
                <w:rFonts w:cstheme="minorHAnsi"/>
                <w:sz w:val="20"/>
                <w:szCs w:val="20"/>
              </w:rPr>
              <w:t>Public</w:t>
            </w:r>
          </w:p>
        </w:tc>
        <w:tc>
          <w:tcPr>
            <w:tcW w:w="1217" w:type="dxa"/>
            <w:vAlign w:val="center"/>
          </w:tcPr>
          <w:p w14:paraId="32BA6449" w14:textId="77777777" w:rsidR="00E14400" w:rsidRPr="00BE7A74" w:rsidRDefault="00E14400" w:rsidP="001F169B">
            <w:pPr>
              <w:rPr>
                <w:rFonts w:cstheme="minorHAnsi"/>
                <w:sz w:val="20"/>
                <w:szCs w:val="20"/>
              </w:rPr>
            </w:pPr>
            <w:r>
              <w:rPr>
                <w:rFonts w:ascii="Arial" w:hAnsi="Arial" w:cs="Arial"/>
                <w:color w:val="232A31"/>
                <w:sz w:val="20"/>
                <w:szCs w:val="20"/>
              </w:rPr>
              <w:t>63,159,033</w:t>
            </w:r>
          </w:p>
        </w:tc>
        <w:tc>
          <w:tcPr>
            <w:tcW w:w="1496" w:type="dxa"/>
          </w:tcPr>
          <w:p w14:paraId="33A60961" w14:textId="77777777" w:rsidR="00E14400" w:rsidRPr="00BE7A74" w:rsidRDefault="00E14400" w:rsidP="001F169B">
            <w:pPr>
              <w:rPr>
                <w:rFonts w:cstheme="minorHAnsi"/>
                <w:sz w:val="20"/>
                <w:szCs w:val="20"/>
              </w:rPr>
            </w:pPr>
            <w:r>
              <w:rPr>
                <w:rFonts w:ascii="Arial" w:hAnsi="Arial" w:cs="Arial"/>
                <w:color w:val="232A31"/>
                <w:sz w:val="20"/>
                <w:szCs w:val="20"/>
              </w:rPr>
              <w:t>5,753,156,084</w:t>
            </w:r>
          </w:p>
        </w:tc>
      </w:tr>
      <w:tr w:rsidR="00E14400" w:rsidRPr="00BE7A74" w14:paraId="53AD2CC7" w14:textId="77777777" w:rsidTr="001F169B">
        <w:trPr>
          <w:trHeight w:val="374"/>
        </w:trPr>
        <w:tc>
          <w:tcPr>
            <w:tcW w:w="1621" w:type="dxa"/>
          </w:tcPr>
          <w:p w14:paraId="5D4C7DB9" w14:textId="77777777" w:rsidR="00E14400" w:rsidRPr="00BE7A74" w:rsidRDefault="00E14400" w:rsidP="001F169B">
            <w:pPr>
              <w:rPr>
                <w:rFonts w:cstheme="minorHAnsi"/>
                <w:sz w:val="20"/>
                <w:szCs w:val="20"/>
              </w:rPr>
            </w:pPr>
            <w:r w:rsidRPr="00BE7A74">
              <w:rPr>
                <w:rFonts w:cstheme="minorHAnsi"/>
                <w:sz w:val="20"/>
                <w:szCs w:val="20"/>
              </w:rPr>
              <w:t>Canadian Imperial Bank of Commerce</w:t>
            </w:r>
          </w:p>
        </w:tc>
        <w:tc>
          <w:tcPr>
            <w:tcW w:w="1429" w:type="dxa"/>
          </w:tcPr>
          <w:p w14:paraId="5A7FFA9F" w14:textId="77777777" w:rsidR="00E14400" w:rsidRPr="00BE7A74" w:rsidRDefault="00E14400" w:rsidP="001F169B">
            <w:pPr>
              <w:rPr>
                <w:rFonts w:cstheme="minorHAnsi"/>
                <w:sz w:val="20"/>
                <w:szCs w:val="20"/>
              </w:rPr>
            </w:pPr>
            <w:r w:rsidRPr="00BE7A74">
              <w:rPr>
                <w:rFonts w:cstheme="minorHAnsi"/>
                <w:sz w:val="20"/>
                <w:szCs w:val="20"/>
              </w:rPr>
              <w:t>Canada</w:t>
            </w:r>
          </w:p>
        </w:tc>
        <w:tc>
          <w:tcPr>
            <w:tcW w:w="1550" w:type="dxa"/>
          </w:tcPr>
          <w:p w14:paraId="7ABE8C7C" w14:textId="77777777" w:rsidR="00E14400" w:rsidRPr="00BE7A74" w:rsidRDefault="00E14400" w:rsidP="001F169B">
            <w:pPr>
              <w:rPr>
                <w:rFonts w:cstheme="minorHAnsi"/>
                <w:sz w:val="20"/>
                <w:szCs w:val="20"/>
              </w:rPr>
            </w:pPr>
            <w:r w:rsidRPr="00BE7A74">
              <w:rPr>
                <w:rFonts w:cstheme="minorHAnsi"/>
                <w:sz w:val="20"/>
                <w:szCs w:val="20"/>
              </w:rPr>
              <w:t>47,814</w:t>
            </w:r>
          </w:p>
        </w:tc>
        <w:tc>
          <w:tcPr>
            <w:tcW w:w="1014" w:type="dxa"/>
          </w:tcPr>
          <w:p w14:paraId="7B20725F" w14:textId="77777777" w:rsidR="00E14400" w:rsidRPr="00BE7A74" w:rsidRDefault="00E14400" w:rsidP="001F169B">
            <w:pPr>
              <w:rPr>
                <w:rFonts w:cstheme="minorHAnsi"/>
                <w:sz w:val="20"/>
                <w:szCs w:val="20"/>
              </w:rPr>
            </w:pPr>
            <w:r w:rsidRPr="00BE7A74">
              <w:rPr>
                <w:rFonts w:cstheme="minorHAnsi"/>
                <w:sz w:val="20"/>
                <w:szCs w:val="20"/>
              </w:rPr>
              <w:t>$17.4B</w:t>
            </w:r>
          </w:p>
        </w:tc>
        <w:tc>
          <w:tcPr>
            <w:tcW w:w="1023" w:type="dxa"/>
          </w:tcPr>
          <w:p w14:paraId="26D09422" w14:textId="77777777" w:rsidR="00E14400" w:rsidRPr="00BE7A74" w:rsidRDefault="00E14400" w:rsidP="001F169B">
            <w:pPr>
              <w:rPr>
                <w:rFonts w:cstheme="minorHAnsi"/>
                <w:sz w:val="20"/>
                <w:szCs w:val="20"/>
              </w:rPr>
            </w:pPr>
            <w:r w:rsidRPr="00BE7A74">
              <w:rPr>
                <w:rFonts w:cstheme="minorHAnsi"/>
                <w:sz w:val="20"/>
                <w:szCs w:val="20"/>
              </w:rPr>
              <w:t>Public</w:t>
            </w:r>
          </w:p>
        </w:tc>
        <w:tc>
          <w:tcPr>
            <w:tcW w:w="1217" w:type="dxa"/>
          </w:tcPr>
          <w:p w14:paraId="2ACFAC4D" w14:textId="77777777" w:rsidR="00E14400" w:rsidRPr="00BE7A74" w:rsidRDefault="00E14400" w:rsidP="001F169B">
            <w:pPr>
              <w:rPr>
                <w:rFonts w:cstheme="minorHAnsi"/>
                <w:sz w:val="20"/>
                <w:szCs w:val="20"/>
              </w:rPr>
            </w:pPr>
            <w:r>
              <w:rPr>
                <w:rFonts w:ascii="Arial" w:hAnsi="Arial" w:cs="Arial"/>
                <w:color w:val="232A31"/>
                <w:sz w:val="20"/>
                <w:szCs w:val="20"/>
              </w:rPr>
              <w:t>18,439,999</w:t>
            </w:r>
          </w:p>
        </w:tc>
        <w:tc>
          <w:tcPr>
            <w:tcW w:w="1496" w:type="dxa"/>
            <w:vAlign w:val="center"/>
          </w:tcPr>
          <w:p w14:paraId="7C11D88A" w14:textId="77777777" w:rsidR="00E14400" w:rsidRPr="00BE7A74" w:rsidRDefault="00E14400" w:rsidP="001F169B">
            <w:pPr>
              <w:rPr>
                <w:rFonts w:cstheme="minorHAnsi"/>
                <w:sz w:val="20"/>
                <w:szCs w:val="20"/>
              </w:rPr>
            </w:pPr>
            <w:r>
              <w:rPr>
                <w:rFonts w:ascii="Arial" w:hAnsi="Arial" w:cs="Arial"/>
                <w:color w:val="232A31"/>
                <w:sz w:val="20"/>
                <w:szCs w:val="20"/>
              </w:rPr>
              <w:t>1,679,699,441</w:t>
            </w:r>
          </w:p>
        </w:tc>
      </w:tr>
    </w:tbl>
    <w:p w14:paraId="359BB7DE" w14:textId="77777777" w:rsidR="00E14400" w:rsidRDefault="00E14400" w:rsidP="00E14400">
      <w:pPr>
        <w:rPr>
          <w:rFonts w:asciiTheme="majorHAnsi" w:hAnsiTheme="majorHAnsi" w:cstheme="majorHAnsi"/>
          <w:b/>
          <w:bCs/>
          <w:sz w:val="28"/>
          <w:szCs w:val="28"/>
        </w:rPr>
      </w:pPr>
    </w:p>
    <w:p w14:paraId="31E996DE" w14:textId="77777777" w:rsidR="00E14400" w:rsidRPr="00634B06" w:rsidRDefault="00E14400" w:rsidP="00E14400">
      <w:pPr>
        <w:shd w:val="clear" w:color="auto" w:fill="FFFFFF"/>
        <w:spacing w:after="480" w:line="240" w:lineRule="auto"/>
        <w:textAlignment w:val="baseline"/>
        <w:rPr>
          <w:rFonts w:ascii="Open Sans" w:eastAsia="Times New Roman" w:hAnsi="Open Sans" w:cs="Open Sans"/>
          <w:color w:val="7F888F"/>
          <w:sz w:val="20"/>
          <w:szCs w:val="20"/>
          <w:lang w:eastAsia="en-CA"/>
        </w:rPr>
      </w:pPr>
    </w:p>
    <w:p w14:paraId="694D869B" w14:textId="77777777" w:rsidR="00E14400" w:rsidRPr="00F634E0" w:rsidRDefault="00E14400" w:rsidP="00E14400">
      <w:pPr>
        <w:rPr>
          <w:rFonts w:asciiTheme="majorHAnsi" w:hAnsiTheme="majorHAnsi" w:cstheme="majorHAnsi"/>
          <w:b/>
          <w:bCs/>
          <w:sz w:val="28"/>
          <w:szCs w:val="28"/>
        </w:rPr>
      </w:pPr>
    </w:p>
    <w:p w14:paraId="4902617B" w14:textId="77777777" w:rsidR="00E14400" w:rsidRDefault="00E14400" w:rsidP="00F9185F">
      <w:pPr>
        <w:tabs>
          <w:tab w:val="left" w:pos="0"/>
        </w:tabs>
        <w:ind w:right="-188"/>
        <w:rPr>
          <w:b/>
          <w:bCs/>
          <w:sz w:val="26"/>
          <w:szCs w:val="26"/>
        </w:rPr>
      </w:pPr>
    </w:p>
    <w:p w14:paraId="0636F98A" w14:textId="77777777" w:rsidR="008537F3" w:rsidRPr="008537F3" w:rsidRDefault="008537F3" w:rsidP="00F9185F">
      <w:pPr>
        <w:tabs>
          <w:tab w:val="left" w:pos="0"/>
        </w:tabs>
        <w:ind w:right="-188"/>
        <w:rPr>
          <w:b/>
          <w:bCs/>
          <w:sz w:val="26"/>
          <w:szCs w:val="26"/>
        </w:rPr>
      </w:pPr>
    </w:p>
    <w:p w14:paraId="0FA20C0F" w14:textId="77777777" w:rsidR="008537F3" w:rsidRDefault="008537F3" w:rsidP="00F9185F">
      <w:pPr>
        <w:tabs>
          <w:tab w:val="left" w:pos="0"/>
        </w:tabs>
        <w:ind w:right="-188"/>
        <w:rPr>
          <w:sz w:val="26"/>
          <w:szCs w:val="26"/>
        </w:rPr>
      </w:pPr>
    </w:p>
    <w:p w14:paraId="74AA2FAE" w14:textId="77777777" w:rsidR="008537F3" w:rsidRPr="00F9185F" w:rsidRDefault="008537F3" w:rsidP="00F9185F">
      <w:pPr>
        <w:tabs>
          <w:tab w:val="left" w:pos="0"/>
        </w:tabs>
        <w:ind w:right="-188"/>
        <w:rPr>
          <w:sz w:val="26"/>
          <w:szCs w:val="26"/>
        </w:rPr>
      </w:pPr>
    </w:p>
    <w:sectPr w:rsidR="008537F3" w:rsidRPr="00F91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97CAF"/>
    <w:multiLevelType w:val="hybridMultilevel"/>
    <w:tmpl w:val="DEA03D4A"/>
    <w:lvl w:ilvl="0" w:tplc="74A2065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932240"/>
    <w:multiLevelType w:val="hybridMultilevel"/>
    <w:tmpl w:val="1950929A"/>
    <w:lvl w:ilvl="0" w:tplc="AF94588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4182238">
    <w:abstractNumId w:val="0"/>
  </w:num>
  <w:num w:numId="2" w16cid:durableId="607590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5F"/>
    <w:rsid w:val="00004DBA"/>
    <w:rsid w:val="002A6A93"/>
    <w:rsid w:val="008329B3"/>
    <w:rsid w:val="008537F3"/>
    <w:rsid w:val="00B6754F"/>
    <w:rsid w:val="00B743DA"/>
    <w:rsid w:val="00E14400"/>
    <w:rsid w:val="00EB0E3A"/>
    <w:rsid w:val="00F91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BF59"/>
  <w15:chartTrackingRefBased/>
  <w15:docId w15:val="{5BC889BA-7821-4721-AC17-89FCFCDC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400"/>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Singh</dc:creator>
  <cp:keywords/>
  <dc:description/>
  <cp:lastModifiedBy>Rakesh Singh</cp:lastModifiedBy>
  <cp:revision>2</cp:revision>
  <cp:lastPrinted>2022-07-18T15:16:00Z</cp:lastPrinted>
  <dcterms:created xsi:type="dcterms:W3CDTF">2022-07-18T15:18:00Z</dcterms:created>
  <dcterms:modified xsi:type="dcterms:W3CDTF">2022-07-18T15:18:00Z</dcterms:modified>
</cp:coreProperties>
</file>