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A5276"/>
          <w:sz w:val="48"/>
        </w:rPr>
        <w:t>Training &amp; Technical Project Document</w:t>
      </w:r>
    </w:p>
    <w:p>
      <w:pPr>
        <w:spacing w:after="320"/>
      </w:pPr>
      <w:r>
        <w:rPr>
          <w:i/>
          <w:color w:val="2980B9"/>
          <w:sz w:val="26"/>
        </w:rPr>
        <w:t>Enterprise Student Record and Academic Management Platform</w:t>
        <w:br/>
        <w:t>(Unit 1: Product Engineering &amp; Design Thinking)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F6F7"/>
          </w:tcPr>
          <w:p>
            <w:r>
              <w:rPr>
                <w:b/>
                <w:color w:val="1A5276"/>
              </w:rPr>
              <w:t>PRESENTED BY:</w:t>
            </w:r>
          </w:p>
        </w:tc>
        <w:tc>
          <w:tcPr>
            <w:tcW w:type="dxa" w:w="4680"/>
            <w:shd w:fill="F4F6F7"/>
          </w:tcPr>
          <w:p>
            <w:r>
              <w:rPr>
                <w:b/>
              </w:rPr>
              <w:t>Kartiki Arun Shinde</w:t>
            </w:r>
          </w:p>
        </w:tc>
      </w:tr>
      <w:tr>
        <w:tc>
          <w:tcPr>
            <w:tcW w:type="dxa" w:w="4680"/>
            <w:shd w:fill="F4F6F7"/>
          </w:tcPr>
          <w:p>
            <w:r>
              <w:rPr>
                <w:b/>
                <w:color w:val="1A5276"/>
              </w:rPr>
              <w:t>CLASS:</w:t>
            </w:r>
          </w:p>
        </w:tc>
        <w:tc>
          <w:tcPr>
            <w:tcW w:type="dxa" w:w="4680"/>
            <w:shd w:fill="F4F6F7"/>
          </w:tcPr>
          <w:p>
            <w:r>
              <w:rPr>
                <w:b/>
              </w:rPr>
              <w:t>SY-AIML</w:t>
            </w:r>
          </w:p>
        </w:tc>
      </w:tr>
      <w:tr>
        <w:tc>
          <w:tcPr>
            <w:tcW w:type="dxa" w:w="4680"/>
            <w:shd w:fill="F4F6F7"/>
          </w:tcPr>
          <w:p>
            <w:r>
              <w:rPr>
                <w:b/>
                <w:color w:val="1A5276"/>
              </w:rPr>
              <w:t>PRN:</w:t>
            </w:r>
          </w:p>
        </w:tc>
        <w:tc>
          <w:tcPr>
            <w:tcW w:type="dxa" w:w="4680"/>
            <w:shd w:fill="F4F6F7"/>
          </w:tcPr>
          <w:p>
            <w:r>
              <w:rPr>
                <w:b/>
              </w:rPr>
              <w:t>2125UMLF1106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1A5276"/>
          <w:sz w:val="32"/>
        </w:rPr>
        <w:t>1. Introduction to Software Product Development</w:t>
      </w:r>
    </w:p>
    <w:p>
      <w:r>
        <w:t>In modern organizations, software products are built using structured engineering frameworks rather than ad-hoc programming. Coding is merely one execution phase within a larger engineering lifecycle that spans research, architecture, user experience design, quality assurance, automated deployment, and continuous monitoring.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1.1 Comparative Analysis: Programming vs. Software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276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120"/>
            <w:shd w:fill="1A5276"/>
          </w:tcPr>
          <w:p>
            <w:r>
              <w:rPr>
                <w:b/>
                <w:color w:val="FFFFFF"/>
              </w:rPr>
              <w:t>Programming / Coding</w:t>
            </w:r>
          </w:p>
        </w:tc>
        <w:tc>
          <w:tcPr>
            <w:tcW w:type="dxa" w:w="3120"/>
            <w:shd w:fill="1A5276"/>
          </w:tcPr>
          <w:p>
            <w:r>
              <w:rPr>
                <w:b/>
                <w:color w:val="FFFFFF"/>
              </w:rPr>
              <w:t>Software Product Engineering</w:t>
            </w:r>
          </w:p>
        </w:tc>
      </w:tr>
      <w:tr>
        <w:tc>
          <w:tcPr>
            <w:tcW w:type="dxa" w:w="3120"/>
            <w:shd w:fill="F4F6F7"/>
          </w:tcPr>
          <w:p>
            <w:r>
              <w:t>Primary Goal</w:t>
            </w:r>
          </w:p>
        </w:tc>
        <w:tc>
          <w:tcPr>
            <w:tcW w:type="dxa" w:w="3120"/>
            <w:shd w:fill="F4F6F7"/>
          </w:tcPr>
          <w:p>
            <w:r>
              <w:t>Translating logic/algorithms into executable code syntax.</w:t>
            </w:r>
          </w:p>
        </w:tc>
        <w:tc>
          <w:tcPr>
            <w:tcW w:type="dxa" w:w="3120"/>
            <w:shd w:fill="F4F6F7"/>
          </w:tcPr>
          <w:p>
            <w:r>
              <w:t>Building scalable, maintainable, and valuable systems for end users.</w:t>
            </w:r>
          </w:p>
        </w:tc>
      </w:tr>
      <w:tr>
        <w:tc>
          <w:tcPr>
            <w:tcW w:type="dxa" w:w="3120"/>
          </w:tcPr>
          <w:p>
            <w:r>
              <w:t>Scope</w:t>
            </w:r>
          </w:p>
        </w:tc>
        <w:tc>
          <w:tcPr>
            <w:tcW w:type="dxa" w:w="3120"/>
          </w:tcPr>
          <w:p>
            <w:r>
              <w:t>Isolated functions, micro-tasks, or single scripts.</w:t>
            </w:r>
          </w:p>
        </w:tc>
        <w:tc>
          <w:tcPr>
            <w:tcW w:type="dxa" w:w="3120"/>
          </w:tcPr>
          <w:p>
            <w:r>
              <w:t>Full lifecycle (SDLC), architecture, CI/CD, database schemas, security.</w:t>
            </w:r>
          </w:p>
        </w:tc>
      </w:tr>
      <w:tr>
        <w:tc>
          <w:tcPr>
            <w:tcW w:type="dxa" w:w="3120"/>
            <w:shd w:fill="F4F6F7"/>
          </w:tcPr>
          <w:p>
            <w:r>
              <w:t>Success Metric</w:t>
            </w:r>
          </w:p>
        </w:tc>
        <w:tc>
          <w:tcPr>
            <w:tcW w:type="dxa" w:w="3120"/>
            <w:shd w:fill="F4F6F7"/>
          </w:tcPr>
          <w:p>
            <w:r>
              <w:t>Code compiles and passes basic test inputs.</w:t>
            </w:r>
          </w:p>
        </w:tc>
        <w:tc>
          <w:tcPr>
            <w:tcW w:type="dxa" w:w="3120"/>
            <w:shd w:fill="F4F6F7"/>
          </w:tcPr>
          <w:p>
            <w:r>
              <w:t>User adoption, high availability, performance metrics, business outcome.</w:t>
            </w:r>
          </w:p>
        </w:tc>
      </w:tr>
      <w:tr>
        <w:tc>
          <w:tcPr>
            <w:tcW w:type="dxa" w:w="3120"/>
          </w:tcPr>
          <w:p>
            <w:r>
              <w:t>Mindset</w:t>
            </w:r>
          </w:p>
        </w:tc>
        <w:tc>
          <w:tcPr>
            <w:tcW w:type="dxa" w:w="3120"/>
          </w:tcPr>
          <w:p>
            <w:r>
              <w:t>Technology-Centric ("How do I write this function?").</w:t>
            </w:r>
          </w:p>
        </w:tc>
        <w:tc>
          <w:tcPr>
            <w:tcW w:type="dxa" w:w="3120"/>
          </w:tcPr>
          <w:p>
            <w:r>
              <w:t>Product-Centric ("What core problem are we solving for our users?").</w:t>
            </w:r>
          </w:p>
        </w:tc>
      </w:tr>
    </w:tbl>
    <w:p>
      <w:pPr>
        <w:keepNext/>
        <w:spacing w:before="280" w:after="80"/>
      </w:pPr>
      <w:r>
        <w:rPr>
          <w:b/>
          <w:color w:val="2980B9"/>
          <w:sz w:val="26"/>
        </w:rPr>
        <w:t>1.2 Root Causes of Software Project Failures</w:t>
      </w:r>
    </w:p>
    <w:p>
      <w:r>
        <w:t>Software projects rarely fail due to bad syntax. Major failure vectors include:</w:t>
      </w:r>
    </w:p>
    <w:p>
      <w:pPr>
        <w:pStyle w:val="ListBullet"/>
        <w:spacing w:after="60"/>
      </w:pPr>
      <w:r>
        <w:rPr>
          <w:b/>
        </w:rPr>
        <w:t xml:space="preserve">Misaligned Requirements: </w:t>
      </w:r>
      <w:r>
        <w:t>Building features that users do not need or want.</w:t>
      </w:r>
    </w:p>
    <w:p>
      <w:pPr>
        <w:pStyle w:val="ListBullet"/>
        <w:spacing w:after="60"/>
      </w:pPr>
      <w:r>
        <w:rPr>
          <w:b/>
        </w:rPr>
        <w:t xml:space="preserve">Technology-Centric Bias: </w:t>
      </w:r>
      <w:r>
        <w:t>Choosing technologies based on industry hype rather than suitability for business domain problems.</w:t>
      </w:r>
    </w:p>
    <w:p>
      <w:pPr>
        <w:pStyle w:val="ListBullet"/>
        <w:spacing w:after="60"/>
      </w:pPr>
      <w:r>
        <w:rPr>
          <w:b/>
        </w:rPr>
        <w:t xml:space="preserve">Communication Silos: </w:t>
      </w:r>
      <w:r>
        <w:t>Separation between business analysts, software developers, and DevOps infrastructure teams.</w:t>
      </w:r>
    </w:p>
    <w:p>
      <w:pPr>
        <w:pStyle w:val="ListBullet"/>
        <w:spacing w:after="60"/>
      </w:pPr>
      <w:r>
        <w:rPr>
          <w:b/>
        </w:rPr>
        <w:t xml:space="preserve">Lack of Iterative Feedback: </w:t>
      </w:r>
      <w:r>
        <w:t>Delaying user testing until late development stages, making pivot costs prohibitively high.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Visual Section: System Development Lifecycle (SDLC)</w:t>
      </w:r>
    </w:p>
    <w:p>
      <w:pPr>
        <w:spacing w:before="40" w:after="40"/>
        <w:ind w:left="720" w:right="720"/>
        <w:shd w:fill="EAECEE"/>
      </w:pPr>
      <w:r>
        <w:rPr>
          <w:rFonts w:ascii="Consolas" w:hAnsi="Consolas"/>
          <w:sz w:val="20"/>
        </w:rPr>
        <w:t xml:space="preserve">  [ 1. Requirement Gathering &amp; Domain Analysis ]  </w:t>
      </w:r>
    </w:p>
    <w:p>
      <w:pPr>
        <w:spacing w:before="0" w:after="0"/>
        <w:jc w:val="center"/>
      </w:pPr>
      <w:r>
        <w:rPr>
          <w:rFonts w:ascii="Consolas" w:hAnsi="Consolas"/>
          <w:color w:val="2980B9"/>
        </w:rPr>
        <w:t>│</w:t>
        <w:br/>
        <w:t>▼</w:t>
      </w:r>
    </w:p>
    <w:p>
      <w:pPr>
        <w:spacing w:before="40" w:after="40"/>
        <w:ind w:left="720" w:right="720"/>
        <w:shd w:fill="EAECEE"/>
      </w:pPr>
      <w:r>
        <w:rPr>
          <w:rFonts w:ascii="Consolas" w:hAnsi="Consolas"/>
          <w:sz w:val="20"/>
        </w:rPr>
        <w:t xml:space="preserve">  [ 2. Design Thinking &amp; User Experience (UX) Wireframing ]  </w:t>
      </w:r>
    </w:p>
    <w:p>
      <w:pPr>
        <w:spacing w:before="0" w:after="0"/>
        <w:jc w:val="center"/>
      </w:pPr>
      <w:r>
        <w:rPr>
          <w:rFonts w:ascii="Consolas" w:hAnsi="Consolas"/>
          <w:color w:val="2980B9"/>
        </w:rPr>
        <w:t>│</w:t>
        <w:br/>
        <w:t>▼</w:t>
      </w:r>
    </w:p>
    <w:p>
      <w:pPr>
        <w:spacing w:before="40" w:after="40"/>
        <w:ind w:left="720" w:right="720"/>
        <w:shd w:fill="EAECEE"/>
      </w:pPr>
      <w:r>
        <w:rPr>
          <w:rFonts w:ascii="Consolas" w:hAnsi="Consolas"/>
          <w:sz w:val="20"/>
        </w:rPr>
        <w:t xml:space="preserve">  [ 3. System Architecture &amp; Database Schema Design ]  </w:t>
      </w:r>
    </w:p>
    <w:p>
      <w:pPr>
        <w:spacing w:before="0" w:after="0"/>
        <w:jc w:val="center"/>
      </w:pPr>
      <w:r>
        <w:rPr>
          <w:rFonts w:ascii="Consolas" w:hAnsi="Consolas"/>
          <w:color w:val="2980B9"/>
        </w:rPr>
        <w:t>│</w:t>
        <w:br/>
        <w:t>▼</w:t>
      </w:r>
    </w:p>
    <w:p>
      <w:pPr>
        <w:spacing w:before="40" w:after="40"/>
        <w:ind w:left="720" w:right="720"/>
        <w:shd w:fill="EAECEE"/>
      </w:pPr>
      <w:r>
        <w:rPr>
          <w:rFonts w:ascii="Consolas" w:hAnsi="Consolas"/>
          <w:sz w:val="20"/>
        </w:rPr>
        <w:t xml:space="preserve">  [ 4. Implementation / Coding Phase (~20% Total Effort) ]  </w:t>
      </w:r>
    </w:p>
    <w:p>
      <w:pPr>
        <w:spacing w:before="0" w:after="0"/>
        <w:jc w:val="center"/>
      </w:pPr>
      <w:r>
        <w:rPr>
          <w:rFonts w:ascii="Consolas" w:hAnsi="Consolas"/>
          <w:color w:val="2980B9"/>
        </w:rPr>
        <w:t>│</w:t>
        <w:br/>
        <w:t>▼</w:t>
      </w:r>
    </w:p>
    <w:p>
      <w:pPr>
        <w:spacing w:before="40" w:after="40"/>
        <w:ind w:left="720" w:right="720"/>
        <w:shd w:fill="EAECEE"/>
      </w:pPr>
      <w:r>
        <w:rPr>
          <w:rFonts w:ascii="Consolas" w:hAnsi="Consolas"/>
          <w:sz w:val="20"/>
        </w:rPr>
        <w:t xml:space="preserve">  [ 5. Automated CI/CD, DevOps Pipeline &amp; Testing ]  </w:t>
      </w:r>
    </w:p>
    <w:p>
      <w:pPr>
        <w:spacing w:before="0" w:after="0"/>
        <w:jc w:val="center"/>
      </w:pPr>
      <w:r>
        <w:rPr>
          <w:rFonts w:ascii="Consolas" w:hAnsi="Consolas"/>
          <w:color w:val="2980B9"/>
        </w:rPr>
        <w:t>│</w:t>
        <w:br/>
        <w:t>▼</w:t>
      </w:r>
    </w:p>
    <w:p>
      <w:pPr>
        <w:spacing w:before="40" w:after="40"/>
        <w:ind w:left="720" w:right="720"/>
        <w:shd w:fill="EAECEE"/>
      </w:pPr>
      <w:r>
        <w:rPr>
          <w:rFonts w:ascii="Consolas" w:hAnsi="Consolas"/>
          <w:sz w:val="20"/>
        </w:rPr>
        <w:t xml:space="preserve">  [ 6. Production Deployment, Observability &amp; Loop ]  </w:t>
      </w:r>
    </w:p>
    <w:p>
      <w:pPr>
        <w:keepNext/>
        <w:spacing w:before="360" w:after="120"/>
      </w:pPr>
      <w:r>
        <w:rPr>
          <w:b/>
          <w:color w:val="1A5276"/>
          <w:sz w:val="32"/>
        </w:rPr>
        <w:t>2. Business Understanding: Education &amp; Academic Services</w:t>
      </w:r>
    </w:p>
    <w:p>
      <w:r>
        <w:t>Before writing code or provisioning infrastructure, engineers must master the business operations of the higher education academic environment.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2.1 Core Operations in Academic Institutions</w:t>
      </w:r>
    </w:p>
    <w:p>
      <w:pPr>
        <w:pStyle w:val="ListBullet"/>
        <w:spacing w:after="60"/>
      </w:pPr>
      <w:r>
        <w:rPr>
          <w:b/>
        </w:rPr>
        <w:t xml:space="preserve">Student Admissions &amp; Onboarding: </w:t>
      </w:r>
      <w:r>
        <w:t>Capturing demographic data, assigning unique University Registration Numbers (URN), and verifying prerequisite documents.</w:t>
      </w:r>
    </w:p>
    <w:p>
      <w:pPr>
        <w:pStyle w:val="ListBullet"/>
        <w:spacing w:after="60"/>
      </w:pPr>
      <w:r>
        <w:rPr>
          <w:b/>
        </w:rPr>
        <w:t xml:space="preserve">Course Registration &amp; Scheduling: </w:t>
      </w:r>
      <w:r>
        <w:t>Managing prerequisite checks, seat caps, dynamic timetable allocation, and add/drop windows.</w:t>
      </w:r>
    </w:p>
    <w:p>
      <w:pPr>
        <w:pStyle w:val="ListBullet"/>
        <w:spacing w:after="60"/>
      </w:pPr>
      <w:r>
        <w:rPr>
          <w:b/>
        </w:rPr>
        <w:t xml:space="preserve">Attendance Management: </w:t>
      </w:r>
      <w:r>
        <w:t>Tracking daily lecture/lab attendance, automated threshold checks (e.g., 75% mandatory attendance), and automated warning alerts.</w:t>
      </w:r>
    </w:p>
    <w:p>
      <w:pPr>
        <w:pStyle w:val="ListBullet"/>
        <w:spacing w:after="60"/>
      </w:pPr>
      <w:r>
        <w:rPr>
          <w:b/>
        </w:rPr>
        <w:t xml:space="preserve">Examination Cell Operations: </w:t>
      </w:r>
      <w:r>
        <w:t>Exam scheduling, hall ticket generation, invigilation duty assignment, and secure mark entry workflows.</w:t>
      </w:r>
    </w:p>
    <w:p>
      <w:pPr>
        <w:pStyle w:val="ListBullet"/>
        <w:spacing w:after="60"/>
      </w:pPr>
      <w:r>
        <w:rPr>
          <w:b/>
        </w:rPr>
        <w:t xml:space="preserve">Result Processing &amp; Evaluation: </w:t>
      </w:r>
      <w:r>
        <w:t>Grade mapping, dynamic GPA/CGPA computation, back-log management, and result moderation.</w:t>
      </w:r>
    </w:p>
    <w:p>
      <w:pPr>
        <w:pStyle w:val="ListBullet"/>
        <w:spacing w:after="60"/>
      </w:pPr>
      <w:r>
        <w:rPr>
          <w:b/>
        </w:rPr>
        <w:t xml:space="preserve">Transcripts &amp; Graduation: </w:t>
      </w:r>
      <w:r>
        <w:t>Automated ledger freeze, digital transcript generation with verifiable QR codes, and degree audit execution.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2.2 Manual Process Challenges vs. Automated Software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276"/>
          </w:tcPr>
          <w:p>
            <w:r>
              <w:rPr>
                <w:b/>
                <w:color w:val="FFFFFF"/>
              </w:rPr>
              <w:t>Operational Domain</w:t>
            </w:r>
          </w:p>
        </w:tc>
        <w:tc>
          <w:tcPr>
            <w:tcW w:type="dxa" w:w="3120"/>
            <w:shd w:fill="1A5276"/>
          </w:tcPr>
          <w:p>
            <w:r>
              <w:rPr>
                <w:b/>
                <w:color w:val="FFFFFF"/>
              </w:rPr>
              <w:t>Legacy / Manual Bottleneck</w:t>
            </w:r>
          </w:p>
        </w:tc>
        <w:tc>
          <w:tcPr>
            <w:tcW w:type="dxa" w:w="3120"/>
            <w:shd w:fill="1A5276"/>
          </w:tcPr>
          <w:p>
            <w:r>
              <w:rPr>
                <w:b/>
                <w:color w:val="FFFFFF"/>
              </w:rPr>
              <w:t>EduTrack Platform Solution &amp; Impact Metric</w:t>
            </w:r>
          </w:p>
        </w:tc>
      </w:tr>
      <w:tr>
        <w:tc>
          <w:tcPr>
            <w:tcW w:type="dxa" w:w="3120"/>
            <w:shd w:fill="F4F6F7"/>
          </w:tcPr>
          <w:p>
            <w:r>
              <w:t>Course Enrollment</w:t>
            </w:r>
          </w:p>
        </w:tc>
        <w:tc>
          <w:tcPr>
            <w:tcW w:type="dxa" w:w="3120"/>
            <w:shd w:fill="F4F6F7"/>
          </w:tcPr>
          <w:p>
            <w:r>
              <w:t>Physical registration forms with paper sign-offs by HODs; multi-day processing.</w:t>
            </w:r>
          </w:p>
        </w:tc>
        <w:tc>
          <w:tcPr>
            <w:tcW w:type="dxa" w:w="3120"/>
            <w:shd w:fill="F4F6F7"/>
          </w:tcPr>
          <w:p>
            <w:r>
              <w:t>Automated student portal with instant prerequisite verification &amp; seat locks.</w:t>
              <w:br/>
              <w:t>→ Registration time reduced from 5 days to &lt; 2 minutes.</w:t>
            </w:r>
          </w:p>
        </w:tc>
      </w:tr>
      <w:tr>
        <w:tc>
          <w:tcPr>
            <w:tcW w:type="dxa" w:w="3120"/>
          </w:tcPr>
          <w:p>
            <w:r>
              <w:t>Attendance Tracking</w:t>
            </w:r>
          </w:p>
        </w:tc>
        <w:tc>
          <w:tcPr>
            <w:tcW w:type="dxa" w:w="3120"/>
          </w:tcPr>
          <w:p>
            <w:r>
              <w:t>Paper registers susceptible to proxy attendance, physical loss, and manual aggregation.</w:t>
            </w:r>
          </w:p>
        </w:tc>
        <w:tc>
          <w:tcPr>
            <w:tcW w:type="dxa" w:w="3120"/>
          </w:tcPr>
          <w:p>
            <w:r>
              <w:t>Biometric / dynamic QR code logging with instant parent/student notification.</w:t>
              <w:br/>
              <w:t>→ 100% real-time attendance visibility; zero paper handling.</w:t>
            </w:r>
          </w:p>
        </w:tc>
      </w:tr>
      <w:tr>
        <w:tc>
          <w:tcPr>
            <w:tcW w:type="dxa" w:w="3120"/>
            <w:shd w:fill="F4F6F7"/>
          </w:tcPr>
          <w:p>
            <w:r>
              <w:t>Result Processing</w:t>
            </w:r>
          </w:p>
        </w:tc>
        <w:tc>
          <w:tcPr>
            <w:tcW w:type="dxa" w:w="3120"/>
            <w:shd w:fill="F4F6F7"/>
          </w:tcPr>
          <w:p>
            <w:r>
              <w:t>Manual Excel entry, offline calculation formulas, risk of transcription errors.</w:t>
            </w:r>
          </w:p>
        </w:tc>
        <w:tc>
          <w:tcPr>
            <w:tcW w:type="dxa" w:w="3120"/>
            <w:shd w:fill="F4F6F7"/>
          </w:tcPr>
          <w:p>
            <w:r>
              <w:t>Encrypted multi-tier mark entry with automated GPA/CGPA computation engines.</w:t>
              <w:br/>
              <w:t>→ Result calculation cycle cut from 3 weeks to under 2 hours.</w:t>
            </w:r>
          </w:p>
        </w:tc>
      </w:tr>
      <w:tr>
        <w:tc>
          <w:tcPr>
            <w:tcW w:type="dxa" w:w="3120"/>
          </w:tcPr>
          <w:p>
            <w:r>
              <w:t>Transcript &amp; Audit</w:t>
            </w:r>
          </w:p>
        </w:tc>
        <w:tc>
          <w:tcPr>
            <w:tcW w:type="dxa" w:w="3120"/>
          </w:tcPr>
          <w:p>
            <w:r>
              <w:t>Manual verification against physical ledgers; high latency for official verification.</w:t>
            </w:r>
          </w:p>
        </w:tc>
        <w:tc>
          <w:tcPr>
            <w:tcW w:type="dxa" w:w="3120"/>
          </w:tcPr>
          <w:p>
            <w:r>
              <w:t>Blockchain-anchored cryptographic digital transcripts with instant QR verification.</w:t>
              <w:br/>
              <w:t>→ Verification turnaround reduced from 14 days to instant.</w:t>
            </w:r>
          </w:p>
        </w:tc>
      </w:tr>
    </w:tbl>
    <w:p>
      <w:pPr>
        <w:keepNext/>
        <w:spacing w:before="360" w:after="120"/>
      </w:pPr>
      <w:r>
        <w:rPr>
          <w:b/>
          <w:color w:val="1A5276"/>
          <w:sz w:val="32"/>
        </w:rPr>
        <w:t>3. Introduction to Design Thinking</w:t>
      </w:r>
    </w:p>
    <w:p>
      <w:r>
        <w:t>Design Thinking is an iterative, human-centered problem-solving framework that prioritizes deep empathy for users before evaluating technological constraints.</w:t>
      </w:r>
    </w:p>
    <w:p>
      <w:pPr>
        <w:pStyle w:val="ListBullet"/>
        <w:spacing w:after="60"/>
      </w:pPr>
      <w:r>
        <w:rPr>
          <w:b/>
        </w:rPr>
        <w:t xml:space="preserve">Human-Centered Innovation: </w:t>
      </w:r>
      <w:r>
        <w:t>Designing solutions tailored to human behavioral patterns rather than forcing users to adapt to rigid technology systems.</w:t>
      </w:r>
    </w:p>
    <w:p>
      <w:pPr>
        <w:pStyle w:val="ListBullet"/>
        <w:spacing w:after="60"/>
      </w:pPr>
      <w:r>
        <w:rPr>
          <w:b/>
        </w:rPr>
        <w:t xml:space="preserve">Creative Problem-Solving &amp; Ideation: </w:t>
      </w:r>
      <w:r>
        <w:t>Encouraging broad solution spaces before technical optimization.</w:t>
      </w:r>
    </w:p>
    <w:p>
      <w:pPr>
        <w:pStyle w:val="ListBullet"/>
        <w:spacing w:after="60"/>
      </w:pPr>
      <w:r>
        <w:rPr>
          <w:b/>
        </w:rPr>
        <w:t xml:space="preserve">Iterative Prototyping: </w:t>
      </w:r>
      <w:r>
        <w:t>Failing early and cheaply using paper or wireframe prototypes before writing expensive backend code.</w:t>
      </w:r>
    </w:p>
    <w:p>
      <w:pPr>
        <w:keepNext/>
        <w:spacing w:before="360" w:after="120"/>
      </w:pPr>
      <w:r>
        <w:rPr>
          <w:b/>
          <w:color w:val="1A5276"/>
          <w:sz w:val="32"/>
        </w:rPr>
        <w:t>4. Applying the Five Stages of Design Thinking</w:t>
      </w:r>
    </w:p>
    <w:p>
      <w:pPr>
        <w:spacing w:after="80"/>
      </w:pPr>
      <w:r>
        <w:rPr>
          <w:b/>
          <w:color w:val="2980B9"/>
        </w:rPr>
        <w:t xml:space="preserve">Stage 1: Empathize - </w:t>
      </w:r>
      <w:r>
        <w:t>Conducted multi-day observational studies and interviews across 4 departments, shadowing 15 students, 8 faculty members, and 4 exam cell clerks. Key findings revealed severe anxiety around unverified grade entries, massive queues during registration, and immense friction in manual attendance reconciliation.</w:t>
      </w:r>
    </w:p>
    <w:p>
      <w:pPr>
        <w:spacing w:after="80"/>
      </w:pPr>
      <w:r>
        <w:rPr>
          <w:b/>
          <w:color w:val="2980B9"/>
        </w:rPr>
        <w:t xml:space="preserve">Stage 2: Define (Core Problem Statement) - </w:t>
      </w:r>
      <w:r>
        <w:t>"Academic stakeholders experience severe delays, data inconsistencies, and administrative overload due to fragmented manual record management. Students lack real-time visibility into their academic progress, while administrators face high risk of human error during examination result processing."</w:t>
      </w:r>
    </w:p>
    <w:p>
      <w:pPr>
        <w:spacing w:after="80"/>
      </w:pPr>
      <w:r>
        <w:rPr>
          <w:b/>
          <w:color w:val="2980B9"/>
        </w:rPr>
        <w:t xml:space="preserve">Stage 3: Ideate - </w:t>
      </w:r>
      <w:r>
        <w:t>Brainstormed over 40 feature concepts and prioritized them using an Impact-vs-Effort Matrix. Prioritized features include a Unified Student Dashboard, Automated Grade Calculation Engine, Dynamic Threshold Alerting, and Self-Service Transcript Requests.</w:t>
      </w:r>
    </w:p>
    <w:p>
      <w:pPr>
        <w:spacing w:after="80"/>
      </w:pPr>
      <w:r>
        <w:rPr>
          <w:b/>
          <w:color w:val="2980B9"/>
        </w:rPr>
        <w:t xml:space="preserve">Stage 4: Prototype - </w:t>
      </w:r>
      <w:r>
        <w:t>Developed low-fidelity wireframes and interactive component flows for the core web interfaces: Student Academic Portal, Faculty Gradebook &amp; Attendance Hub, and Registrar Analytics Dashboard.</w:t>
      </w:r>
    </w:p>
    <w:p>
      <w:pPr>
        <w:spacing w:after="80"/>
      </w:pPr>
      <w:r>
        <w:rPr>
          <w:b/>
          <w:color w:val="2980B9"/>
        </w:rPr>
        <w:t xml:space="preserve">Stage 5: Test - </w:t>
      </w:r>
      <w:r>
        <w:t>Executed usability testing with representative user groups. Task completion rates for course registration improved from 42% (on legacy tools) to 98% on the prototype interface. Feedback directly informed UI navigation simplifications.</w:t>
      </w:r>
    </w:p>
    <w:p>
      <w:pPr>
        <w:keepNext/>
        <w:spacing w:before="360" w:after="120"/>
      </w:pPr>
      <w:r>
        <w:rPr>
          <w:b/>
          <w:color w:val="1A5276"/>
          <w:sz w:val="32"/>
        </w:rPr>
        <w:t>5. Enterprise Expansion: IBM Design Thinking</w:t>
      </w:r>
    </w:p>
    <w:p>
      <w:r>
        <w:t>IBM Design Thinking scales human-centered design for large-scale enterprise delivery through three core pillars:</w:t>
      </w:r>
    </w:p>
    <w:p>
      <w:pPr>
        <w:pStyle w:val="ListBullet"/>
        <w:spacing w:after="60"/>
      </w:pPr>
      <w:r>
        <w:rPr>
          <w:b/>
        </w:rPr>
        <w:t xml:space="preserve">Focus on User Outcomes: </w:t>
      </w:r>
      <w:r>
        <w:t>Shifting technical goals to measurable human metrics (e.g., enable faculty to submit final semester grades in under 3 clicks, or enabling students to view and download their verified semester grade sheets in under 3 clicks).</w:t>
      </w:r>
    </w:p>
    <w:p>
      <w:pPr>
        <w:pStyle w:val="ListBullet"/>
        <w:spacing w:after="60"/>
      </w:pPr>
      <w:r>
        <w:rPr>
          <w:b/>
        </w:rPr>
        <w:t xml:space="preserve">Restless Reinvention: </w:t>
      </w:r>
      <w:r>
        <w:t>Treating software continuous deployment (CD) as an ongoing refinement cycle—analyzing production usage telemetry to improve UI layout and backend response speed.</w:t>
      </w:r>
    </w:p>
    <w:p>
      <w:pPr>
        <w:pStyle w:val="ListBullet"/>
        <w:spacing w:after="60"/>
      </w:pPr>
      <w:r>
        <w:rPr>
          <w:b/>
        </w:rPr>
        <w:t xml:space="preserve">Diverse Empowered Teams: </w:t>
      </w:r>
      <w:r>
        <w:t>Cross-functional squads combining Product Managers, UX Designers, Software Engineers, QA, DBAs, and DevOps Engineers.</w:t>
      </w:r>
    </w:p>
    <w:p>
      <w:pPr>
        <w:keepNext/>
        <w:spacing w:before="360" w:after="120"/>
      </w:pPr>
      <w:r>
        <w:rPr>
          <w:b/>
          <w:color w:val="1A5276"/>
          <w:sz w:val="32"/>
        </w:rPr>
        <w:t>6. The IBM Loop Engine</w:t>
      </w:r>
    </w:p>
    <w:p>
      <w:r>
        <w:t>The platform is engineered using the continuous cycle of Observe → Reflect → Make.</w:t>
      </w:r>
    </w:p>
    <w:p>
      <w:pPr>
        <w:spacing w:after="80"/>
      </w:pPr>
      <w:r>
        <w:rPr>
          <w:b/>
          <w:color w:val="1A5276"/>
        </w:rPr>
        <w:t xml:space="preserve">OBSERVE: </w:t>
      </w:r>
      <w:r>
        <w:t>Continuously monitor platform telemetry, error logs, user drop-off during course enrollment, and support tickets.</w:t>
      </w:r>
    </w:p>
    <w:p>
      <w:pPr>
        <w:spacing w:after="80"/>
      </w:pPr>
      <w:r>
        <w:rPr>
          <w:b/>
          <w:color w:val="1A5276"/>
        </w:rPr>
        <w:t xml:space="preserve">REFLECT: </w:t>
      </w:r>
      <w:r>
        <w:t>Synthesize metrics in bi-weekly sprint reviews to align business priorities, re-evaluate UX bottlenecks, and adjust backlog items.</w:t>
      </w:r>
    </w:p>
    <w:p>
      <w:pPr>
        <w:spacing w:after="80"/>
      </w:pPr>
      <w:r>
        <w:rPr>
          <w:b/>
          <w:color w:val="1A5276"/>
        </w:rPr>
        <w:t xml:space="preserve">MAKE: </w:t>
      </w:r>
      <w:r>
        <w:t>Design rapid UI prototypes, implement clean backend microservices, execute automated unit tests, and deploy via CI/CD pipelines.</w:t>
      </w:r>
    </w:p>
    <w:p>
      <w:pPr>
        <w:keepNext/>
        <w:spacing w:before="360" w:after="120"/>
      </w:pPr>
      <w:r>
        <w:rPr>
          <w:b/>
          <w:color w:val="1A5276"/>
          <w:sz w:val="32"/>
        </w:rPr>
        <w:t>7. Stakeholder User Personas &amp; Responsibility Matrix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7.1 Detailed User Persona Profiles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Persona 1: Rohan Sharma (Undergraduate Student)</w:t>
      </w:r>
    </w:p>
    <w:p>
      <w:pPr>
        <w:pStyle w:val="ListBullet"/>
        <w:spacing w:after="40"/>
      </w:pPr>
      <w:r>
        <w:rPr>
          <w:b/>
        </w:rPr>
        <w:t xml:space="preserve">Objectives: </w:t>
      </w:r>
      <w:r>
        <w:t>Track SGPA/CGPA in real time, monitor lecture attendance to avoid condonation fines, register for electives smoothly.</w:t>
      </w:r>
    </w:p>
    <w:p>
      <w:pPr>
        <w:pStyle w:val="ListBullet"/>
        <w:spacing w:after="40"/>
      </w:pPr>
      <w:r>
        <w:rPr>
          <w:b/>
        </w:rPr>
        <w:t xml:space="preserve">Pain Points: </w:t>
      </w:r>
      <w:r>
        <w:t>Long queues at registration counters; last-minute attendance shortage warnings; delayed result announcements.</w:t>
      </w:r>
    </w:p>
    <w:p>
      <w:pPr>
        <w:pStyle w:val="ListBullet"/>
        <w:spacing w:after="40"/>
      </w:pPr>
      <w:r>
        <w:rPr>
          <w:b/>
        </w:rPr>
        <w:t xml:space="preserve">Target Platform Feature: </w:t>
      </w:r>
      <w:r>
        <w:t>Mobile-responsive dashboard with live GPA calculator and automated attendance notifications.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Persona 2: Dr. Meenakshi Sundaram (Associate Professor &amp; HOD / Faculty Member)</w:t>
      </w:r>
    </w:p>
    <w:p>
      <w:pPr>
        <w:pStyle w:val="ListBullet"/>
        <w:spacing w:after="40"/>
      </w:pPr>
      <w:r>
        <w:rPr>
          <w:b/>
        </w:rPr>
        <w:t xml:space="preserve">Objectives: </w:t>
      </w:r>
      <w:r>
        <w:t>Submit internal assessment marks effortlessly, review student attendance trends, approve course add/drop requests.</w:t>
      </w:r>
    </w:p>
    <w:p>
      <w:pPr>
        <w:pStyle w:val="ListBullet"/>
        <w:spacing w:after="40"/>
      </w:pPr>
      <w:r>
        <w:rPr>
          <w:b/>
        </w:rPr>
        <w:t xml:space="preserve">Pain Points: </w:t>
      </w:r>
      <w:r>
        <w:t>Tedious paper registers; repetitive data entry across multiple legacy portals.</w:t>
      </w:r>
    </w:p>
    <w:p>
      <w:pPr>
        <w:pStyle w:val="ListBullet"/>
        <w:spacing w:after="40"/>
      </w:pPr>
      <w:r>
        <w:rPr>
          <w:b/>
        </w:rPr>
        <w:t xml:space="preserve">Target Platform Feature: </w:t>
      </w:r>
      <w:r>
        <w:t>One-click bulk mark upload via Excel/CSV with auto-validation and instant digital sign-off.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Persona 3: Rajesh Kulkarni / Dr. Kapoor (Controller of Examinations &amp; Academic Administrator)</w:t>
      </w:r>
    </w:p>
    <w:p>
      <w:pPr>
        <w:pStyle w:val="ListBullet"/>
        <w:spacing w:after="40"/>
      </w:pPr>
      <w:r>
        <w:rPr>
          <w:b/>
        </w:rPr>
        <w:t xml:space="preserve">Objectives: </w:t>
      </w:r>
      <w:r>
        <w:t>Guarantee zero grade tampering, automate CGPA computation, publish results error-free within deadlines.</w:t>
      </w:r>
    </w:p>
    <w:p>
      <w:pPr>
        <w:pStyle w:val="ListBullet"/>
        <w:spacing w:after="40"/>
      </w:pPr>
      <w:r>
        <w:rPr>
          <w:b/>
        </w:rPr>
        <w:t xml:space="preserve">Pain Points: </w:t>
      </w:r>
      <w:r>
        <w:t>Manual calculation errors in spreadsheets; security risks during mark compilation.</w:t>
      </w:r>
    </w:p>
    <w:p>
      <w:pPr>
        <w:pStyle w:val="ListBullet"/>
        <w:spacing w:after="40"/>
      </w:pPr>
      <w:r>
        <w:rPr>
          <w:b/>
        </w:rPr>
        <w:t xml:space="preserve">Target Platform Feature: </w:t>
      </w:r>
      <w:r>
        <w:t>Cryptographically locked evaluation module with automated CGPA computation, immutable audit logs, and 1-click PDF transcript export.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7.2 Stakeholder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276"/>
          </w:tcPr>
          <w:p>
            <w:r>
              <w:rPr>
                <w:b/>
                <w:color w:val="FFFFFF"/>
              </w:rPr>
              <w:t>Stakeholder Group</w:t>
            </w:r>
          </w:p>
        </w:tc>
        <w:tc>
          <w:tcPr>
            <w:tcW w:type="dxa" w:w="3120"/>
            <w:shd w:fill="1A5276"/>
          </w:tcPr>
          <w:p>
            <w:r>
              <w:rPr>
                <w:b/>
                <w:color w:val="FFFFFF"/>
              </w:rPr>
              <w:t>Key Roles</w:t>
            </w:r>
          </w:p>
        </w:tc>
        <w:tc>
          <w:tcPr>
            <w:tcW w:type="dxa" w:w="3120"/>
            <w:shd w:fill="1A5276"/>
          </w:tcPr>
          <w:p>
            <w:r>
              <w:rPr>
                <w:b/>
                <w:color w:val="FFFFFF"/>
              </w:rPr>
              <w:t>Core Responsibilities &amp; Platform Expectations</w:t>
            </w:r>
          </w:p>
        </w:tc>
      </w:tr>
      <w:tr>
        <w:tc>
          <w:tcPr>
            <w:tcW w:type="dxa" w:w="3120"/>
            <w:shd w:fill="F4F6F7"/>
          </w:tcPr>
          <w:p>
            <w:r>
              <w:t>Academic End-Users &amp; Business Stakeholders</w:t>
            </w:r>
          </w:p>
        </w:tc>
        <w:tc>
          <w:tcPr>
            <w:tcW w:type="dxa" w:w="3120"/>
            <w:shd w:fill="F4F6F7"/>
          </w:tcPr>
          <w:p>
            <w:r>
              <w:t>Students, Teaching Faculty, Deans, Registrar Office, Exam Cell</w:t>
            </w:r>
          </w:p>
        </w:tc>
        <w:tc>
          <w:tcPr>
            <w:tcW w:type="dxa" w:w="3120"/>
            <w:shd w:fill="F4F6F7"/>
          </w:tcPr>
          <w:p>
            <w:r>
              <w:t>Seamless course registration, real-time attendance tracking, grade submission, academic compliance.</w:t>
            </w:r>
          </w:p>
        </w:tc>
      </w:tr>
      <w:tr>
        <w:tc>
          <w:tcPr>
            <w:tcW w:type="dxa" w:w="3120"/>
          </w:tcPr>
          <w:p>
            <w:r>
              <w:t>Administrative Operations</w:t>
            </w:r>
          </w:p>
        </w:tc>
        <w:tc>
          <w:tcPr>
            <w:tcW w:type="dxa" w:w="3120"/>
          </w:tcPr>
          <w:p>
            <w:r>
              <w:t>Academic Registrar, Exam Cell, HODs</w:t>
            </w:r>
          </w:p>
        </w:tc>
        <w:tc>
          <w:tcPr>
            <w:tcW w:type="dxa" w:w="3120"/>
          </w:tcPr>
          <w:p>
            <w:r>
              <w:t>Curriculum configuration, exam timetable setup, grade freeze approval, policy enforcement.</w:t>
            </w:r>
          </w:p>
        </w:tc>
      </w:tr>
      <w:tr>
        <w:tc>
          <w:tcPr>
            <w:tcW w:type="dxa" w:w="3120"/>
            <w:shd w:fill="F4F6F7"/>
          </w:tcPr>
          <w:p>
            <w:r>
              <w:t>Technical &amp; Engineering Stakeholders</w:t>
            </w:r>
          </w:p>
        </w:tc>
        <w:tc>
          <w:tcPr>
            <w:tcW w:type="dxa" w:w="3120"/>
            <w:shd w:fill="F4F6F7"/>
          </w:tcPr>
          <w:p>
            <w:r>
              <w:t>Software Developers, UI/UX Designers, QA Engineers</w:t>
            </w:r>
          </w:p>
        </w:tc>
        <w:tc>
          <w:tcPr>
            <w:tcW w:type="dxa" w:w="3120"/>
            <w:shd w:fill="F4F6F7"/>
          </w:tcPr>
          <w:p>
            <w:r>
              <w:t>Architect codebase, build responsive frontends, write unit tests, ensure high overall quality.</w:t>
            </w:r>
          </w:p>
        </w:tc>
      </w:tr>
      <w:tr>
        <w:tc>
          <w:tcPr>
            <w:tcW w:type="dxa" w:w="3120"/>
          </w:tcPr>
          <w:p>
            <w:r>
              <w:t>Operations Stakeholders</w:t>
            </w:r>
          </w:p>
        </w:tc>
        <w:tc>
          <w:tcPr>
            <w:tcW w:type="dxa" w:w="3120"/>
          </w:tcPr>
          <w:p>
            <w:r>
              <w:t>DevOps Team, IT Admin, Database Administrators, Security Lead</w:t>
            </w:r>
          </w:p>
        </w:tc>
        <w:tc>
          <w:tcPr>
            <w:tcW w:type="dxa" w:w="3120"/>
          </w:tcPr>
          <w:p>
            <w:r>
              <w:t>System availability (99.95%), RBAC enforcement, database backup integrity, continuous monitoring.</w:t>
            </w:r>
          </w:p>
        </w:tc>
      </w:tr>
    </w:tbl>
    <w:p>
      <w:pPr>
        <w:keepNext/>
        <w:spacing w:before="360" w:after="120"/>
      </w:pPr>
      <w:r>
        <w:rPr>
          <w:b/>
          <w:color w:val="1A5276"/>
          <w:sz w:val="32"/>
        </w:rPr>
        <w:t>8. Functional (FRS) &amp; Non-Functional (NFRS) Requirements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8.1 Functional Requirements Specification (FRS)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276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2340"/>
            <w:shd w:fill="1A5276"/>
          </w:tcPr>
          <w:p>
            <w:r>
              <w:rPr>
                <w:b/>
                <w:color w:val="FFFFFF"/>
              </w:rPr>
              <w:t>Module Name</w:t>
            </w:r>
          </w:p>
        </w:tc>
        <w:tc>
          <w:tcPr>
            <w:tcW w:type="dxa" w:w="2340"/>
            <w:shd w:fill="1A527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fill="1A5276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340"/>
            <w:shd w:fill="F4F6F7"/>
          </w:tcPr>
          <w:p>
            <w:r>
              <w:t>FR-01</w:t>
            </w:r>
          </w:p>
        </w:tc>
        <w:tc>
          <w:tcPr>
            <w:tcW w:type="dxa" w:w="2340"/>
            <w:shd w:fill="F4F6F7"/>
          </w:tcPr>
          <w:p>
            <w:r>
              <w:t>Authentication &amp; RBAC</w:t>
            </w:r>
          </w:p>
        </w:tc>
        <w:tc>
          <w:tcPr>
            <w:tcW w:type="dxa" w:w="2340"/>
            <w:shd w:fill="F4F6F7"/>
          </w:tcPr>
          <w:p>
            <w:r>
              <w:t>Secure Role-Based Access Control enforcing Multi-Factor Authentication (MFA).</w:t>
            </w:r>
          </w:p>
        </w:tc>
        <w:tc>
          <w:tcPr>
            <w:tcW w:type="dxa" w:w="2340"/>
            <w:shd w:fill="F4F6F7"/>
          </w:tcPr>
          <w:p>
            <w:r>
              <w:t>Critical</w:t>
            </w:r>
          </w:p>
        </w:tc>
      </w:tr>
      <w:tr>
        <w:tc>
          <w:tcPr>
            <w:tcW w:type="dxa" w:w="2340"/>
          </w:tcPr>
          <w:p>
            <w:r>
              <w:t>FR-02</w:t>
            </w:r>
          </w:p>
        </w:tc>
        <w:tc>
          <w:tcPr>
            <w:tcW w:type="dxa" w:w="2340"/>
          </w:tcPr>
          <w:p>
            <w:r>
              <w:t>Student Onboarding</w:t>
            </w:r>
          </w:p>
        </w:tc>
        <w:tc>
          <w:tcPr>
            <w:tcW w:type="dxa" w:w="2340"/>
          </w:tcPr>
          <w:p>
            <w:r>
              <w:t>Full student profile lifecycle management including demographic data and URN generation.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</w:tr>
      <w:tr>
        <w:tc>
          <w:tcPr>
            <w:tcW w:type="dxa" w:w="2340"/>
            <w:shd w:fill="F4F6F7"/>
          </w:tcPr>
          <w:p>
            <w:r>
              <w:t>FR-03</w:t>
            </w:r>
          </w:p>
        </w:tc>
        <w:tc>
          <w:tcPr>
            <w:tcW w:type="dxa" w:w="2340"/>
            <w:shd w:fill="F4F6F7"/>
          </w:tcPr>
          <w:p>
            <w:r>
              <w:t>Course Catalog</w:t>
            </w:r>
          </w:p>
        </w:tc>
        <w:tc>
          <w:tcPr>
            <w:tcW w:type="dxa" w:w="2340"/>
            <w:shd w:fill="F4F6F7"/>
          </w:tcPr>
          <w:p>
            <w:r>
              <w:t>Dynamic course creation, credit assignment, prerequisite rule engine, and department mapping.</w:t>
            </w:r>
          </w:p>
        </w:tc>
        <w:tc>
          <w:tcPr>
            <w:tcW w:type="dxa" w:w="2340"/>
            <w:shd w:fill="F4F6F7"/>
          </w:tcPr>
          <w:p>
            <w:r>
              <w:t>Critical</w:t>
            </w:r>
          </w:p>
        </w:tc>
      </w:tr>
      <w:tr>
        <w:tc>
          <w:tcPr>
            <w:tcW w:type="dxa" w:w="2340"/>
          </w:tcPr>
          <w:p>
            <w:r>
              <w:t>FR-04</w:t>
            </w:r>
          </w:p>
        </w:tc>
        <w:tc>
          <w:tcPr>
            <w:tcW w:type="dxa" w:w="2340"/>
          </w:tcPr>
          <w:p>
            <w:r>
              <w:t>Course Enrollment</w:t>
            </w:r>
          </w:p>
        </w:tc>
        <w:tc>
          <w:tcPr>
            <w:tcW w:type="dxa" w:w="2340"/>
          </w:tcPr>
          <w:p>
            <w:r>
              <w:t>Self-service course registration portal with real-time seat locks and schedule conflict detection.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</w:tr>
      <w:tr>
        <w:tc>
          <w:tcPr>
            <w:tcW w:type="dxa" w:w="2340"/>
            <w:shd w:fill="F4F6F7"/>
          </w:tcPr>
          <w:p>
            <w:r>
              <w:t>FR-05</w:t>
            </w:r>
          </w:p>
        </w:tc>
        <w:tc>
          <w:tcPr>
            <w:tcW w:type="dxa" w:w="2340"/>
            <w:shd w:fill="F4F6F7"/>
          </w:tcPr>
          <w:p>
            <w:r>
              <w:t>Attendance Engine</w:t>
            </w:r>
          </w:p>
        </w:tc>
        <w:tc>
          <w:tcPr>
            <w:tcW w:type="dxa" w:w="2340"/>
            <w:shd w:fill="F4F6F7"/>
          </w:tcPr>
          <w:p>
            <w:r>
              <w:t>Daily attendance recording with dynamic threshold computation and warning triggers.</w:t>
            </w:r>
          </w:p>
        </w:tc>
        <w:tc>
          <w:tcPr>
            <w:tcW w:type="dxa" w:w="2340"/>
            <w:shd w:fill="F4F6F7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FR-06</w:t>
            </w:r>
          </w:p>
        </w:tc>
        <w:tc>
          <w:tcPr>
            <w:tcW w:type="dxa" w:w="2340"/>
          </w:tcPr>
          <w:p>
            <w:r>
              <w:t>Exam &amp; Evaluation</w:t>
            </w:r>
          </w:p>
        </w:tc>
        <w:tc>
          <w:tcPr>
            <w:tcW w:type="dxa" w:w="2340"/>
          </w:tcPr>
          <w:p>
            <w:r>
              <w:t>Encrypted mark entry portal for internal/external exams with automated grade mapping.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</w:tr>
      <w:tr>
        <w:tc>
          <w:tcPr>
            <w:tcW w:type="dxa" w:w="2340"/>
            <w:shd w:fill="F4F6F7"/>
          </w:tcPr>
          <w:p>
            <w:r>
              <w:t>FR-07</w:t>
            </w:r>
          </w:p>
        </w:tc>
        <w:tc>
          <w:tcPr>
            <w:tcW w:type="dxa" w:w="2340"/>
            <w:shd w:fill="F4F6F7"/>
          </w:tcPr>
          <w:p>
            <w:r>
              <w:t>GPA / CGPA Computation</w:t>
            </w:r>
          </w:p>
        </w:tc>
        <w:tc>
          <w:tcPr>
            <w:tcW w:type="dxa" w:w="2340"/>
            <w:shd w:fill="F4F6F7"/>
          </w:tcPr>
          <w:p>
            <w:r>
              <w:t>Automated computation engine evaluating Grade Points and cumulative performance.</w:t>
            </w:r>
          </w:p>
        </w:tc>
        <w:tc>
          <w:tcPr>
            <w:tcW w:type="dxa" w:w="2340"/>
            <w:shd w:fill="F4F6F7"/>
          </w:tcPr>
          <w:p>
            <w:r>
              <w:t>Critical</w:t>
            </w:r>
          </w:p>
        </w:tc>
      </w:tr>
      <w:tr>
        <w:tc>
          <w:tcPr>
            <w:tcW w:type="dxa" w:w="2340"/>
          </w:tcPr>
          <w:p>
            <w:r>
              <w:t>FR-08</w:t>
            </w:r>
          </w:p>
        </w:tc>
        <w:tc>
          <w:tcPr>
            <w:tcW w:type="dxa" w:w="2340"/>
          </w:tcPr>
          <w:p>
            <w:r>
              <w:t>Transcript Generation</w:t>
            </w:r>
          </w:p>
        </w:tc>
        <w:tc>
          <w:tcPr>
            <w:tcW w:type="dxa" w:w="2340"/>
          </w:tcPr>
          <w:p>
            <w:r>
              <w:t>Automated generation of tamper-proof official PDF transcripts embedded with dynamic QR codes.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  <w:shd w:fill="F4F6F7"/>
          </w:tcPr>
          <w:p>
            <w:r>
              <w:t>FR-09</w:t>
            </w:r>
          </w:p>
        </w:tc>
        <w:tc>
          <w:tcPr>
            <w:tcW w:type="dxa" w:w="2340"/>
            <w:shd w:fill="F4F6F7"/>
          </w:tcPr>
          <w:p>
            <w:r>
              <w:t>Notifications</w:t>
            </w:r>
          </w:p>
        </w:tc>
        <w:tc>
          <w:tcPr>
            <w:tcW w:type="dxa" w:w="2340"/>
            <w:shd w:fill="F4F6F7"/>
          </w:tcPr>
          <w:p>
            <w:r>
              <w:t>Event-driven alert service delivering email/push alerts for attendance and grades.</w:t>
            </w:r>
          </w:p>
        </w:tc>
        <w:tc>
          <w:tcPr>
            <w:tcW w:type="dxa" w:w="2340"/>
            <w:shd w:fill="F4F6F7"/>
          </w:tcPr>
          <w:p>
            <w:r>
              <w:t>Medium</w:t>
            </w:r>
          </w:p>
        </w:tc>
      </w:tr>
      <w:tr>
        <w:tc>
          <w:tcPr>
            <w:tcW w:type="dxa" w:w="2340"/>
          </w:tcPr>
          <w:p>
            <w:r>
              <w:t>FR-10</w:t>
            </w:r>
          </w:p>
        </w:tc>
        <w:tc>
          <w:tcPr>
            <w:tcW w:type="dxa" w:w="2340"/>
          </w:tcPr>
          <w:p>
            <w:r>
              <w:t>Executive Analytics</w:t>
            </w:r>
          </w:p>
        </w:tc>
        <w:tc>
          <w:tcPr>
            <w:tcW w:type="dxa" w:w="2340"/>
          </w:tcPr>
          <w:p>
            <w:r>
              <w:t>Dashboard providing real-time departmental KPIs and pass/fail metrics with PDF export.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</w:tbl>
    <w:p>
      <w:pPr>
        <w:keepNext/>
        <w:spacing w:before="280" w:after="80"/>
      </w:pPr>
      <w:r>
        <w:rPr>
          <w:b/>
          <w:color w:val="2980B9"/>
          <w:sz w:val="26"/>
        </w:rPr>
        <w:t>8.2 Non-Functional Requirements Specification (NFRS)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276"/>
          </w:tcPr>
          <w:p>
            <w:r>
              <w:rPr>
                <w:b/>
                <w:color w:val="FFFFFF"/>
              </w:rPr>
              <w:t>NFR Category</w:t>
            </w:r>
          </w:p>
        </w:tc>
        <w:tc>
          <w:tcPr>
            <w:tcW w:type="dxa" w:w="3120"/>
            <w:shd w:fill="1A5276"/>
          </w:tcPr>
          <w:p>
            <w:r>
              <w:rPr>
                <w:b/>
                <w:color w:val="FFFFFF"/>
              </w:rPr>
              <w:t>Target Standard</w:t>
            </w:r>
          </w:p>
        </w:tc>
        <w:tc>
          <w:tcPr>
            <w:tcW w:type="dxa" w:w="3120"/>
            <w:shd w:fill="1A5276"/>
          </w:tcPr>
          <w:p>
            <w:r>
              <w:rPr>
                <w:b/>
                <w:color w:val="FFFFFF"/>
              </w:rPr>
              <w:t>Engineering Specification</w:t>
            </w:r>
          </w:p>
        </w:tc>
      </w:tr>
      <w:tr>
        <w:tc>
          <w:tcPr>
            <w:tcW w:type="dxa" w:w="3120"/>
            <w:shd w:fill="F4F6F7"/>
          </w:tcPr>
          <w:p>
            <w:r>
              <w:t>NFR-01: Security</w:t>
            </w:r>
          </w:p>
        </w:tc>
        <w:tc>
          <w:tcPr>
            <w:tcW w:type="dxa" w:w="3120"/>
            <w:shd w:fill="F4F6F7"/>
          </w:tcPr>
          <w:p>
            <w:r>
              <w:t>Zero-Trust Security Model</w:t>
            </w:r>
          </w:p>
        </w:tc>
        <w:tc>
          <w:tcPr>
            <w:tcW w:type="dxa" w:w="3120"/>
            <w:shd w:fill="F4F6F7"/>
          </w:tcPr>
          <w:p>
            <w:r>
              <w:t>AES-256 encryption at rest, TLS 1.3 in transit, Argon2id/Bcrypt password hashing, JWT stateless tokens.</w:t>
            </w:r>
          </w:p>
        </w:tc>
      </w:tr>
      <w:tr>
        <w:tc>
          <w:tcPr>
            <w:tcW w:type="dxa" w:w="3120"/>
          </w:tcPr>
          <w:p>
            <w:r>
              <w:t>NFR-02: Performance</w:t>
            </w:r>
          </w:p>
        </w:tc>
        <w:tc>
          <w:tcPr>
            <w:tcW w:type="dxa" w:w="3120"/>
          </w:tcPr>
          <w:p>
            <w:r>
              <w:t>Sub-300ms API Latency</w:t>
            </w:r>
          </w:p>
        </w:tc>
        <w:tc>
          <w:tcPr>
            <w:tcW w:type="dxa" w:w="3120"/>
          </w:tcPr>
          <w:p>
            <w:r>
              <w:t>Database queries optimized via indexing and Redis caching to ensure p95 latency &lt; 300ms under 2,000 active users.</w:t>
            </w:r>
          </w:p>
        </w:tc>
      </w:tr>
      <w:tr>
        <w:tc>
          <w:tcPr>
            <w:tcW w:type="dxa" w:w="3120"/>
            <w:shd w:fill="F4F6F7"/>
          </w:tcPr>
          <w:p>
            <w:r>
              <w:t>NFR-03: Scalability</w:t>
            </w:r>
          </w:p>
        </w:tc>
        <w:tc>
          <w:tcPr>
            <w:tcW w:type="dxa" w:w="3120"/>
            <w:shd w:fill="F4F6F7"/>
          </w:tcPr>
          <w:p>
            <w:r>
              <w:t>Horizontal Pod Scaling</w:t>
            </w:r>
          </w:p>
        </w:tc>
        <w:tc>
          <w:tcPr>
            <w:tcW w:type="dxa" w:w="3120"/>
            <w:shd w:fill="F4F6F7"/>
          </w:tcPr>
          <w:p>
            <w:r>
              <w:t>Containerized microservices auto-scaling dynamically from 3 to 20 instances during peak load.</w:t>
            </w:r>
          </w:p>
        </w:tc>
      </w:tr>
      <w:tr>
        <w:tc>
          <w:tcPr>
            <w:tcW w:type="dxa" w:w="3120"/>
          </w:tcPr>
          <w:p>
            <w:r>
              <w:t>NFR-04: Availability</w:t>
            </w:r>
          </w:p>
        </w:tc>
        <w:tc>
          <w:tcPr>
            <w:tcW w:type="dxa" w:w="3120"/>
          </w:tcPr>
          <w:p>
            <w:r>
              <w:t>99.95% High Availability</w:t>
            </w:r>
          </w:p>
        </w:tc>
        <w:tc>
          <w:tcPr>
            <w:tcW w:type="dxa" w:w="3120"/>
          </w:tcPr>
          <w:p>
            <w:r>
              <w:t>Multi-AZ cloud deployment with automated health probes and sub-10-second failover execution.</w:t>
            </w:r>
          </w:p>
        </w:tc>
      </w:tr>
      <w:tr>
        <w:tc>
          <w:tcPr>
            <w:tcW w:type="dxa" w:w="3120"/>
            <w:shd w:fill="F4F6F7"/>
          </w:tcPr>
          <w:p>
            <w:r>
              <w:t>NFR-05: Maintainability</w:t>
            </w:r>
          </w:p>
        </w:tc>
        <w:tc>
          <w:tcPr>
            <w:tcW w:type="dxa" w:w="3120"/>
            <w:shd w:fill="F4F6F7"/>
          </w:tcPr>
          <w:p>
            <w:r>
              <w:t>Modular Microservices</w:t>
            </w:r>
          </w:p>
        </w:tc>
        <w:tc>
          <w:tcPr>
            <w:tcW w:type="dxa" w:w="3120"/>
            <w:shd w:fill="F4F6F7"/>
          </w:tcPr>
          <w:p>
            <w:r>
              <w:t>Strict separation of concerns, 85%+ unit test coverage, domain-driven design, and IaC automation.</w:t>
            </w:r>
          </w:p>
        </w:tc>
      </w:tr>
      <w:tr>
        <w:tc>
          <w:tcPr>
            <w:tcW w:type="dxa" w:w="3120"/>
          </w:tcPr>
          <w:p>
            <w:r>
              <w:t>NFR-06: Accessibility</w:t>
            </w:r>
          </w:p>
        </w:tc>
        <w:tc>
          <w:tcPr>
            <w:tcW w:type="dxa" w:w="3120"/>
          </w:tcPr>
          <w:p>
            <w:r>
              <w:t>WCAG 2.1 AA Compliance</w:t>
            </w:r>
          </w:p>
        </w:tc>
        <w:tc>
          <w:tcPr>
            <w:tcW w:type="dxa" w:w="3120"/>
          </w:tcPr>
          <w:p>
            <w:r>
              <w:t>Responsive UI supporting screen readers, keyboard navigation, and contrast ratio compliance.</w:t>
            </w:r>
          </w:p>
        </w:tc>
      </w:tr>
    </w:tbl>
    <w:p>
      <w:pPr>
        <w:keepNext/>
        <w:spacing w:before="360" w:after="120"/>
      </w:pPr>
      <w:r>
        <w:rPr>
          <w:b/>
          <w:color w:val="1A5276"/>
          <w:sz w:val="32"/>
        </w:rPr>
        <w:t>9. Product Vision &amp; MVP Scope</w:t>
      </w:r>
    </w:p>
    <w:p>
      <w:r>
        <w:rPr>
          <w:b/>
        </w:rPr>
        <w:t xml:space="preserve">Product Vision Statement: </w:t>
      </w:r>
      <w:r>
        <w:t>"To empower higher education institutions with a unified, cloud-native Academic Management Platform that eliminates administrative friction, ensures faultless evaluation processing, and delivers an intuitive, accessible digital experience for students and faculty."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9.1 Minimum Viable Product (MVP) Scope</w:t>
      </w:r>
    </w:p>
    <w:p>
      <w:r>
        <w:t>To maintain agility, advanced capabilities are deferred. The MVP Scope (Sprint 1–4) includes:</w:t>
      </w:r>
    </w:p>
    <w:p>
      <w:pPr>
        <w:pStyle w:val="ListBullet"/>
        <w:spacing w:after="40"/>
      </w:pPr>
      <w:r>
        <w:t>User Authentication &amp; Role-Based Access Control (RBAC)</w:t>
      </w:r>
    </w:p>
    <w:p>
      <w:pPr>
        <w:pStyle w:val="ListBullet"/>
        <w:spacing w:after="40"/>
      </w:pPr>
      <w:r>
        <w:t>Student Admission &amp; Profile Management</w:t>
      </w:r>
    </w:p>
    <w:p>
      <w:pPr>
        <w:pStyle w:val="ListBullet"/>
        <w:spacing w:after="40"/>
      </w:pPr>
      <w:r>
        <w:t>Course Registration &amp; Attendance Logging Module</w:t>
      </w:r>
    </w:p>
    <w:p>
      <w:pPr>
        <w:pStyle w:val="ListBullet"/>
        <w:spacing w:after="40"/>
      </w:pPr>
      <w:r>
        <w:t>Mark Entry Portal &amp; Automated GPA/CGPA Result Engine</w:t>
      </w:r>
    </w:p>
    <w:p>
      <w:pPr>
        <w:pStyle w:val="ListBullet"/>
        <w:spacing w:after="40"/>
      </w:pPr>
      <w:r>
        <w:t>Standard PDF Transcript Generation &amp; QR Export</w:t>
      </w:r>
    </w:p>
    <w:p>
      <w:pPr>
        <w:keepNext/>
        <w:spacing w:before="360" w:after="120"/>
      </w:pPr>
      <w:r>
        <w:rPr>
          <w:b/>
          <w:color w:val="1A5276"/>
          <w:sz w:val="32"/>
        </w:rPr>
        <w:t>10. Multi-Phase Product Engineering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5276"/>
          </w:tcPr>
          <w:p>
            <w:r>
              <w:rPr>
                <w:b/>
                <w:color w:val="FFFFFF"/>
              </w:rPr>
              <w:t>Phase Name &amp; Focus Area</w:t>
            </w:r>
          </w:p>
        </w:tc>
        <w:tc>
          <w:tcPr>
            <w:tcW w:type="dxa" w:w="4680"/>
            <w:shd w:fill="1A5276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4680"/>
            <w:shd w:fill="F4F6F7"/>
          </w:tcPr>
          <w:p>
            <w:r>
              <w:t>Phase 1: Product Discovery</w:t>
              <w:br/>
              <w:t>Domain analysis, Design Thinking workshops, FRS/NFRS finalization, Git setup.</w:t>
            </w:r>
          </w:p>
        </w:tc>
        <w:tc>
          <w:tcPr>
            <w:tcW w:type="dxa" w:w="4680"/>
            <w:shd w:fill="F4F6F7"/>
          </w:tcPr>
          <w:p>
            <w:r>
              <w:t>Sprint 1</w:t>
            </w:r>
          </w:p>
        </w:tc>
      </w:tr>
      <w:tr>
        <w:tc>
          <w:tcPr>
            <w:tcW w:type="dxa" w:w="4680"/>
          </w:tcPr>
          <w:p>
            <w:r>
              <w:t>Phase 2: Architecture &amp; Schema</w:t>
              <w:br/>
              <w:t>Data modeling, RESTful API contract definition, UI design system wireframing.</w:t>
            </w:r>
          </w:p>
        </w:tc>
        <w:tc>
          <w:tcPr>
            <w:tcW w:type="dxa" w:w="4680"/>
          </w:tcPr>
          <w:p>
            <w:r>
              <w:t>Sprint 2</w:t>
            </w:r>
          </w:p>
        </w:tc>
      </w:tr>
      <w:tr>
        <w:tc>
          <w:tcPr>
            <w:tcW w:type="dxa" w:w="4680"/>
            <w:shd w:fill="F4F6F7"/>
          </w:tcPr>
          <w:p>
            <w:r>
              <w:t>Phase 3: MVP Core Backend</w:t>
              <w:br/>
              <w:t>Authentication API, Student &amp; Course CRUD services, Attendance Engine development.</w:t>
            </w:r>
          </w:p>
        </w:tc>
        <w:tc>
          <w:tcPr>
            <w:tcW w:type="dxa" w:w="4680"/>
            <w:shd w:fill="F4F6F7"/>
          </w:tcPr>
          <w:p>
            <w:r>
              <w:t>Sprint 3–4</w:t>
            </w:r>
          </w:p>
        </w:tc>
      </w:tr>
      <w:tr>
        <w:tc>
          <w:tcPr>
            <w:tcW w:type="dxa" w:w="4680"/>
          </w:tcPr>
          <w:p>
            <w:r>
              <w:t>Phase 4: Frontend Integration</w:t>
              <w:br/>
              <w:t>Responsive Web Portal development for Student, Faculty, and Admin interfaces.</w:t>
            </w:r>
          </w:p>
        </w:tc>
        <w:tc>
          <w:tcPr>
            <w:tcW w:type="dxa" w:w="4680"/>
          </w:tcPr>
          <w:p>
            <w:r>
              <w:t>Sprint 5–6</w:t>
            </w:r>
          </w:p>
        </w:tc>
      </w:tr>
      <w:tr>
        <w:tc>
          <w:tcPr>
            <w:tcW w:type="dxa" w:w="4680"/>
            <w:shd w:fill="F4F6F7"/>
          </w:tcPr>
          <w:p>
            <w:r>
              <w:t>Phase 5: DevOps Automation</w:t>
              <w:br/>
              <w:t>Docker containerization, GitHub Actions CI/CD pipelines, automated testing suite.</w:t>
            </w:r>
          </w:p>
        </w:tc>
        <w:tc>
          <w:tcPr>
            <w:tcW w:type="dxa" w:w="4680"/>
            <w:shd w:fill="F4F6F7"/>
          </w:tcPr>
          <w:p>
            <w:r>
              <w:t>Sprint 7</w:t>
            </w:r>
          </w:p>
        </w:tc>
      </w:tr>
      <w:tr>
        <w:tc>
          <w:tcPr>
            <w:tcW w:type="dxa" w:w="4680"/>
          </w:tcPr>
          <w:p>
            <w:r>
              <w:t>Phase 6: Infrastructure as Code</w:t>
              <w:br/>
              <w:t>Terraform cloud provisioning, Ansible playbook configuration, DB migration runs.</w:t>
            </w:r>
          </w:p>
        </w:tc>
        <w:tc>
          <w:tcPr>
            <w:tcW w:type="dxa" w:w="4680"/>
          </w:tcPr>
          <w:p>
            <w:r>
              <w:t>Sprint 8</w:t>
            </w:r>
          </w:p>
        </w:tc>
      </w:tr>
      <w:tr>
        <w:tc>
          <w:tcPr>
            <w:tcW w:type="dxa" w:w="4680"/>
            <w:shd w:fill="F4F6F7"/>
          </w:tcPr>
          <w:p>
            <w:r>
              <w:t>Phase 7: Production &amp; Monitoring</w:t>
              <w:br/>
              <w:t>Kubernetes deployment, Prometheus metrics, Grafana dashboards, security auditing.</w:t>
            </w:r>
          </w:p>
        </w:tc>
        <w:tc>
          <w:tcPr>
            <w:tcW w:type="dxa" w:w="4680"/>
            <w:shd w:fill="F4F6F7"/>
          </w:tcPr>
          <w:p>
            <w:r>
              <w:t>Sprint 9</w:t>
            </w:r>
          </w:p>
        </w:tc>
      </w:tr>
    </w:tbl>
    <w:p>
      <w:pPr>
        <w:keepNext/>
        <w:spacing w:before="360" w:after="120"/>
      </w:pPr>
      <w:r>
        <w:rPr>
          <w:b/>
          <w:color w:val="1A5276"/>
          <w:sz w:val="32"/>
        </w:rPr>
        <w:t>11. System Architecture &amp; Repository Structure</w:t>
      </w:r>
    </w:p>
    <w:p>
      <w:pPr>
        <w:keepNext/>
        <w:spacing w:before="280" w:after="80"/>
      </w:pPr>
      <w:r>
        <w:rPr>
          <w:b/>
          <w:color w:val="2980B9"/>
          <w:sz w:val="26"/>
        </w:rPr>
        <w:t>11.1 Repository Hierarchy</w:t>
      </w:r>
    </w:p>
    <w:p>
      <w:pPr>
        <w:ind w:left="288"/>
        <w:shd w:fill="F2F4F4"/>
      </w:pPr>
      <w:r>
        <w:rPr>
          <w:rFonts w:ascii="Consolas" w:hAnsi="Consolas"/>
          <w:sz w:val="19"/>
        </w:rPr>
        <w:t>edutrack-enterprise-platform/</w:t>
        <w:br/>
        <w:t>├── .github/workflows/             # CI/CD GitHub Actions pipelines</w:t>
        <w:br/>
        <w:t>├── app/                           # Application Source Code</w:t>
        <w:br/>
        <w:t>│   ├── api/                       # REST API routes &amp; controllers</w:t>
        <w:br/>
        <w:t>│   ├── core/                      # Security &amp; DB configuration</w:t>
        <w:br/>
        <w:t>│   ├── models/                    # Database ORM models</w:t>
        <w:br/>
        <w:t>│   ├── services/                  # Grade engine &amp; attendance logic</w:t>
        <w:br/>
        <w:t>│   └── tests/                     # Test automation suite</w:t>
        <w:br/>
        <w:t>├── docs/                          # Architecture &amp; Requirements specs</w:t>
        <w:br/>
        <w:t>├── docker/                        # Dockerfiles &amp; compose files</w:t>
        <w:br/>
        <w:t>├── kubernetes/                    # K8s manifests &amp; ingress configs</w:t>
        <w:br/>
        <w:t>├── terraform/                     # Cloud infrastructure code</w:t>
        <w:br/>
        <w:t>├── ansible/                       # Configuration Management Playbooks</w:t>
        <w:br/>
        <w:t>├── monitoring/                    # Prometheus &amp; Grafana Dashboard Configs</w:t>
        <w:br/>
        <w:t>└── README.md                      # Onboarding &amp; setup guide</w:t>
      </w:r>
    </w:p>
    <w:p>
      <w:pPr>
        <w:keepNext/>
        <w:spacing w:before="360" w:after="120"/>
      </w:pPr>
      <w:r>
        <w:rPr>
          <w:b/>
          <w:color w:val="1A5276"/>
          <w:sz w:val="32"/>
        </w:rPr>
        <w:t>Trainer Execution Deliverables Checklist</w:t>
      </w:r>
    </w:p>
    <w:p>
      <w:pPr>
        <w:pStyle w:val="ListBullet"/>
        <w:spacing w:after="40"/>
      </w:pPr>
      <w:r>
        <w:rPr>
          <w:b/>
          <w:color w:val="2980B9"/>
        </w:rPr>
        <w:t xml:space="preserve">[X] </w:t>
      </w:r>
      <w:r>
        <w:t>Business Problem Statement &amp; Business Justification Report</w:t>
      </w:r>
    </w:p>
    <w:p>
      <w:pPr>
        <w:pStyle w:val="ListBullet"/>
        <w:spacing w:after="40"/>
      </w:pPr>
      <w:r>
        <w:rPr>
          <w:b/>
          <w:color w:val="2980B9"/>
        </w:rPr>
        <w:t xml:space="preserve">[X] </w:t>
      </w:r>
      <w:r>
        <w:t>Product Vision Statement &amp; MVP Feature Matrix</w:t>
      </w:r>
    </w:p>
    <w:p>
      <w:pPr>
        <w:pStyle w:val="ListBullet"/>
        <w:spacing w:after="40"/>
      </w:pPr>
      <w:r>
        <w:rPr>
          <w:b/>
          <w:color w:val="2980B9"/>
        </w:rPr>
        <w:t xml:space="preserve">[X] </w:t>
      </w:r>
      <w:r>
        <w:t>Stakeholder Responsibility Matrix &amp; User Persona Profiles</w:t>
      </w:r>
    </w:p>
    <w:p>
      <w:pPr>
        <w:pStyle w:val="ListBullet"/>
        <w:spacing w:after="40"/>
      </w:pPr>
      <w:r>
        <w:rPr>
          <w:b/>
          <w:color w:val="2980B9"/>
        </w:rPr>
        <w:t xml:space="preserve">[X] </w:t>
      </w:r>
      <w:r>
        <w:t>Functional (FRS) and Non-Functional (NFRS) Requirements Specs</w:t>
      </w:r>
    </w:p>
    <w:p>
      <w:pPr>
        <w:pStyle w:val="ListBullet"/>
        <w:spacing w:after="40"/>
      </w:pPr>
      <w:r>
        <w:rPr>
          <w:b/>
          <w:color w:val="2980B9"/>
        </w:rPr>
        <w:t xml:space="preserve">[X] </w:t>
      </w:r>
      <w:r>
        <w:t>Design Thinking Report (Empathize, Define, Ideate, Prototype, Test)</w:t>
      </w:r>
    </w:p>
    <w:p>
      <w:pPr>
        <w:pStyle w:val="ListBullet"/>
        <w:spacing w:after="40"/>
      </w:pPr>
      <w:r>
        <w:rPr>
          <w:b/>
          <w:color w:val="2980B9"/>
        </w:rPr>
        <w:t xml:space="preserve">[X] </w:t>
      </w:r>
      <w:r>
        <w:t>IBM Design Thinking &amp; IBM Loop Execution Specs</w:t>
      </w:r>
    </w:p>
    <w:p>
      <w:pPr>
        <w:pStyle w:val="ListBullet"/>
        <w:spacing w:after="40"/>
      </w:pPr>
      <w:r>
        <w:rPr>
          <w:b/>
          <w:color w:val="2980B9"/>
        </w:rPr>
        <w:t xml:space="preserve">[X] </w:t>
      </w:r>
      <w:r>
        <w:t>Multi-Phase Product Engineering Roadmap</w:t>
      </w:r>
    </w:p>
    <w:p>
      <w:pPr>
        <w:pStyle w:val="ListBullet"/>
        <w:spacing w:after="40"/>
      </w:pPr>
      <w:r>
        <w:rPr>
          <w:b/>
          <w:color w:val="2980B9"/>
        </w:rPr>
        <w:t xml:space="preserve">[X] </w:t>
      </w:r>
      <w:r>
        <w:t>System Architecture Diagram Concept Specs</w:t>
      </w:r>
    </w:p>
    <w:p>
      <w:pPr>
        <w:pStyle w:val="ListBullet"/>
        <w:spacing w:after="40"/>
      </w:pPr>
      <w:r>
        <w:rPr>
          <w:b/>
          <w:color w:val="2980B9"/>
        </w:rPr>
        <w:t xml:space="preserve">[X] </w:t>
      </w:r>
      <w:r>
        <w:t>Initialized Git Repository &amp; Standardized Folder Architecture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