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2304A"/>
          <w:sz w:val="56"/>
        </w:rPr>
        <w:t>DHAN NOW</w:t>
      </w:r>
    </w:p>
    <w:p>
      <w:pPr>
        <w:jc w:val="center"/>
      </w:pPr>
      <w:r>
        <w:rPr>
          <w:b/>
          <w:color w:val="167D9A"/>
          <w:sz w:val="36"/>
        </w:rPr>
        <w:t>KEY FACTS STATEMENT (KFS) INFORMATION POLICY</w:t>
      </w:r>
    </w:p>
    <w:p>
      <w:pPr>
        <w:jc w:val="center"/>
      </w:pPr>
      <w:r>
        <w:rPr>
          <w:i/>
        </w:rPr>
        <w:t>Customer information about loan terms, charges, APR and repayment disclosures</w:t>
      </w:r>
    </w:p>
    <w:tbl>
      <w:tblPr>
        <w:tblStyle w:val="TableGrid"/>
        <w:tblW w:type="auto" w:w="0"/>
        <w:tblLook w:firstColumn="1" w:firstRow="1" w:lastColumn="0" w:lastRow="0" w:noHBand="0" w:noVBand="1" w:val="04A0"/>
      </w:tblPr>
      <w:tblGrid>
        <w:gridCol w:w="4968"/>
        <w:gridCol w:w="4968"/>
      </w:tblGrid>
      <w:tr>
        <w:tc>
          <w:tcPr>
            <w:tcW w:type="dxa" w:w="4968"/>
            <w:shd w:fill="EAF2F8"/>
          </w:tcPr>
          <w:p>
            <w:r>
              <w:rPr>
                <w:b/>
              </w:rPr>
              <w:t>Document ID</w:t>
            </w:r>
          </w:p>
        </w:tc>
        <w:tc>
          <w:tcPr>
            <w:tcW w:type="dxa" w:w="4968"/>
          </w:tcPr>
          <w:p>
            <w:r>
              <w:t>DN-LGL-022</w:t>
            </w:r>
          </w:p>
        </w:tc>
      </w:tr>
      <w:tr>
        <w:tc>
          <w:tcPr>
            <w:tcW w:type="dxa" w:w="4968"/>
            <w:shd w:fill="EAF2F8"/>
          </w:tcPr>
          <w:p>
            <w:r>
              <w:rPr>
                <w:b/>
              </w:rPr>
              <w:t>Version</w:t>
            </w:r>
          </w:p>
        </w:tc>
        <w:tc>
          <w:tcPr>
            <w:tcW w:type="dxa" w:w="4968"/>
          </w:tcPr>
          <w:p>
            <w:r>
              <w:t>1.0 — Draft for review</w:t>
            </w:r>
          </w:p>
        </w:tc>
      </w:tr>
      <w:tr>
        <w:tc>
          <w:tcPr>
            <w:tcW w:type="dxa" w:w="4968"/>
            <w:shd w:fill="EAF2F8"/>
          </w:tcPr>
          <w:p>
            <w:r>
              <w:rPr>
                <w:b/>
              </w:rPr>
              <w:t>Effective Date</w:t>
            </w:r>
          </w:p>
        </w:tc>
        <w:tc>
          <w:tcPr>
            <w:tcW w:type="dxa" w:w="4968"/>
          </w:tcPr>
          <w:p>
            <w:r>
              <w:t>[Insert after approval]</w:t>
            </w:r>
          </w:p>
        </w:tc>
      </w:tr>
      <w:tr>
        <w:tc>
          <w:tcPr>
            <w:tcW w:type="dxa" w:w="4968"/>
            <w:shd w:fill="EAF2F8"/>
          </w:tcPr>
          <w:p>
            <w:r>
              <w:rPr>
                <w:b/>
              </w:rPr>
              <w:t>Last Updated</w:t>
            </w:r>
          </w:p>
        </w:tc>
        <w:tc>
          <w:tcPr>
            <w:tcW w:type="dxa" w:w="4968"/>
          </w:tcPr>
          <w:p>
            <w:r>
              <w:t>[Insert after approval]</w:t>
            </w:r>
          </w:p>
        </w:tc>
      </w:tr>
      <w:tr>
        <w:tc>
          <w:tcPr>
            <w:tcW w:type="dxa" w:w="4968"/>
            <w:shd w:fill="EAF2F8"/>
          </w:tcPr>
          <w:p>
            <w:r>
              <w:rPr>
                <w:b/>
              </w:rPr>
              <w:t>Website</w:t>
            </w:r>
          </w:p>
        </w:tc>
        <w:tc>
          <w:tcPr>
            <w:tcW w:type="dxa" w:w="4968"/>
          </w:tcPr>
          <w:p>
            <w:r>
              <w:t>www.dhannow.com</w:t>
            </w:r>
          </w:p>
        </w:tc>
      </w:tr>
      <w:tr>
        <w:tc>
          <w:tcPr>
            <w:tcW w:type="dxa" w:w="4968"/>
            <w:shd w:fill="EAF2F8"/>
          </w:tcPr>
          <w:p>
            <w:r>
              <w:rPr>
                <w:b/>
              </w:rPr>
              <w:t>Customer Support</w:t>
            </w:r>
          </w:p>
        </w:tc>
        <w:tc>
          <w:tcPr>
            <w:tcW w:type="dxa" w:w="4968"/>
          </w:tcPr>
          <w:p>
            <w:r>
              <w:t>9211331169</w:t>
            </w:r>
          </w:p>
        </w:tc>
      </w:tr>
      <w:tr>
        <w:tc>
          <w:tcPr>
            <w:tcW w:type="dxa" w:w="4968"/>
            <w:shd w:fill="EAF2F8"/>
          </w:tcPr>
          <w:p>
            <w:r>
              <w:rPr>
                <w:b/>
              </w:rPr>
              <w:t>Email</w:t>
            </w:r>
          </w:p>
        </w:tc>
        <w:tc>
          <w:tcPr>
            <w:tcW w:type="dxa" w:w="4968"/>
          </w:tcPr>
          <w:p>
            <w:r>
              <w:t>support@dhannow.com</w:t>
            </w:r>
          </w:p>
        </w:tc>
      </w:tr>
    </w:tbl>
    <w:p>
      <w:pPr>
        <w:jc w:val="center"/>
      </w:pPr>
      <w:r>
        <w:rPr>
          <w:b/>
          <w:color w:val="C0504D"/>
        </w:rPr>
        <w:t xml:space="preserve">PUBLICATION CONTROL: </w:t>
      </w:r>
      <w:r>
        <w:t>Draft. Verify lender, legal, pricing and operational details before publication.</w:t>
      </w:r>
    </w:p>
    <w:p>
      <w:r>
        <w:br w:type="page"/>
      </w:r>
    </w:p>
    <w:p>
      <w:pPr>
        <w:pStyle w:val="Heading1"/>
      </w:pPr>
      <w:r>
        <w:t>Document Owner and Entity Details</w:t>
      </w:r>
    </w:p>
    <w:p>
      <w:r>
        <w:rPr>
          <w:b/>
        </w:rPr>
        <w:t xml:space="preserve">Customer-facing brand: </w:t>
      </w:r>
      <w:r>
        <w:t>DHAN NOW</w:t>
      </w:r>
    </w:p>
    <w:p>
      <w:r>
        <w:rPr>
          <w:b/>
        </w:rPr>
        <w:t xml:space="preserve">Company name supplied: </w:t>
      </w:r>
      <w:r>
        <w:t>NAVIX Finance Private Limited</w:t>
      </w:r>
    </w:p>
    <w:p>
      <w:r>
        <w:rPr>
          <w:b/>
        </w:rPr>
        <w:t xml:space="preserve">CIN supplied: </w:t>
      </w:r>
      <w:r>
        <w:t>U64990HR2026PTC144926</w:t>
      </w:r>
    </w:p>
    <w:p>
      <w:r>
        <w:rPr>
          <w:b/>
        </w:rPr>
        <w:t xml:space="preserve">Registered office supplied: </w:t>
      </w:r>
      <w:r>
        <w:t>Plot No. 268, 1st Floor, Sector 33, Islampur, Subhash Chowk, Gurugram, Haryana – 122001, India.</w:t>
      </w:r>
    </w:p>
    <w:p>
      <w:r>
        <w:rPr>
          <w:b/>
        </w:rPr>
        <w:t xml:space="preserve">Customer Support / WhatsApp: </w:t>
      </w:r>
      <w:r>
        <w:t>9211331169</w:t>
      </w:r>
    </w:p>
    <w:p>
      <w:r>
        <w:rPr>
          <w:b/>
        </w:rPr>
        <w:t xml:space="preserve">Support email: </w:t>
      </w:r>
      <w:r>
        <w:t>support@dhannow.com</w:t>
      </w:r>
    </w:p>
    <w:p>
      <w:r>
        <w:rPr>
          <w:b/>
        </w:rPr>
        <w:t xml:space="preserve">General enquiries: </w:t>
      </w:r>
      <w:r>
        <w:t>info@dhannow.com</w:t>
      </w:r>
    </w:p>
    <w:p>
      <w:r>
        <w:rPr>
          <w:b/>
        </w:rPr>
        <w:t xml:space="preserve">Verification note: </w:t>
      </w:r>
      <w:r>
        <w:t>These are supplied project details and must be checked against current records before publication.</w:t>
      </w:r>
    </w:p>
    <w:p>
      <w:pPr>
        <w:pStyle w:val="Heading1"/>
      </w:pPr>
      <w:r>
        <w:t>1. Introduction and Purpose</w:t>
      </w:r>
    </w:p>
    <w:p>
      <w:r>
        <w:t>DHAN NOW aims to provide clear information about loan terms, interest, fees, taxes, repayment obligations and the cost of borrowing. A Key Facts Statement (KFS) is a standardised document containing important information about a specific loan offer. Where applicable under RBI requirements, the regulated lender must provide the KFS in the prescribed format and manner at the required stage before execution of the loan contract.</w:t>
      </w:r>
    </w:p>
    <w:p>
      <w:pPr>
        <w:pStyle w:val="Heading1"/>
      </w:pPr>
      <w:r>
        <w:t>2. What a KFS May Contain</w:t>
      </w:r>
    </w:p>
    <w:p>
      <w:pPr>
        <w:pStyle w:val="ListBullet"/>
      </w:pPr>
      <w:r>
        <w:t>Actual lender’s legal name and borrower / loan reference details.</w:t>
      </w:r>
    </w:p>
    <w:p>
      <w:pPr>
        <w:pStyle w:val="ListBullet"/>
      </w:pPr>
      <w:r>
        <w:t>Approved loan amount and tenure.</w:t>
      </w:r>
    </w:p>
    <w:p>
      <w:pPr>
        <w:pStyle w:val="ListBullet"/>
      </w:pPr>
      <w:r>
        <w:t>Interest rate and calculation method.</w:t>
      </w:r>
    </w:p>
    <w:p>
      <w:pPr>
        <w:pStyle w:val="ListBullet"/>
      </w:pPr>
      <w:r>
        <w:t>Processing fee, taxes and other permitted charges.</w:t>
      </w:r>
    </w:p>
    <w:p>
      <w:pPr>
        <w:pStyle w:val="ListBullet"/>
      </w:pPr>
      <w:r>
        <w:t>Net disbursal and Annual Percentage Rate (APR).</w:t>
      </w:r>
    </w:p>
    <w:p>
      <w:pPr>
        <w:pStyle w:val="ListBullet"/>
      </w:pPr>
      <w:r>
        <w:t>Repayment schedule, instalments and due dates.</w:t>
      </w:r>
    </w:p>
    <w:p>
      <w:pPr>
        <w:pStyle w:val="ListBullet"/>
      </w:pPr>
      <w:r>
        <w:t>Penal charges, where applicable.</w:t>
      </w:r>
    </w:p>
    <w:p>
      <w:pPr>
        <w:pStyle w:val="ListBullet"/>
      </w:pPr>
      <w:r>
        <w:t>Cooling-off / look-up period and exit information, where applicable.</w:t>
      </w:r>
    </w:p>
    <w:p>
      <w:pPr>
        <w:pStyle w:val="ListBullet"/>
      </w:pPr>
      <w:r>
        <w:t>Grievance details and other legally required information.</w:t>
      </w:r>
    </w:p>
    <w:p>
      <w:pPr>
        <w:pStyle w:val="Heading1"/>
      </w:pPr>
      <w:r>
        <w:t>3. Responsibility for Providing the KFS</w:t>
      </w:r>
    </w:p>
    <w:p>
      <w:r>
        <w:t>The regulated lender responsible for the loan must provide the KFS. DHAN NOW may facilitate access through the digital journey where authorised. The actual lender must be clearly identified in the KFS and loan documents.</w:t>
      </w:r>
    </w:p>
    <w:p>
      <w:r>
        <w:rPr>
          <w:b/>
        </w:rPr>
        <w:t xml:space="preserve">Actual lender: </w:t>
      </w:r>
      <w:r>
        <w:t>[Insert verified legal name before publication. Do not infer lender identity from the brand or service provider.]</w:t>
      </w:r>
    </w:p>
    <w:p>
      <w:pPr>
        <w:pStyle w:val="Heading1"/>
      </w:pPr>
      <w:r>
        <w:t>4. Timing and Customer Review</w:t>
      </w:r>
    </w:p>
    <w:p>
      <w:r>
        <w:t>The KFS must be provided at the stage and in the manner required by applicable law, with an appropriate opportunity for the customer to review it before entering into the loan contract. A customer should not be required to accept a loan without required disclosures and review opportunity.</w:t>
      </w:r>
    </w:p>
    <w:p>
      <w:pPr>
        <w:pStyle w:val="Heading1"/>
      </w:pPr>
      <w:r>
        <w:t>5. Illustrative Loan Amount and Net Disbursal</w:t>
      </w:r>
    </w:p>
    <w:p>
      <w:r>
        <w:t>The KFS should state the approved loan amount and the amount expected to be credited to the borrower. The following is an illustration based on the supplied assumptions, not an actual customer KFS or unconditional offer.</w:t>
      </w:r>
    </w:p>
    <w:tbl>
      <w:tblPr>
        <w:tblStyle w:val="TableGrid"/>
        <w:tblW w:type="auto" w:w="0"/>
        <w:tblLook w:firstColumn="1" w:firstRow="1" w:lastColumn="0" w:lastRow="0" w:noHBand="0" w:noVBand="1" w:val="04A0"/>
      </w:tblPr>
      <w:tblGrid>
        <w:gridCol w:w="4968"/>
        <w:gridCol w:w="4968"/>
      </w:tblGrid>
      <w:tr>
        <w:tc>
          <w:tcPr>
            <w:tcW w:type="dxa" w:w="4968"/>
            <w:shd w:fill="12304A"/>
          </w:tcPr>
          <w:p>
            <w:r>
              <w:rPr>
                <w:b/>
                <w:color w:val="FFFFFF"/>
              </w:rPr>
              <w:t>Particulars</w:t>
            </w:r>
          </w:p>
        </w:tc>
        <w:tc>
          <w:tcPr>
            <w:tcW w:type="dxa" w:w="4968"/>
            <w:shd w:fill="12304A"/>
          </w:tcPr>
          <w:p>
            <w:r>
              <w:rPr>
                <w:b/>
                <w:color w:val="FFFFFF"/>
              </w:rPr>
              <w:t>Illustrative amount</w:t>
            </w:r>
          </w:p>
        </w:tc>
      </w:tr>
      <w:tr>
        <w:tc>
          <w:tcPr>
            <w:tcW w:type="dxa" w:w="4968"/>
          </w:tcPr>
          <w:p>
            <w:r>
              <w:t>Approved principal</w:t>
            </w:r>
          </w:p>
        </w:tc>
        <w:tc>
          <w:tcPr>
            <w:tcW w:type="dxa" w:w="4968"/>
          </w:tcPr>
          <w:p>
            <w:r>
              <w:t>₹1,000</w:t>
            </w:r>
          </w:p>
        </w:tc>
      </w:tr>
      <w:tr>
        <w:tc>
          <w:tcPr>
            <w:tcW w:type="dxa" w:w="4968"/>
          </w:tcPr>
          <w:p>
            <w:r>
              <w:t>Processing fee at 10%</w:t>
            </w:r>
          </w:p>
        </w:tc>
        <w:tc>
          <w:tcPr>
            <w:tcW w:type="dxa" w:w="4968"/>
          </w:tcPr>
          <w:p>
            <w:r>
              <w:t>₹100</w:t>
            </w:r>
          </w:p>
        </w:tc>
      </w:tr>
      <w:tr>
        <w:tc>
          <w:tcPr>
            <w:tcW w:type="dxa" w:w="4968"/>
          </w:tcPr>
          <w:p>
            <w:r>
              <w:t>GST at 18% on fee</w:t>
            </w:r>
          </w:p>
        </w:tc>
        <w:tc>
          <w:tcPr>
            <w:tcW w:type="dxa" w:w="4968"/>
          </w:tcPr>
          <w:p>
            <w:r>
              <w:t>₹18</w:t>
            </w:r>
          </w:p>
        </w:tc>
      </w:tr>
      <w:tr>
        <w:tc>
          <w:tcPr>
            <w:tcW w:type="dxa" w:w="4968"/>
          </w:tcPr>
          <w:p>
            <w:r>
              <w:t>Interest for 14 days at 1% per day</w:t>
            </w:r>
          </w:p>
        </w:tc>
        <w:tc>
          <w:tcPr>
            <w:tcW w:type="dxa" w:w="4968"/>
          </w:tcPr>
          <w:p>
            <w:r>
              <w:t>₹140</w:t>
            </w:r>
          </w:p>
        </w:tc>
      </w:tr>
      <w:tr>
        <w:tc>
          <w:tcPr>
            <w:tcW w:type="dxa" w:w="4968"/>
          </w:tcPr>
          <w:p>
            <w:r>
              <w:t>Total illustrative deductions</w:t>
            </w:r>
          </w:p>
        </w:tc>
        <w:tc>
          <w:tcPr>
            <w:tcW w:type="dxa" w:w="4968"/>
          </w:tcPr>
          <w:p>
            <w:r>
              <w:t>₹258</w:t>
            </w:r>
          </w:p>
        </w:tc>
      </w:tr>
      <w:tr>
        <w:tc>
          <w:tcPr>
            <w:tcW w:type="dxa" w:w="4968"/>
          </w:tcPr>
          <w:p>
            <w:r>
              <w:t>Illustrative net disbursal</w:t>
            </w:r>
          </w:p>
        </w:tc>
        <w:tc>
          <w:tcPr>
            <w:tcW w:type="dxa" w:w="4968"/>
          </w:tcPr>
          <w:p>
            <w:r>
              <w:t>₹742</w:t>
            </w:r>
          </w:p>
        </w:tc>
      </w:tr>
      <w:tr>
        <w:tc>
          <w:tcPr>
            <w:tcW w:type="dxa" w:w="4968"/>
          </w:tcPr>
          <w:p>
            <w:r>
              <w:t>Scheduled principal repayment on Day 14</w:t>
            </w:r>
          </w:p>
        </w:tc>
        <w:tc>
          <w:tcPr>
            <w:tcW w:type="dxa" w:w="4968"/>
          </w:tcPr>
          <w:p>
            <w:r>
              <w:t>₹1,000</w:t>
            </w:r>
          </w:p>
        </w:tc>
      </w:tr>
    </w:tbl>
    <w:p/>
    <w:p>
      <w:r>
        <w:t>Final figures must match the approved product, actual lender’s terms, applicable tax treatment and legal and regulatory requirements.</w:t>
      </w:r>
    </w:p>
    <w:p>
      <w:pPr>
        <w:pStyle w:val="Heading1"/>
      </w:pPr>
      <w:r>
        <w:t>6. Interest Rate and Calculation Method</w:t>
      </w:r>
    </w:p>
    <w:p>
      <w:r>
        <w:t>The supplied illustrative assumptions are: 1% interest per day; 14 calendar days; 14% of original principal as simple interest for 14 days; processing fee of 10% of principal; and GST of 18% of the processing fee, subject to tax law. These assumptions must not be represented as an unconditional offer to every applicant. Actual terms must be stated in the customer’s KFS.</w:t>
      </w:r>
    </w:p>
    <w:p>
      <w:pPr>
        <w:pStyle w:val="Heading1"/>
      </w:pPr>
      <w:r>
        <w:t>7. Annual Percentage Rate (APR)</w:t>
      </w:r>
    </w:p>
    <w:p>
      <w:r>
        <w:t>APR is an annualised measure of borrowing cost calculated using the applicable prescribed methodology, cash flows and included charges. It is not necessarily the nominal interest rate multiplied by a simple annual factor. Short-term loan APR may differ materially from the nominal rate due to tenure, fees and cash-flow timing.</w:t>
      </w:r>
    </w:p>
    <w:p>
      <w:r>
        <w:t>The actual lender must calculate and disclose APR under applicable RBI directions and the prescribed KFS format. Do not publish a fixed APR until it has been calculated and verified using actual loan cash flows and the applicable methodology.</w:t>
      </w:r>
    </w:p>
    <w:p>
      <w:pPr>
        <w:pStyle w:val="Heading1"/>
      </w:pPr>
      <w:r>
        <w:t>8. Fees, Taxes and Other Charges</w:t>
      </w:r>
    </w:p>
    <w:p>
      <w:r>
        <w:t>Applicable processing fees, taxes and other permitted charges must be clearly disclosed. Under the supplied assumptions, the processing fee is 10% of principal, GST is 18% of the fee subject to tax law, and interest is 1% per day for the applicable period. Additional fees or penal charges must be permitted, properly disclosed and applied under applicable law and the loan agreement.</w:t>
      </w:r>
    </w:p>
    <w:p>
      <w:pPr>
        <w:pStyle w:val="Heading1"/>
      </w:pPr>
      <w:r>
        <w:t>9. Repayment Schedule and Product Variants</w:t>
      </w:r>
    </w:p>
    <w:p>
      <w:pPr>
        <w:pStyle w:val="Heading2"/>
      </w:pPr>
      <w:r>
        <w:t>A. Standard 14-Day Loan</w:t>
      </w:r>
    </w:p>
    <w:p>
      <w:r>
        <w:t>Under the supplied illustrative structure, scheduled repayment is the original principal on the disclosed due date, with interest and applicable fee/tax treatment as stated in the KFS.</w:t>
      </w:r>
    </w:p>
    <w:p>
      <w:pPr>
        <w:pStyle w:val="Heading2"/>
      </w:pPr>
      <w:r>
        <w:t>B. Approved Extension or Rollover</w:t>
      </w:r>
    </w:p>
    <w:p>
      <w:r>
        <w:t>An extension may be available only where permitted by approved product terms and law. Additional interest, fees, taxes, revised due date and other costs must be disclosed before acceptance. An extension must not be automatic.</w:t>
      </w:r>
    </w:p>
    <w:p>
      <w:pPr>
        <w:pStyle w:val="Heading2"/>
      </w:pPr>
      <w:r>
        <w:t>C. Approved Instalment Conversion</w:t>
      </w:r>
    </w:p>
    <w:p>
      <w:r>
        <w:t>If instalment-based repayment is offered, the KFS or accompanying schedule must state the number and amount of instalments, due dates, interest, fees, taxes and total repayment obligation. Customers should rely on their own KFS and schedule, not general website examples.</w:t>
      </w:r>
    </w:p>
    <w:p>
      <w:pPr>
        <w:pStyle w:val="Heading1"/>
      </w:pPr>
      <w:r>
        <w:t>10. Penal Charges and Late Payment</w:t>
      </w:r>
    </w:p>
    <w:p>
      <w:r>
        <w:t>Applicable penal charges and the circumstances in which they may be imposed must be disclosed and must comply with applicable law and RBI directions. Charges may be imposed only where permitted, properly disclosed and applied in accordance with contractual terms.</w:t>
      </w:r>
    </w:p>
    <w:p>
      <w:pPr>
        <w:pStyle w:val="Heading1"/>
      </w:pPr>
      <w:r>
        <w:t>11. Cooling-Off or Look-Up Period</w:t>
      </w:r>
    </w:p>
    <w:p>
      <w:r>
        <w:t>Where required by applicable RBI directions, the customer must be informed of the cooling-off or look-up period and exit process. The lender must disclose the applicable period, exit amount and any permitted retention of a reasonable one-time processing fee where applicable. Verify the precise terms against the product and current requirements before publication.</w:t>
      </w:r>
    </w:p>
    <w:p>
      <w:pPr>
        <w:pStyle w:val="Heading1"/>
      </w:pPr>
      <w:r>
        <w:t>12. Customer Acceptance and Consent</w:t>
      </w:r>
    </w:p>
    <w:p>
      <w:r>
        <w:t>Customers should review the KFS before accepting the loan. Acceptance must occur through the authorised process and in accordance with law. Viewing a general product page or using a calculator is not acceptance. Separate consent for electronic mandates or personal-data processing must be obtained where required.</w:t>
      </w:r>
    </w:p>
    <w:p>
      <w:pPr>
        <w:pStyle w:val="Heading1"/>
      </w:pPr>
      <w:r>
        <w:t>13. Accessing and Retaining the KFS</w:t>
      </w:r>
    </w:p>
    <w:p>
      <w:r>
        <w:t>Customers should be able to access the KFS through the actual lender or authorised digital interface. Where supported or required, it should be available for download or retention. Customers should retain the KFS, loan agreement, repayment schedule, consent and mandate records, disbursal confirmation and payment receipts.</w:t>
      </w:r>
    </w:p>
    <w:p>
      <w:r>
        <w:rPr>
          <w:b/>
        </w:rPr>
        <w:t xml:space="preserve">Implementation requirement: </w:t>
      </w:r>
      <w:r>
        <w:t>Provide a clear KFS access mechanism and ensure each customer’s KFS matches the approved loan offer.</w:t>
      </w:r>
    </w:p>
    <w:p>
      <w:pPr>
        <w:pStyle w:val="Heading1"/>
      </w:pPr>
      <w:r>
        <w:t>14. Questions or Disputes About the KFS</w:t>
      </w:r>
    </w:p>
    <w:p>
      <w:r>
        <w:t>If the KFS appears incorrect, differs from the accepted offer or fails to explain a material term, the customer should contact the lender through its official support or grievance channel. DHAN NOW may assist with document access or platform issues.</w:t>
      </w:r>
    </w:p>
    <w:tbl>
      <w:tblPr>
        <w:tblStyle w:val="TableGrid"/>
        <w:tblW w:type="auto" w:w="0"/>
        <w:tblLook w:firstColumn="1" w:firstRow="1" w:lastColumn="0" w:lastRow="0" w:noHBand="0" w:noVBand="1" w:val="04A0"/>
      </w:tblPr>
      <w:tblGrid>
        <w:gridCol w:w="4968"/>
        <w:gridCol w:w="4968"/>
      </w:tblGrid>
      <w:tr>
        <w:tc>
          <w:tcPr>
            <w:tcW w:type="dxa" w:w="4968"/>
            <w:shd w:fill="12304A"/>
          </w:tcPr>
          <w:p>
            <w:r>
              <w:rPr>
                <w:b/>
                <w:color w:val="FFFFFF"/>
              </w:rPr>
              <w:t>Contact</w:t>
            </w:r>
          </w:p>
        </w:tc>
        <w:tc>
          <w:tcPr>
            <w:tcW w:type="dxa" w:w="4968"/>
            <w:shd w:fill="12304A"/>
          </w:tcPr>
          <w:p>
            <w:r>
              <w:rPr>
                <w:b/>
                <w:color w:val="FFFFFF"/>
              </w:rPr>
              <w:t>Details</w:t>
            </w:r>
          </w:p>
        </w:tc>
      </w:tr>
      <w:tr>
        <w:tc>
          <w:tcPr>
            <w:tcW w:type="dxa" w:w="4968"/>
          </w:tcPr>
          <w:p>
            <w:r>
              <w:t>DHAN NOW Customer Support</w:t>
            </w:r>
          </w:p>
        </w:tc>
        <w:tc>
          <w:tcPr>
            <w:tcW w:type="dxa" w:w="4968"/>
          </w:tcPr>
          <w:p>
            <w:r>
              <w:t>9211331169 | support@dhannow.com</w:t>
            </w:r>
          </w:p>
        </w:tc>
      </w:tr>
      <w:tr>
        <w:tc>
          <w:tcPr>
            <w:tcW w:type="dxa" w:w="4968"/>
          </w:tcPr>
          <w:p>
            <w:r>
              <w:t>Website</w:t>
            </w:r>
          </w:p>
        </w:tc>
        <w:tc>
          <w:tcPr>
            <w:tcW w:type="dxa" w:w="4968"/>
          </w:tcPr>
          <w:p>
            <w:r>
              <w:t>www.dhannow.com</w:t>
            </w:r>
          </w:p>
        </w:tc>
      </w:tr>
      <w:tr>
        <w:tc>
          <w:tcPr>
            <w:tcW w:type="dxa" w:w="4968"/>
          </w:tcPr>
          <w:p>
            <w:r>
              <w:t>DHAN NOW Grievance Officer</w:t>
            </w:r>
          </w:p>
        </w:tc>
        <w:tc>
          <w:tcPr>
            <w:tcW w:type="dxa" w:w="4968"/>
          </w:tcPr>
          <w:p>
            <w:r>
              <w:t>Dharmendra Rajput</w:t>
            </w:r>
          </w:p>
        </w:tc>
      </w:tr>
      <w:tr>
        <w:tc>
          <w:tcPr>
            <w:tcW w:type="dxa" w:w="4968"/>
          </w:tcPr>
          <w:p>
            <w:r>
              <w:t>Grievance phone / email</w:t>
            </w:r>
          </w:p>
        </w:tc>
        <w:tc>
          <w:tcPr>
            <w:tcW w:type="dxa" w:w="4968"/>
          </w:tcPr>
          <w:p>
            <w:r>
              <w:t>9211331170 | grievance@dhannow.com</w:t>
            </w:r>
          </w:p>
        </w:tc>
      </w:tr>
      <w:tr>
        <w:tc>
          <w:tcPr>
            <w:tcW w:type="dxa" w:w="4968"/>
          </w:tcPr>
          <w:p>
            <w:r>
              <w:t>Actual lender support / grievance</w:t>
            </w:r>
          </w:p>
        </w:tc>
        <w:tc>
          <w:tcPr>
            <w:tcW w:type="dxa" w:w="4968"/>
          </w:tcPr>
          <w:p>
            <w:r>
              <w:t>[Insert verified details]</w:t>
            </w:r>
          </w:p>
        </w:tc>
      </w:tr>
    </w:tbl>
    <w:p/>
    <w:p>
      <w:pPr>
        <w:pStyle w:val="Heading1"/>
      </w:pPr>
      <w:r>
        <w:t>15. Important Customer Checks</w:t>
      </w:r>
    </w:p>
    <w:p>
      <w:pPr>
        <w:pStyle w:val="ListNumber"/>
      </w:pPr>
      <w:r>
        <w:t>Confirm the actual lender’s legal name.</w:t>
      </w:r>
    </w:p>
    <w:p>
      <w:pPr>
        <w:pStyle w:val="ListNumber"/>
      </w:pPr>
      <w:r>
        <w:t>Check the approved principal and net disbursal.</w:t>
      </w:r>
    </w:p>
    <w:p>
      <w:pPr>
        <w:pStyle w:val="ListNumber"/>
      </w:pPr>
      <w:r>
        <w:t>Review interest rate and calculation method.</w:t>
      </w:r>
    </w:p>
    <w:p>
      <w:pPr>
        <w:pStyle w:val="ListNumber"/>
      </w:pPr>
      <w:r>
        <w:t>Check processing fees, taxes and APR in the KFS.</w:t>
      </w:r>
    </w:p>
    <w:p>
      <w:pPr>
        <w:pStyle w:val="ListNumber"/>
      </w:pPr>
      <w:r>
        <w:t>Confirm repayment amount and due date.</w:t>
      </w:r>
    </w:p>
    <w:p>
      <w:pPr>
        <w:pStyle w:val="ListNumber"/>
      </w:pPr>
      <w:r>
        <w:t>Review penal charges and cooling-off / look-up information, where applicable.</w:t>
      </w:r>
    </w:p>
    <w:p>
      <w:pPr>
        <w:pStyle w:val="ListNumber"/>
      </w:pPr>
      <w:r>
        <w:t>Confirm customer support and grievance details.</w:t>
      </w:r>
    </w:p>
    <w:p>
      <w:r>
        <w:t>Customers should not rely exclusively on advertisements, general examples or calculator results when deciding whether to accept a loan.</w:t>
      </w:r>
    </w:p>
    <w:p>
      <w:pPr>
        <w:pStyle w:val="Heading1"/>
      </w:pPr>
      <w:r>
        <w:t>16. Legal and Regulatory Compliance</w:t>
      </w:r>
    </w:p>
    <w:p>
      <w:r>
        <w:t>The KFS must be prepared and provided in accordance with requirements applicable to the actual lender and product. This page does not replace the customer’s KFS, loan agreement or repayment schedule. Applicable requirements on disclosure, format, timing and customer protection prevail.</w:t>
      </w:r>
    </w:p>
    <w:p>
      <w:pPr>
        <w:pStyle w:val="Heading1"/>
      </w:pPr>
      <w:r>
        <w:t>17. Publication Checklist and Approval Control</w:t>
      </w:r>
    </w:p>
    <w:p>
      <w:pPr>
        <w:pStyle w:val="ListBullet"/>
      </w:pPr>
      <w:r>
        <w:t>Verify actual lender identity and regulatory details.</w:t>
      </w:r>
    </w:p>
    <w:p>
      <w:pPr>
        <w:pStyle w:val="ListBullet"/>
      </w:pPr>
      <w:r>
        <w:t>Generate the KFS from approved terms.</w:t>
      </w:r>
    </w:p>
    <w:p>
      <w:pPr>
        <w:pStyle w:val="ListBullet"/>
      </w:pPr>
      <w:r>
        <w:t>Calculate APR using the prescribed methodology.</w:t>
      </w:r>
    </w:p>
    <w:p>
      <w:pPr>
        <w:pStyle w:val="ListBullet"/>
      </w:pPr>
      <w:r>
        <w:t>Verify fees, taxes, deductions and net disbursal.</w:t>
      </w:r>
    </w:p>
    <w:p>
      <w:pPr>
        <w:pStyle w:val="ListBullet"/>
      </w:pPr>
      <w:r>
        <w:t>Match the repayment schedule to the accepted offer.</w:t>
      </w:r>
    </w:p>
    <w:p>
      <w:pPr>
        <w:pStyle w:val="ListBullet"/>
      </w:pPr>
      <w:r>
        <w:t>Provide required cooling-off / look-up information.</w:t>
      </w:r>
    </w:p>
    <w:p>
      <w:pPr>
        <w:pStyle w:val="ListBullet"/>
      </w:pPr>
      <w:r>
        <w:t>Enable customer access and retention.</w:t>
      </w:r>
    </w:p>
    <w:p>
      <w:pPr>
        <w:pStyle w:val="ListBullet"/>
      </w:pPr>
      <w:r>
        <w:t>Verify lender and grievance details.</w:t>
      </w:r>
    </w:p>
    <w:p>
      <w:pPr>
        <w:pStyle w:val="ListBullet"/>
      </w:pPr>
      <w:r>
        <w:t>Align website content with actual loan documents.</w:t>
      </w:r>
    </w:p>
    <w:p>
      <w:pPr>
        <w:pStyle w:val="ListBullet"/>
      </w:pPr>
      <w:r>
        <w:t>Obtain Legal, Compliance and lender approval.</w:t>
      </w:r>
    </w:p>
    <w:tbl>
      <w:tblPr>
        <w:tblStyle w:val="TableGrid"/>
        <w:tblW w:type="auto" w:w="0"/>
        <w:tblLook w:firstColumn="1" w:firstRow="1" w:lastColumn="0" w:lastRow="0" w:noHBand="0" w:noVBand="1" w:val="04A0"/>
      </w:tblPr>
      <w:tblGrid>
        <w:gridCol w:w="4968"/>
        <w:gridCol w:w="4968"/>
      </w:tblGrid>
      <w:tr>
        <w:tc>
          <w:tcPr>
            <w:tcW w:type="dxa" w:w="4968"/>
            <w:shd w:fill="12304A"/>
          </w:tcPr>
          <w:p>
            <w:r>
              <w:rPr>
                <w:b/>
                <w:color w:val="FFFFFF"/>
              </w:rPr>
              <w:t>Review function</w:t>
            </w:r>
          </w:p>
        </w:tc>
        <w:tc>
          <w:tcPr>
            <w:tcW w:type="dxa" w:w="4968"/>
            <w:shd w:fill="12304A"/>
          </w:tcPr>
          <w:p>
            <w:r>
              <w:rPr>
                <w:b/>
                <w:color w:val="FFFFFF"/>
              </w:rPr>
              <w:t>Status</w:t>
            </w:r>
          </w:p>
        </w:tc>
      </w:tr>
      <w:tr>
        <w:tc>
          <w:tcPr>
            <w:tcW w:type="dxa" w:w="4968"/>
          </w:tcPr>
          <w:p>
            <w:r>
              <w:t>Legal review</w:t>
            </w:r>
          </w:p>
        </w:tc>
        <w:tc>
          <w:tcPr>
            <w:tcW w:type="dxa" w:w="4968"/>
          </w:tcPr>
          <w:p>
            <w:r>
              <w:t>Pending</w:t>
            </w:r>
          </w:p>
        </w:tc>
      </w:tr>
      <w:tr>
        <w:tc>
          <w:tcPr>
            <w:tcW w:type="dxa" w:w="4968"/>
          </w:tcPr>
          <w:p>
            <w:r>
              <w:t>Compliance review</w:t>
            </w:r>
          </w:p>
        </w:tc>
        <w:tc>
          <w:tcPr>
            <w:tcW w:type="dxa" w:w="4968"/>
          </w:tcPr>
          <w:p>
            <w:r>
              <w:t>Pending</w:t>
            </w:r>
          </w:p>
        </w:tc>
      </w:tr>
      <w:tr>
        <w:tc>
          <w:tcPr>
            <w:tcW w:type="dxa" w:w="4968"/>
          </w:tcPr>
          <w:p>
            <w:r>
              <w:t>APR / pricing / tax verification</w:t>
            </w:r>
          </w:p>
        </w:tc>
        <w:tc>
          <w:tcPr>
            <w:tcW w:type="dxa" w:w="4968"/>
          </w:tcPr>
          <w:p>
            <w:r>
              <w:t>Pending</w:t>
            </w:r>
          </w:p>
        </w:tc>
      </w:tr>
      <w:tr>
        <w:tc>
          <w:tcPr>
            <w:tcW w:type="dxa" w:w="4968"/>
          </w:tcPr>
          <w:p>
            <w:r>
              <w:t>Actual lender approval</w:t>
            </w:r>
          </w:p>
        </w:tc>
        <w:tc>
          <w:tcPr>
            <w:tcW w:type="dxa" w:w="4968"/>
          </w:tcPr>
          <w:p>
            <w:r>
              <w:t>Pending</w:t>
            </w:r>
          </w:p>
        </w:tc>
      </w:tr>
      <w:tr>
        <w:tc>
          <w:tcPr>
            <w:tcW w:type="dxa" w:w="4968"/>
          </w:tcPr>
          <w:p>
            <w:r>
              <w:t>Publication approval</w:t>
            </w:r>
          </w:p>
        </w:tc>
        <w:tc>
          <w:tcPr>
            <w:tcW w:type="dxa" w:w="4968"/>
          </w:tcPr>
          <w:p>
            <w:r>
              <w:t>Pending</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DN-LGL-022 • Version 1.0 • DHAN NOW | Draft for Legal &amp; Compliance Review | www.dhannow.com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D9A"/>
        <w:sz w:val="14"/>
      </w:rPr>
      <w:t>DHAN NOW  |  CORPORATE WEBSITE &amp; COMPLIANCE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D9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