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
        <w:jc w:val="center"/>
      </w:pPr>
      <w:r>
        <w:rPr>
          <w:rFonts w:ascii="Arial" w:cs="Arial" w:eastAsia="Arial" w:hAnsi="Arial"/>
          <w:b/>
          <w:bCs/>
          <w:sz w:val="32"/>
          <w:szCs w:val="32"/>
        </w:rPr>
        <w:t xml:space="preserve">A Dynamic Programming Framework for Neural Network Hyperparameter Optimisation</w:t>
      </w:r>
    </w:p>
    <w:p>
      <w:pPr>
        <w:spacing w:after="120"/>
        <w:jc w:val="center"/>
      </w:pPr>
      <w:r>
        <w:rPr>
          <w:rFonts w:ascii="Times New Roman" w:cs="Times New Roman" w:eastAsia="Times New Roman" w:hAnsi="Times New Roman"/>
          <w:b/>
          <w:bCs/>
          <w:sz w:val="26"/>
          <w:szCs w:val="26"/>
        </w:rPr>
        <w:t xml:space="preserve">Kartik Sonawane</w:t>
      </w:r>
    </w:p>
    <w:p>
      <w:pPr>
        <w:spacing w:after="120"/>
        <w:jc w:val="center"/>
      </w:pPr>
      <w:r>
        <w:rPr>
          <w:rFonts w:ascii="Times New Roman" w:cs="Times New Roman" w:eastAsia="Times New Roman" w:hAnsi="Times New Roman"/>
          <w:i/>
          <w:iCs/>
          <w:sz w:val="24"/>
          <w:szCs w:val="24"/>
        </w:rPr>
        <w:t xml:space="preserve">Independent Researcher</w:t>
      </w:r>
    </w:p>
    <w:p>
      <w:pPr>
        <w:spacing w:after="120"/>
        <w:jc w:val="center"/>
      </w:pPr>
      <w:r>
        <w:rPr>
          <w:rFonts w:ascii="Times New Roman" w:cs="Times New Roman" w:eastAsia="Times New Roman" w:hAnsi="Times New Roman"/>
          <w:sz w:val="22"/>
          <w:szCs w:val="22"/>
        </w:rPr>
        <w:t xml:space="preserve">Email: kartikjaywantsonawane@gmail.com</w:t>
      </w:r>
    </w:p>
    <w:p>
      <w:pPr>
        <w:spacing w:after="80"/>
      </w:pPr>
      <w:r>
        <w:rPr>
          <w:rFonts w:ascii="Times New Roman" w:cs="Times New Roman" w:eastAsia="Times New Roman" w:hAnsi="Times New Roman"/>
          <w:sz w:val="24"/>
          <w:szCs w:val="24"/>
        </w:rPr>
        <w:t xml:space="preserve"> </w:t>
      </w:r>
    </w:p>
    <w:p>
      <w:pPr>
        <w:spacing w:after="120" w:before="240"/>
      </w:pPr>
      <w:r>
        <w:rPr>
          <w:rFonts w:ascii="Arial" w:cs="Arial" w:eastAsia="Arial" w:hAnsi="Arial"/>
          <w:b/>
          <w:bCs/>
          <w:sz w:val="26"/>
          <w:szCs w:val="26"/>
        </w:rPr>
        <w:t xml:space="preserve">Abstract</w:t>
      </w:r>
    </w:p>
    <w:p>
      <w:pPr>
        <w:spacing w:after="160" w:line="360"/>
        <w:jc w:val="both"/>
      </w:pPr>
      <w:r>
        <w:rPr>
          <w:rFonts w:ascii="Times New Roman" w:cs="Times New Roman" w:eastAsia="Times New Roman" w:hAnsi="Times New Roman"/>
          <w:sz w:val="24"/>
          <w:szCs w:val="24"/>
        </w:rPr>
        <w:t xml:space="preserve">Hyperparameter optimisation (HPO) represents a critical bottleneck in neural network development. The selection of architectural and training hyperparameters — including hidden layer count, neuron width, learning rate, and activation function — can alter validation accuracy by several percentage points, yet the configuration space grows exponentially with the number of dimensions, rendering exhaustive search intractable for large-scale problems. Existing HPO methods either sacrifice theoretical guarantees for efficiency (random search, Bayesian optimisation) or incur prohibitive computational cost (grid search). We propose </w:t>
      </w:r>
      <w:r>
        <w:rPr>
          <w:rFonts w:ascii="Times New Roman" w:cs="Times New Roman" w:eastAsia="Times New Roman" w:hAnsi="Times New Roman"/>
          <w:b/>
          <w:bCs/>
          <w:sz w:val="24"/>
          <w:szCs w:val="24"/>
        </w:rPr>
        <w:t xml:space="preserve">DP-HPO</w:t>
      </w:r>
      <w:r>
        <w:rPr>
          <w:rFonts w:ascii="Times New Roman" w:cs="Times New Roman" w:eastAsia="Times New Roman" w:hAnsi="Times New Roman"/>
          <w:sz w:val="24"/>
          <w:szCs w:val="24"/>
        </w:rPr>
        <w:t xml:space="preserve">, a dynamic programming framework that recasts neural network HPO as a structured optimisation problem, exploiting the </w:t>
      </w:r>
      <w:r>
        <w:rPr>
          <w:rFonts w:ascii="Times New Roman" w:cs="Times New Roman" w:eastAsia="Times New Roman" w:hAnsi="Times New Roman"/>
          <w:i/>
          <w:iCs/>
          <w:sz w:val="24"/>
          <w:szCs w:val="24"/>
        </w:rPr>
        <w:t xml:space="preserve">optimal substructure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overlapping subproblem</w:t>
      </w:r>
      <w:r>
        <w:rPr>
          <w:rFonts w:ascii="Times New Roman" w:cs="Times New Roman" w:eastAsia="Times New Roman" w:hAnsi="Times New Roman"/>
          <w:sz w:val="24"/>
          <w:szCs w:val="24"/>
        </w:rPr>
        <w:t xml:space="preserve"> properties of the configuration space to achieve sub-linear evaluation complexity. DP-HPO performs a greedy dimension-by-dimension sweep, committing each hyperparameter to its locally optimal value and memoising shared sub-evaluations to eliminate redundant model training. For a search space of 108 configurations (3 x 4 x 3 x 3), DP-HPO requires at most 13 model evaluations — a </w:t>
      </w:r>
      <w:r>
        <w:rPr>
          <w:rFonts w:ascii="Times New Roman" w:cs="Times New Roman" w:eastAsia="Times New Roman" w:hAnsi="Times New Roman"/>
          <w:b/>
          <w:bCs/>
          <w:sz w:val="24"/>
          <w:szCs w:val="24"/>
        </w:rPr>
        <w:t xml:space="preserve">90.7% reduction</w:t>
      </w:r>
      <w:r>
        <w:rPr>
          <w:rFonts w:ascii="Times New Roman" w:cs="Times New Roman" w:eastAsia="Times New Roman" w:hAnsi="Times New Roman"/>
          <w:sz w:val="24"/>
          <w:szCs w:val="24"/>
        </w:rPr>
        <w:t xml:space="preserve"> relative to grid search — while achieving statistically equivalent accuracy across four benchmark datasets (UCI Iris, UCI Heart Disease, MNIST [10K], and UCI Breast Cancer). Comparative experiments against five baselines over five independent random seeds, with significance assessed via the Wilcoxon signed-rank test, confirm that DP-HPO's accuracy gap is never statistically significant (all p &gt; 0.05). An ablation study with three distinct dimension orderings demonstrates robustness to processing order. DP-HPO offers a principled, interpretable, and computationally efficient alternative for resource-constrained hyperparameter tuning in neural network classification.</w:t>
      </w:r>
    </w:p>
    <w:p>
      <w:pPr>
        <w:spacing w:after="80"/>
      </w:pPr>
      <w:r>
        <w:rPr>
          <w:rFonts w:ascii="Times New Roman" w:cs="Times New Roman" w:eastAsia="Times New Roman" w:hAnsi="Times New Roman"/>
          <w:sz w:val="24"/>
          <w:szCs w:val="24"/>
        </w:rPr>
        <w:t xml:space="preserve"> </w:t>
      </w:r>
    </w:p>
    <w:p>
      <w:pPr>
        <w:spacing w:after="16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hyperparameter optimisation; dynamic programming; neural networks; machine learning efficiency; optimal substructure; Bellman's principle; memoisation</w:t>
      </w:r>
    </w:p>
    <w:p>
      <w:r>
        <w:br w:type="page"/>
      </w:r>
    </w:p>
    <w:p>
      <w:pPr>
        <w:pStyle w:val="Heading1"/>
        <w:spacing w:after="200" w:before="400"/>
      </w:pPr>
      <w:r>
        <w:rPr>
          <w:rFonts w:ascii="Arial" w:cs="Arial" w:eastAsia="Arial" w:hAnsi="Arial"/>
          <w:b/>
          <w:bCs/>
          <w:sz w:val="28"/>
          <w:szCs w:val="28"/>
        </w:rPr>
        <w:t xml:space="preserve">1. Introduction</w:t>
      </w:r>
    </w:p>
    <w:p>
      <w:pPr>
        <w:spacing w:after="160" w:line="360"/>
        <w:ind w:firstLine="720"/>
        <w:jc w:val="both"/>
      </w:pPr>
      <w:r>
        <w:rPr>
          <w:rFonts w:ascii="Times New Roman" w:cs="Times New Roman" w:eastAsia="Times New Roman" w:hAnsi="Times New Roman"/>
          <w:sz w:val="24"/>
          <w:szCs w:val="24"/>
        </w:rPr>
        <w:t xml:space="preserve">The performance of a neural network is governed not only by the quality of the training data and the expressiveness of the model architecture, but critically by the choice of hyperparameters — configuration decisions that must be made prior to training and whose influence cannot be ameliorated by any amount of subsequent gradient-based optimisation [1]. Hyperparameters such as the number of hidden layers, the number of neurons per layer, the learning rate, and the choice of activation function define the loss landscape in which gradient descent operates; poor choices can prevent convergence entirely, while near-optimal choices routinely yield improvements of several percentage points in validation accuracy [2,8].</w:t>
      </w:r>
    </w:p>
    <w:p>
      <w:pPr>
        <w:spacing w:after="160" w:line="360"/>
        <w:ind w:firstLine="720"/>
        <w:jc w:val="both"/>
      </w:pPr>
      <w:r>
        <w:rPr>
          <w:rFonts w:ascii="Times New Roman" w:cs="Times New Roman" w:eastAsia="Times New Roman" w:hAnsi="Times New Roman"/>
          <w:sz w:val="24"/>
          <w:szCs w:val="24"/>
        </w:rPr>
        <w:t xml:space="preserve">The hyperparameter optimisation (HPO) problem is formally characterised by the absence of gradient information: model performance is a discrete, stochastic function of configuration variables, and each evaluation requires training a neural network from scratch — an operation that may take minutes to hours on standard hardware. For a search space with d dimensions each containing n candidate values, exhaustive grid search requires O(n^d) evaluations, rendering it computationally intractable for all but the smallest problems [8,19,21].</w:t>
      </w:r>
    </w:p>
    <w:p>
      <w:pPr>
        <w:spacing w:after="160" w:line="360"/>
        <w:ind w:firstLine="720"/>
        <w:jc w:val="both"/>
      </w:pPr>
      <w:r>
        <w:rPr>
          <w:rFonts w:ascii="Times New Roman" w:cs="Times New Roman" w:eastAsia="Times New Roman" w:hAnsi="Times New Roman"/>
          <w:sz w:val="24"/>
          <w:szCs w:val="24"/>
        </w:rPr>
        <w:t xml:space="preserve">In response, the research community has developed a rich catalogue of HPO methods. Random search [2] samples configurations uniformly at random, offering efficiency without structural guarantees. Bayesian optimisation [3] maintains a probabilistic surrogate model to guide search towards promising regions, at the cost of cubic inference complexity in the number of observations. The Tree-structured Parzen Estimator (TPE) [4] replaces the Gaussian process with kernel density estimators, improving scalability. Hyperband [5] combines random search with successive halving to allocate computational resources efficiently. BOHB [6] integrates Hyperband with Bayesian modelling. Optuna [7] provides a modern define-by-run interface with TPE sampling and automatic pruning.</w:t>
      </w:r>
    </w:p>
    <w:p>
      <w:pPr>
        <w:spacing w:after="160" w:line="360"/>
        <w:ind w:firstLine="720"/>
        <w:jc w:val="both"/>
      </w:pPr>
      <w:r>
        <w:rPr>
          <w:rFonts w:ascii="Times New Roman" w:cs="Times New Roman" w:eastAsia="Times New Roman" w:hAnsi="Times New Roman"/>
          <w:sz w:val="24"/>
          <w:szCs w:val="24"/>
        </w:rPr>
        <w:t xml:space="preserve">Despite this rich landscape, a fundamental shortcoming is shared by all aforementioned approaches: they treat the hyperparameter search space as a black box, neither exploiting the structural properties of the space nor leveraging the observation that optimal configurations for individual dimensions tend to be conditionally stable across different settings of other dimensions. The failure to exploit these structural properties represents a missed opportunity, particularly in resource-constrained settings where model evaluations are expensive.</w:t>
      </w:r>
    </w:p>
    <w:p>
      <w:pPr>
        <w:spacing w:after="160" w:line="360"/>
        <w:ind w:firstLine="720"/>
        <w:jc w:val="both"/>
      </w:pPr>
      <w:r>
        <w:rPr>
          <w:rFonts w:ascii="Times New Roman" w:cs="Times New Roman" w:eastAsia="Times New Roman" w:hAnsi="Times New Roman"/>
          <w:sz w:val="24"/>
          <w:szCs w:val="24"/>
        </w:rPr>
        <w:t xml:space="preserve">We address this gap by proposing </w:t>
      </w:r>
      <w:r>
        <w:rPr>
          <w:rFonts w:ascii="Times New Roman" w:cs="Times New Roman" w:eastAsia="Times New Roman" w:hAnsi="Times New Roman"/>
          <w:b/>
          <w:bCs/>
          <w:sz w:val="24"/>
          <w:szCs w:val="24"/>
        </w:rPr>
        <w:t xml:space="preserve">DP-HPO</w:t>
      </w:r>
      <w:r>
        <w:rPr>
          <w:rFonts w:ascii="Times New Roman" w:cs="Times New Roman" w:eastAsia="Times New Roman" w:hAnsi="Times New Roman"/>
          <w:sz w:val="24"/>
          <w:szCs w:val="24"/>
        </w:rPr>
        <w:t xml:space="preserve"> (Dynamic Programming Hyperparameter Optimisation), the first method, to the best of the authors' knowledge, to formally characterise the discrete neural network hyperparameter search space as a dynamic programming problem and to exploit its optimal substructure and overlapping subproblem properties to achieve provably sub-linear evaluation complexity. Under a conditional independence assumption — namely, that the optimal value for each dimension is conditionally independent of as-yet-unassigned dimensions — DP-HPO satisfies Bellman's Principle of Optimality [1], enabling a greedy dimension-by-dimension sweep that identifies a high-quality configuration using at most sum(|H_i|) evaluations. For the search space considered in this work (108 configurations), this yields at most 13 evaluations — a 90.7% reduction compared to grid search.</w:t>
      </w:r>
    </w:p>
    <w:p>
      <w:pPr>
        <w:spacing w:after="160" w:line="360"/>
        <w:ind w:firstLine="720"/>
        <w:jc w:val="both"/>
      </w:pPr>
      <w:r>
        <w:rPr>
          <w:rFonts w:ascii="Times New Roman" w:cs="Times New Roman" w:eastAsia="Times New Roman" w:hAnsi="Times New Roman"/>
          <w:sz w:val="24"/>
          <w:szCs w:val="24"/>
        </w:rPr>
        <w:t xml:space="preserve">The contributions of this paper are as follows:</w:t>
      </w:r>
    </w:p>
    <w:p>(1) A formal dynamic programming formulation of the HPO problem, including a proof of optimal substructure under a conditional independence assumption (Lemma 1).</w:p>
    <w:p>(2) The DP-HPO algorithm, with O(n.d) evaluation complexity and built-in memoisation that exploits the overlapping subproblem structure of the search space.</w:p>
    <w:p>(3) An empirical evaluation on four benchmark datasets against five baselines over five random seeds (seeds 0-4), with Wilcoxon signed-rank statistical significance testing.</w:p>
    <w:p>(4) A dimension-ordering ablation study demonstrating robustness of DP-HPO to the order in which hyperparameter dimensions are processed.</w:p>
    <w:p>
      <w:pPr>
        <w:spacing w:after="160" w:line="360"/>
        <w:ind w:firstLine="720"/>
        <w:jc w:val="both"/>
      </w:pPr>
      <w:r>
        <w:rPr>
          <w:rFonts w:ascii="Times New Roman" w:cs="Times New Roman" w:eastAsia="Times New Roman" w:hAnsi="Times New Roman"/>
          <w:sz w:val="24"/>
          <w:szCs w:val="24"/>
        </w:rPr>
        <w:t xml:space="preserve">The remainder of this paper is structured as follows. Section 2 reviews related work. Section 3 presents the DP-HPO formulation and algorithm. Section 4 describes the experimental setup. Section 5 presents and discusses results. Section 6 addresses limitations and future work. Section 7 concludes.</w:t>
      </w:r>
    </w:p>
    <w:p>
      <w:pPr>
        <w:pStyle w:val="Heading1"/>
        <w:spacing w:after="200" w:before="400"/>
      </w:pPr>
      <w:r>
        <w:rPr>
          <w:rFonts w:ascii="Arial" w:cs="Arial" w:eastAsia="Arial" w:hAnsi="Arial"/>
          <w:b/>
          <w:bCs/>
          <w:sz w:val="28"/>
          <w:szCs w:val="28"/>
        </w:rPr>
        <w:t xml:space="preserve">2. Related Work</w:t>
      </w:r>
    </w:p>
    <w:p>
      <w:pPr>
        <w:spacing w:after="160" w:line="360"/>
        <w:ind w:firstLine="720"/>
        <w:jc w:val="both"/>
      </w:pPr>
      <w:r>
        <w:rPr>
          <w:rFonts w:ascii="Times New Roman" w:cs="Times New Roman" w:eastAsia="Times New Roman" w:hAnsi="Times New Roman"/>
          <w:sz w:val="24"/>
          <w:szCs w:val="24"/>
        </w:rPr>
        <w:t xml:space="preserve">Hyperparameter optimisation has been studied extensively in the machine learning literature. This section reviews the most relevant prior work and highlights how each approach differs from DP-HPO.</w:t>
      </w:r>
    </w:p>
    <w:p>
      <w:pPr>
        <w:pStyle w:val="Heading2"/>
        <w:spacing w:after="160" w:before="300"/>
      </w:pPr>
      <w:r>
        <w:rPr>
          <w:rFonts w:ascii="Arial" w:cs="Arial" w:eastAsia="Arial" w:hAnsi="Arial"/>
          <w:b/>
          <w:bCs/>
          <w:sz w:val="26"/>
          <w:szCs w:val="26"/>
        </w:rPr>
        <w:t xml:space="preserve">2.1. Grid Search and Random Search</w:t>
      </w:r>
    </w:p>
    <w:p>
      <w:pPr>
        <w:spacing w:after="160" w:line="360"/>
        <w:ind w:firstLine="720"/>
        <w:jc w:val="both"/>
      </w:pPr>
      <w:r>
        <w:rPr>
          <w:rFonts w:ascii="Times New Roman" w:cs="Times New Roman" w:eastAsia="Times New Roman" w:hAnsi="Times New Roman"/>
          <w:sz w:val="24"/>
          <w:szCs w:val="24"/>
        </w:rPr>
        <w:t xml:space="preserve">Grid search evaluates every configuration in the Cartesian product of hyperparameter values, guaranteeing global optimality within the specified search space but at O(n^d) cost, which quickly becomes intractable as the number of dimensions or values grows [8]. Bergstra and Bengio [2] demonstrated that random search is a surprisingly competitive alternative: by sampling configurations uniformly at random from the joint distribution, it achieves comparable or superior performance to grid search at a fraction of the cost, because many hyperparameter dimensions have low effective dimensionality — i.e., performance varies primarily along a small subset of dimensions. Despite its simplicity and practical effectiveness, random search provides no structural guarantee, may duplicate evaluations, and does not exploit any known properties of the objective function.</w:t>
      </w:r>
    </w:p>
    <w:p>
      <w:pPr>
        <w:pStyle w:val="Heading2"/>
        <w:spacing w:after="160" w:before="300"/>
      </w:pPr>
      <w:r>
        <w:rPr>
          <w:rFonts w:ascii="Arial" w:cs="Arial" w:eastAsia="Arial" w:hAnsi="Arial"/>
          <w:b/>
          <w:bCs/>
          <w:sz w:val="26"/>
          <w:szCs w:val="26"/>
        </w:rPr>
        <w:t xml:space="preserve">2.2. Bayesian Optimisation</w:t>
      </w:r>
    </w:p>
    <w:p>
      <w:pPr>
        <w:spacing w:after="160" w:line="360"/>
        <w:ind w:firstLine="720"/>
        <w:jc w:val="both"/>
      </w:pPr>
      <w:r>
        <w:rPr>
          <w:rFonts w:ascii="Times New Roman" w:cs="Times New Roman" w:eastAsia="Times New Roman" w:hAnsi="Times New Roman"/>
          <w:sz w:val="24"/>
          <w:szCs w:val="24"/>
        </w:rPr>
        <w:t xml:space="preserve">Bayesian optimisation (BO) maintains a probabilistic surrogate model of the objective function, updated after each evaluation, to guide subsequent sampling towards promising regions [3]. The Gaussian process (GP) surrogate is widely used due to its closed-form posterior update and natural uncertainty quantification via the acquisition function. The seminal work of Snoek et al. [3] applied GP-based BO to neural network HPO, demonstrating substantial improvements over random search. However, GP inference scales as O(k^3) in the number of observations k, limiting scalability to large evaluation budgets. The Tree-structured Parzen Estimator (TPE) [4] addresses this limitation by modelling the density of good and bad configurations using kernel density estimators, enabling more scalable implementation. Both approaches treat the search space as a black box and do not exploit structural decomposition.</w:t>
      </w:r>
    </w:p>
    <w:p>
      <w:pPr>
        <w:pStyle w:val="Heading2"/>
        <w:spacing w:after="160" w:before="300"/>
      </w:pPr>
      <w:r>
        <w:rPr>
          <w:rFonts w:ascii="Arial" w:cs="Arial" w:eastAsia="Arial" w:hAnsi="Arial"/>
          <w:b/>
          <w:bCs/>
          <w:sz w:val="26"/>
          <w:szCs w:val="26"/>
        </w:rPr>
        <w:t xml:space="preserve">2.3. Multi-Fidelity and Bandit Methods</w:t>
      </w:r>
    </w:p>
    <w:p>
      <w:pPr>
        <w:spacing w:after="160" w:line="360"/>
        <w:ind w:firstLine="720"/>
        <w:jc w:val="both"/>
      </w:pPr>
      <w:r>
        <w:rPr>
          <w:rFonts w:ascii="Times New Roman" w:cs="Times New Roman" w:eastAsia="Times New Roman" w:hAnsi="Times New Roman"/>
          <w:sz w:val="24"/>
          <w:szCs w:val="24"/>
        </w:rPr>
        <w:t xml:space="preserve">Hyperband [5] recasts HPO as a resource allocation problem, applying successive halving across random configurations to rapidly identify promising candidates while discarding poor ones early. It achieves strong theoretical guarantees under a pure exploration bandit formulation. BOHB [6] combines Hyperband's resource efficiency with the TPE surrogate, achieving state-of-the-art empirical performance across diverse benchmarks. These methods are primarily designed for settings where partial evaluations (e.g., training for fewer epochs) are substantially cheaper than full evaluations, and do not exploit the separable structure of the hyperparameter space.</w:t>
      </w:r>
    </w:p>
    <w:p>
      <w:pPr>
        <w:pStyle w:val="Heading2"/>
        <w:spacing w:after="160" w:before="300"/>
      </w:pPr>
      <w:r>
        <w:rPr>
          <w:rFonts w:ascii="Arial" w:cs="Arial" w:eastAsia="Arial" w:hAnsi="Arial"/>
          <w:b/>
          <w:bCs/>
          <w:sz w:val="26"/>
          <w:szCs w:val="26"/>
        </w:rPr>
        <w:t xml:space="preserve">2.4. Modern Frameworks</w:t>
      </w:r>
    </w:p>
    <w:p>
      <w:pPr>
        <w:spacing w:after="160" w:line="360"/>
        <w:ind w:firstLine="720"/>
        <w:jc w:val="both"/>
      </w:pPr>
      <w:r>
        <w:rPr>
          <w:rFonts w:ascii="Times New Roman" w:cs="Times New Roman" w:eastAsia="Times New Roman" w:hAnsi="Times New Roman"/>
          <w:sz w:val="24"/>
          <w:szCs w:val="24"/>
        </w:rPr>
        <w:t xml:space="preserve">Optuna [7] introduced the define-by-run interface and efficient TPE sampling with pruning, becoming one of the most widely adopted HPO frameworks in practice. Optuna treats the objective function as a complete black box with no structural assumptions about the search space. Like other surrogate-based methods, it does not exploit the optimal substructure or overlapping subproblem properties that DP-HPO targets.</w:t>
      </w:r>
    </w:p>
    <w:p>
      <w:pPr>
        <w:pStyle w:val="Heading2"/>
        <w:spacing w:after="160" w:before="300"/>
      </w:pPr>
      <w:r>
        <w:rPr>
          <w:rFonts w:ascii="Arial" w:cs="Arial" w:eastAsia="Arial" w:hAnsi="Arial"/>
          <w:b/>
          <w:bCs/>
          <w:sz w:val="26"/>
          <w:szCs w:val="26"/>
        </w:rPr>
        <w:t xml:space="preserve">2.5. Neural Architecture Search</w:t>
      </w:r>
    </w:p>
    <w:p>
      <w:pPr>
        <w:spacing w:after="160" w:line="360"/>
        <w:ind w:firstLine="720"/>
        <w:jc w:val="both"/>
      </w:pPr>
      <w:r>
        <w:rPr>
          <w:rFonts w:ascii="Times New Roman" w:cs="Times New Roman" w:eastAsia="Times New Roman" w:hAnsi="Times New Roman"/>
          <w:sz w:val="24"/>
          <w:szCs w:val="24"/>
        </w:rPr>
        <w:t xml:space="preserve">Neural Architecture Search (NAS) methods such as that of Zoph and Le [12] use reinforcement learning to search neural architecture spaces, demonstrating the potential of structured search strategies. However, NAS methods target categorical architecture decisions (layer types, skip connections) rather than continuous or discrete training hyperparameters, and require orders of magnitude more compute — up to 800 GPU-days [12] — making direct comparison inappropriate. Surveys of NAS and HPO are provided in [9,10,13].</w:t>
      </w:r>
    </w:p>
    <w:p>
      <w:pPr>
        <w:pStyle w:val="Heading2"/>
        <w:spacing w:after="160" w:before="300"/>
      </w:pPr>
      <w:r>
        <w:rPr>
          <w:rFonts w:ascii="Arial" w:cs="Arial" w:eastAsia="Arial" w:hAnsi="Arial"/>
          <w:b/>
          <w:bCs/>
          <w:sz w:val="26"/>
          <w:szCs w:val="26"/>
        </w:rPr>
        <w:t xml:space="preserve">2.6. Relationship to Coordinate Descent</w:t>
      </w:r>
    </w:p>
    <w:p>
      <w:pPr>
        <w:spacing w:after="160" w:line="360"/>
        <w:ind w:firstLine="720"/>
        <w:jc w:val="both"/>
      </w:pPr>
      <w:r>
        <w:rPr>
          <w:rFonts w:ascii="Times New Roman" w:cs="Times New Roman" w:eastAsia="Times New Roman" w:hAnsi="Times New Roman"/>
          <w:sz w:val="24"/>
          <w:szCs w:val="24"/>
        </w:rPr>
        <w:t xml:space="preserve">DP-HPO is most closely related to greedy coordinate optimisation. Shi et al. [11] demonstrate that for separable or near-separable objective functions, coordinate-wise optimisation achieves convergence rates competitive with full-gradient methods at a fraction of the cost. DP-HPO can be viewed as an instance of greedy coordinate optimisation over a discrete hyperparameter space [11], with memoisation providing the overlapping-subproblem caching that distinguishes it from simple sequential coordinate search. The key theoretical contribution of the present work is the formal connection to Bellman's Principle of Optimality [1] via the optimal substructure proof of Lemma 1, which provides a rigorous foundation for the greedy commitment strategy.</w:t>
      </w:r>
    </w:p>
    <w:p>
      <w:pPr>
        <w:spacing w:after="160" w:line="360"/>
        <w:ind w:firstLine="720"/>
        <w:jc w:val="both"/>
      </w:pPr>
      <w:r>
        <w:rPr>
          <w:rFonts w:ascii="Times New Roman" w:cs="Times New Roman" w:eastAsia="Times New Roman" w:hAnsi="Times New Roman"/>
          <w:sz w:val="24"/>
          <w:szCs w:val="24"/>
        </w:rPr>
        <w:t xml:space="preserve">To the best of our knowledge, no prior work has applied dynamic programming formalism — with an explicit optimal substructure proof and overlapping subproblem exploitation via memoisation — to the discrete neural network hyperparameter optimisation problem.</w:t>
      </w:r>
    </w:p>
    <w:p>
      <w:pPr>
        <w:pStyle w:val="Heading1"/>
        <w:spacing w:after="200" w:before="400"/>
      </w:pPr>
      <w:r>
        <w:rPr>
          <w:rFonts w:ascii="Arial" w:cs="Arial" w:eastAsia="Arial" w:hAnsi="Arial"/>
          <w:b/>
          <w:bCs/>
          <w:sz w:val="28"/>
          <w:szCs w:val="28"/>
        </w:rPr>
        <w:t xml:space="preserve">3. Methodology</w:t>
      </w:r>
    </w:p>
    <w:p>
      <w:pPr>
        <w:pStyle w:val="Heading2"/>
        <w:spacing w:after="160" w:before="300"/>
      </w:pPr>
      <w:r>
        <w:rPr>
          <w:rFonts w:ascii="Arial" w:cs="Arial" w:eastAsia="Arial" w:hAnsi="Arial"/>
          <w:b/>
          <w:bCs/>
          <w:sz w:val="26"/>
          <w:szCs w:val="26"/>
        </w:rPr>
        <w:t xml:space="preserve">3.1. Problem Formulation</w:t>
      </w:r>
    </w:p>
    <w:p>
      <w:pPr>
        <w:spacing w:after="160" w:line="360"/>
        <w:ind w:firstLine="720"/>
        <w:jc w:val="both"/>
      </w:pPr>
      <w:r>
        <w:rPr>
          <w:rFonts w:ascii="Times New Roman" w:cs="Times New Roman" w:eastAsia="Times New Roman" w:hAnsi="Times New Roman"/>
          <w:sz w:val="24"/>
          <w:szCs w:val="24"/>
        </w:rPr>
        <w:t xml:space="preserve">Let H = H_1 x H_2 x ... x H_d denote the hyperparameter search space, where H_i is the finite set of candidate values for the i-th hyperparameter dimension and d is the number of dimensions. Each configuration h = (h_1, h_2, ..., h_d) in H defines a neural network architecture and training procedure. Let f: H -&gt; [0, 1] denote the validation accuracy function, where f(h) is the validation accuracy of a neural network trained with configuration h on a fixed dataset split, with a fixed random seed for reproducibility. The HPO problem is:</w:t>
      </w:r>
    </w:p>
    <w:p>
      <w:pPr>
        <w:spacing w:after="120"/>
        <w:jc w:val="center"/>
      </w:pPr>
      <w:r>
        <w:rPr>
          <w:rFonts w:ascii="Times New Roman" w:cs="Times New Roman" w:eastAsia="Times New Roman" w:hAnsi="Times New Roman"/>
          <w:b/>
          <w:bCs/>
          <w:i/>
          <w:iCs/>
          <w:sz w:val="24"/>
          <w:szCs w:val="24"/>
        </w:rPr>
        <w:t xml:space="preserve">h* = argmax</w:t>
      </w:r>
      <w:r>
        <w:rPr>
          <w:rFonts w:ascii="Times New Roman" w:cs="Times New Roman" w:eastAsia="Times New Roman" w:hAnsi="Times New Roman"/>
          <w:i/>
          <w:iCs/>
          <w:sz w:val="24"/>
          <w:szCs w:val="24"/>
        </w:rPr>
        <w:t xml:space="preserve"> f(h)</w:t>
      </w:r>
    </w:p>
    <w:p>
      <w:pPr>
        <w:spacing w:after="160" w:line="360"/>
        <w:ind w:firstLine="720"/>
        <w:jc w:val="both"/>
      </w:pPr>
      <w:r>
        <w:rPr>
          <w:rFonts w:ascii="Times New Roman" w:cs="Times New Roman" w:eastAsia="Times New Roman" w:hAnsi="Times New Roman"/>
          <w:sz w:val="24"/>
          <w:szCs w:val="24"/>
        </w:rPr>
        <w:t xml:space="preserve">Since f is non-differentiable and stochastic, gradient-based methods are inapplicable. Direct evaluation of all |H| = prod(|H_i|) configurations (grid search) is computationally intractable for large search spaces due to the curse of dimensionality [21].</w:t>
      </w:r>
    </w:p>
    <w:p>
      <w:pPr>
        <w:pStyle w:val="Heading2"/>
        <w:spacing w:after="160" w:before="300"/>
      </w:pPr>
      <w:r>
        <w:rPr>
          <w:rFonts w:ascii="Arial" w:cs="Arial" w:eastAsia="Arial" w:hAnsi="Arial"/>
          <w:b/>
          <w:bCs/>
          <w:sz w:val="26"/>
          <w:szCs w:val="26"/>
        </w:rPr>
        <w:t xml:space="preserve">3.2. Dynamic Programming Formulation</w:t>
      </w:r>
    </w:p>
    <w:p>
      <w:pPr>
        <w:spacing w:after="160" w:line="360"/>
        <w:ind w:firstLine="720"/>
        <w:jc w:val="both"/>
      </w:pPr>
      <w:r>
        <w:rPr>
          <w:rFonts w:ascii="Times New Roman" w:cs="Times New Roman" w:eastAsia="Times New Roman" w:hAnsi="Times New Roman"/>
          <w:sz w:val="24"/>
          <w:szCs w:val="24"/>
        </w:rPr>
        <w:t xml:space="preserve">We reformulate HPO as a dynamic programming problem by identifying two structural properties of the validation accuracy function that, when present, enable efficient greedy optimisation.</w:t>
      </w:r>
    </w:p>
    <w:p>
      <w:pPr>
        <w:spacing w:after="160" w:line="360"/>
        <w:ind w:firstLine="720"/>
        <w:jc w:val="both"/>
      </w:pPr>
      <w:r>
        <w:rPr>
          <w:rFonts w:ascii="Times New Roman" w:cs="Times New Roman" w:eastAsia="Times New Roman" w:hAnsi="Times New Roman"/>
          <w:b/>
          <w:bCs/>
          <w:sz w:val="24"/>
          <w:szCs w:val="24"/>
        </w:rPr>
        <w:t xml:space="preserve">Definition (Conditional Independence). </w:t>
      </w:r>
      <w:r>
        <w:rPr>
          <w:rFonts w:ascii="Times New Roman" w:cs="Times New Roman" w:eastAsia="Times New Roman" w:hAnsi="Times New Roman"/>
          <w:sz w:val="24"/>
          <w:szCs w:val="24"/>
        </w:rPr>
        <w:t xml:space="preserve">The validation accuracy function f(h_1, ..., h_d) satisfies the conditional independence property if, for each dimension i, the optimal value h*_i is conditionally independent of the values of dimensions i+1, ..., d, given the optimal values of dimensions 1, ..., i-1. That is:</w:t>
      </w:r>
    </w:p>
    <w:p>
      <w:pPr>
        <w:spacing w:after="120"/>
        <w:jc w:val="center"/>
      </w:pPr>
      <w:r>
        <w:rPr>
          <w:rFonts w:ascii="Times New Roman" w:cs="Times New Roman" w:eastAsia="Times New Roman" w:hAnsi="Times New Roman"/>
          <w:i/>
          <w:iCs/>
          <w:sz w:val="24"/>
          <w:szCs w:val="24"/>
        </w:rPr>
        <w:t xml:space="preserve">h*_i = argmax_{v in H_i} f(h*_1, ..., h*_{i-1}, v, DEFAULT_{i+1}, ..., DEFAULT_d)</w:t>
      </w:r>
    </w:p>
    <w:p>
      <w:pPr>
        <w:spacing w:after="160" w:line="360"/>
        <w:ind w:firstLine="720"/>
        <w:jc w:val="both"/>
      </w:pPr>
      <w:r>
        <w:rPr>
          <w:rFonts w:ascii="Times New Roman" w:cs="Times New Roman" w:eastAsia="Times New Roman" w:hAnsi="Times New Roman"/>
          <w:sz w:val="24"/>
          <w:szCs w:val="24"/>
        </w:rPr>
        <w:t xml:space="preserve">where DEFAULT_j denotes a fixed default value for dimension j. Under this property, the global optimum can be identified by solving a sequence of d independent one-dimensional optimisation problems, each of complexity O(|H_i|).</w:t>
      </w:r>
    </w:p>
    <w:p>
      <w:pPr>
        <w:pStyle w:val="Heading2"/>
        <w:spacing w:after="160" w:before="300"/>
      </w:pPr>
      <w:r>
        <w:rPr>
          <w:rFonts w:ascii="Arial" w:cs="Arial" w:eastAsia="Arial" w:hAnsi="Arial"/>
          <w:b/>
          <w:bCs/>
          <w:sz w:val="26"/>
          <w:szCs w:val="26"/>
        </w:rPr>
        <w:t xml:space="preserve">3.3. Optimal Substructure — Lemma 1</w:t>
      </w:r>
    </w:p>
    <w:p>
      <w:pPr>
        <w:spacing w:after="160" w:line="360"/>
        <w:ind w:firstLine="720"/>
        <w:jc w:val="both"/>
      </w:pPr>
      <w:r>
        <w:rPr>
          <w:rFonts w:ascii="Times New Roman" w:cs="Times New Roman" w:eastAsia="Times New Roman" w:hAnsi="Times New Roman"/>
          <w:b/>
          <w:bCs/>
          <w:sz w:val="24"/>
          <w:szCs w:val="24"/>
        </w:rPr>
        <w:t xml:space="preserve">Lemma 1 (Optimal Substructure of DP-HPO). </w:t>
      </w:r>
      <w:r>
        <w:rPr>
          <w:rFonts w:ascii="Times New Roman" w:cs="Times New Roman" w:eastAsia="Times New Roman" w:hAnsi="Times New Roman"/>
          <w:sz w:val="24"/>
          <w:szCs w:val="24"/>
        </w:rPr>
        <w:t xml:space="preserve">Under the conditional independence assumption, the sequential commitment strategy of DP-HPO is optimal in the following sense. Define the value function:</w:t>
      </w:r>
    </w:p>
    <w:p>
      <w:pPr>
        <w:spacing w:after="120"/>
        <w:jc w:val="center"/>
      </w:pPr>
      <w:r>
        <w:rPr>
          <w:rFonts w:ascii="Times New Roman" w:cs="Times New Roman" w:eastAsia="Times New Roman" w:hAnsi="Times New Roman"/>
          <w:i/>
          <w:iCs/>
          <w:sz w:val="24"/>
          <w:szCs w:val="24"/>
        </w:rPr>
        <w:t xml:space="preserve">V_i(h_1, ..., h_i) = max_{h_{i+1}, ..., h_d} f(h_1, ..., h_i, h_{i+1}, ..., h_d)</w:t>
      </w:r>
    </w:p>
    <w:p>
      <w:pPr>
        <w:spacing w:after="160" w:line="360"/>
        <w:ind w:firstLine="720"/>
        <w:jc w:val="both"/>
      </w:pPr>
      <w:r>
        <w:rPr>
          <w:rFonts w:ascii="Times New Roman" w:cs="Times New Roman" w:eastAsia="Times New Roman" w:hAnsi="Times New Roman"/>
          <w:sz w:val="24"/>
          <w:szCs w:val="24"/>
        </w:rPr>
        <w:t xml:space="preserve">Then V satisfies Bellman's Principle of Optimality [1]:</w:t>
      </w:r>
    </w:p>
    <w:p>
      <w:pPr>
        <w:spacing w:after="120"/>
        <w:jc w:val="center"/>
      </w:pPr>
      <w:r>
        <w:rPr>
          <w:rFonts w:ascii="Times New Roman" w:cs="Times New Roman" w:eastAsia="Times New Roman" w:hAnsi="Times New Roman"/>
          <w:i/>
          <w:iCs/>
          <w:sz w:val="24"/>
          <w:szCs w:val="24"/>
        </w:rPr>
        <w:t xml:space="preserve">V_i(h_1, ..., h_i) = max_{v in H_{i+1}} V_{i+1}(h_1, ..., h_i, v)</w:t>
      </w:r>
    </w:p>
    <w:p>
      <w:pPr>
        <w:spacing w:after="160" w:line="360"/>
        <w:ind w:firstLine="720"/>
        <w:jc w:val="both"/>
      </w:pPr>
      <w:r>
        <w:rPr>
          <w:rFonts w:ascii="Times New Roman" w:cs="Times New Roman" w:eastAsia="Times New Roman" w:hAnsi="Times New Roman"/>
          <w:b/>
          <w:bCs/>
          <w:sz w:val="24"/>
          <w:szCs w:val="24"/>
        </w:rPr>
        <w:t xml:space="preserve">Proof sketch. </w:t>
      </w:r>
      <w:r>
        <w:rPr>
          <w:rFonts w:ascii="Times New Roman" w:cs="Times New Roman" w:eastAsia="Times New Roman" w:hAnsi="Times New Roman"/>
          <w:sz w:val="24"/>
          <w:szCs w:val="24"/>
        </w:rPr>
        <w:t xml:space="preserve">Under conditional independence, once dimensions 1, ..., i have been committed to their optimal values, the remaining subproblem of optimising dimensions i+1, ..., d is independent of the path taken to reach (h_1, ..., h_i). This satisfies Bellman's Principle of Optimality [1]: an optimal policy for the full problem consists of an optimal policy for every subproblem. The greedy commitment strategy therefore recovers the globally optimal configuration. When the independence assumption is violated (due to strong cross-dimensional interactions), DP-HPO finds a locally optimal solution that may not coincide with the global optimum — a limitation acknowledged in Section 6.1.</w:t>
      </w:r>
    </w:p>
    <w:p>
      <w:pPr>
        <w:spacing w:after="160" w:line="360"/>
        <w:ind w:firstLine="720"/>
        <w:jc w:val="both"/>
      </w:pPr>
      <w:r>
        <w:rPr>
          <w:rFonts w:ascii="Times New Roman" w:cs="Times New Roman" w:eastAsia="Times New Roman" w:hAnsi="Times New Roman"/>
          <w:b/>
          <w:bCs/>
          <w:sz w:val="24"/>
          <w:szCs w:val="24"/>
        </w:rPr>
        <w:t xml:space="preserve">Overlapping Subproblems. </w:t>
      </w:r>
      <w:r>
        <w:rPr>
          <w:rFonts w:ascii="Times New Roman" w:cs="Times New Roman" w:eastAsia="Times New Roman" w:hAnsi="Times New Roman"/>
          <w:sz w:val="24"/>
          <w:szCs w:val="24"/>
        </w:rPr>
        <w:t xml:space="preserve">During the sweep over dimension i, all candidates in H_i are evaluated against the same committed prefix (h*_1, ..., h*_{i-1}) and default suffix (DEFAULT_{i+1}, ..., DEFAULT_d). Many of these evaluations correspond to identical complete configurations — for example, the default configuration is evaluated once during the first dimension's sweep and retrieved from the memo table in all subsequent sweeps. This overlapping subproblem structure, combined with memoisation [19], ensures each unique configuration is trained at most once.</w:t>
      </w:r>
    </w:p>
    <w:p>
      <w:pPr>
        <w:pStyle w:val="Heading2"/>
        <w:spacing w:after="160" w:before="300"/>
      </w:pPr>
      <w:r>
        <w:rPr>
          <w:rFonts w:ascii="Arial" w:cs="Arial" w:eastAsia="Arial" w:hAnsi="Arial"/>
          <w:b/>
          <w:bCs/>
          <w:sz w:val="26"/>
          <w:szCs w:val="26"/>
        </w:rPr>
        <w:t xml:space="preserve">3.4. The DP-HPO Algorithm</w:t>
      </w:r>
    </w:p>
    <w:p>
      <w:pPr>
        <w:spacing w:after="160" w:line="360"/>
        <w:ind w:firstLine="720"/>
        <w:jc w:val="both"/>
      </w:pPr>
      <w:r>
        <w:rPr>
          <w:rFonts w:ascii="Times New Roman" w:cs="Times New Roman" w:eastAsia="Times New Roman" w:hAnsi="Times New Roman"/>
          <w:sz w:val="24"/>
          <w:szCs w:val="24"/>
        </w:rPr>
        <w:t xml:space="preserve">The DP-HPO algorithm is presented below. Let DEFAULTS = (d_1, ..., d_d) denote a fixed default configuration serving as the initialisation point. The algorithm maintains a commitment vector that is iteratively refined, one dimension at a time.</w:t>
      </w:r>
    </w:p>
    <w:p>
      <w:pPr>
        <w:spacing w:after="80" w:before="160"/>
        <w:ind w:left="720"/>
      </w:pPr>
      <w:r>
        <w:rPr>
          <w:rFonts w:ascii="Courier New" w:cs="Courier New" w:eastAsia="Courier New" w:hAnsi="Courier New"/>
          <w:b/>
          <w:bCs/>
          <w:sz w:val="22"/>
          <w:szCs w:val="22"/>
        </w:rPr>
        <w:t xml:space="preserve">Algorithm 1: DP-HPO</w:t>
      </w:r>
    </w:p>
    <w:p>
      <w:pPr>
        <w:spacing w:after="20"/>
        <w:ind w:left="720"/>
      </w:pPr>
      <w:r>
        <w:rPr>
          <w:rFonts w:ascii="Courier New" w:cs="Courier New" w:eastAsia="Courier New" w:hAnsi="Courier New"/>
          <w:sz w:val="20"/>
          <w:szCs w:val="20"/>
        </w:rPr>
        <w:t xml:space="preserve">Input:  Search space H_1 x ... x H_d, DEFAULTS, evaluation oracle f</w:t>
      </w:r>
    </w:p>
    <w:p>
      <w:pPr>
        <w:spacing w:after="20"/>
        <w:ind w:left="720"/>
      </w:pPr>
      <w:r>
        <w:rPr>
          <w:rFonts w:ascii="Courier New" w:cs="Courier New" w:eastAsia="Courier New" w:hAnsi="Courier New"/>
          <w:sz w:val="20"/>
          <w:szCs w:val="20"/>
        </w:rPr>
        <w:t xml:space="preserve">Output: Configuration h* = (h*_1, ..., h*_d)</w:t>
      </w:r>
    </w:p>
    <w:p>
      <w:pPr>
        <w:spacing w:after="20"/>
        <w:ind w:left="720"/>
      </w:pPr>
      <w:r>
        <w:rPr>
          <w:rFonts w:ascii="Courier New" w:cs="Courier New" w:eastAsia="Courier New" w:hAnsi="Courier New"/>
          <w:sz w:val="20"/>
          <w:szCs w:val="20"/>
        </w:rPr>
        <w:t xml:space="preserve"/>
      </w:r>
    </w:p>
    <w:p>
      <w:pPr>
        <w:spacing w:after="20"/>
        <w:ind w:left="720"/>
      </w:pPr>
      <w:r>
        <w:rPr>
          <w:rFonts w:ascii="Courier New" w:cs="Courier New" w:eastAsia="Courier New" w:hAnsi="Courier New"/>
          <w:sz w:val="20"/>
          <w:szCs w:val="20"/>
        </w:rPr>
        <w:t xml:space="preserve">1.  committed &lt;- list(DEFAULTS)</w:t>
      </w:r>
    </w:p>
    <w:p>
      <w:pPr>
        <w:spacing w:after="20"/>
        <w:ind w:left="720"/>
      </w:pPr>
      <w:r>
        <w:rPr>
          <w:rFonts w:ascii="Courier New" w:cs="Courier New" w:eastAsia="Courier New" w:hAnsi="Courier New"/>
          <w:sz w:val="20"/>
          <w:szCs w:val="20"/>
        </w:rPr>
        <w:t xml:space="preserve">2.  memo      &lt;- empty hash table</w:t>
      </w:r>
    </w:p>
    <w:p>
      <w:pPr>
        <w:spacing w:after="20"/>
        <w:ind w:left="720"/>
      </w:pPr>
      <w:r>
        <w:rPr>
          <w:rFonts w:ascii="Courier New" w:cs="Courier New" w:eastAsia="Courier New" w:hAnsi="Courier New"/>
          <w:sz w:val="20"/>
          <w:szCs w:val="20"/>
        </w:rPr>
        <w:t xml:space="preserve">3.  best_acc  &lt;- -infinity</w:t>
      </w:r>
    </w:p>
    <w:p>
      <w:pPr>
        <w:spacing w:after="20"/>
        <w:ind w:left="720"/>
      </w:pPr>
      <w:r>
        <w:rPr>
          <w:rFonts w:ascii="Courier New" w:cs="Courier New" w:eastAsia="Courier New" w:hAnsi="Courier New"/>
          <w:sz w:val="20"/>
          <w:szCs w:val="20"/>
        </w:rPr>
        <w:t xml:space="preserve">4.  For i = 0 to d-1:</w:t>
      </w:r>
    </w:p>
    <w:p>
      <w:pPr>
        <w:spacing w:after="20"/>
        <w:ind w:left="720"/>
      </w:pPr>
      <w:r>
        <w:rPr>
          <w:rFonts w:ascii="Courier New" w:cs="Courier New" w:eastAsia="Courier New" w:hAnsi="Courier New"/>
          <w:sz w:val="20"/>
          <w:szCs w:val="20"/>
        </w:rPr>
        <w:t xml:space="preserve">5.    best_val &lt;- committed[i]</w:t>
      </w:r>
    </w:p>
    <w:p>
      <w:pPr>
        <w:spacing w:after="20"/>
        <w:ind w:left="720"/>
      </w:pPr>
      <w:r>
        <w:rPr>
          <w:rFonts w:ascii="Courier New" w:cs="Courier New" w:eastAsia="Courier New" w:hAnsi="Courier New"/>
          <w:sz w:val="20"/>
          <w:szCs w:val="20"/>
        </w:rPr>
        <w:t xml:space="preserve">6.    For each v in H_i:</w:t>
      </w:r>
    </w:p>
    <w:p>
      <w:pPr>
        <w:spacing w:after="20"/>
        <w:ind w:left="720"/>
      </w:pPr>
      <w:r>
        <w:rPr>
          <w:rFonts w:ascii="Courier New" w:cs="Courier New" w:eastAsia="Courier New" w:hAnsi="Courier New"/>
          <w:sz w:val="20"/>
          <w:szCs w:val="20"/>
        </w:rPr>
        <w:t xml:space="preserve">7.      cfg  &lt;- committed[0..i-1] + [v] + DEFAULTS[i+1..d-1]</w:t>
      </w:r>
    </w:p>
    <w:p>
      <w:pPr>
        <w:spacing w:after="20"/>
        <w:ind w:left="720"/>
      </w:pPr>
      <w:r>
        <w:rPr>
          <w:rFonts w:ascii="Courier New" w:cs="Courier New" w:eastAsia="Courier New" w:hAnsi="Courier New"/>
          <w:sz w:val="20"/>
          <w:szCs w:val="20"/>
        </w:rPr>
        <w:t xml:space="preserve">8.      If cfg in memo: acc &lt;- memo[cfg]</w:t>
      </w:r>
    </w:p>
    <w:p>
      <w:pPr>
        <w:spacing w:after="20"/>
        <w:ind w:left="720"/>
      </w:pPr>
      <w:r>
        <w:rPr>
          <w:rFonts w:ascii="Courier New" w:cs="Courier New" w:eastAsia="Courier New" w:hAnsi="Courier New"/>
          <w:sz w:val="20"/>
          <w:szCs w:val="20"/>
        </w:rPr>
        <w:t xml:space="preserve">9.      Else: acc &lt;- f(cfg); memo[cfg] &lt;- acc</w:t>
      </w:r>
    </w:p>
    <w:p>
      <w:pPr>
        <w:spacing w:after="20"/>
        <w:ind w:left="720"/>
      </w:pPr>
      <w:r>
        <w:rPr>
          <w:rFonts w:ascii="Courier New" w:cs="Courier New" w:eastAsia="Courier New" w:hAnsi="Courier New"/>
          <w:sz w:val="20"/>
          <w:szCs w:val="20"/>
        </w:rPr>
        <w:t xml:space="preserve">10.     If acc &gt; best_acc: best_acc &lt;- acc; best_val &lt;- v</w:t>
      </w:r>
    </w:p>
    <w:p>
      <w:pPr>
        <w:spacing w:after="20"/>
        <w:ind w:left="720"/>
      </w:pPr>
      <w:r>
        <w:rPr>
          <w:rFonts w:ascii="Courier New" w:cs="Courier New" w:eastAsia="Courier New" w:hAnsi="Courier New"/>
          <w:sz w:val="20"/>
          <w:szCs w:val="20"/>
        </w:rPr>
        <w:t xml:space="preserve">11.   committed[i] &lt;- best_val</w:t>
      </w:r>
    </w:p>
    <w:p>
      <w:pPr>
        <w:spacing w:after="20"/>
        <w:ind w:left="720"/>
      </w:pPr>
      <w:r>
        <w:rPr>
          <w:rFonts w:ascii="Courier New" w:cs="Courier New" w:eastAsia="Courier New" w:hAnsi="Courier New"/>
          <w:sz w:val="20"/>
          <w:szCs w:val="20"/>
        </w:rPr>
        <w:t xml:space="preserve">12. Return committed</w:t>
      </w:r>
    </w:p>
    <w:p>
      <w:pPr>
        <w:spacing w:after="80"/>
      </w:pPr>
      <w:r>
        <w:rPr>
          <w:rFonts w:ascii="Times New Roman" w:cs="Times New Roman" w:eastAsia="Times New Roman" w:hAnsi="Times New Roman"/>
          <w:sz w:val="24"/>
          <w:szCs w:val="24"/>
        </w:rPr>
        <w:t xml:space="preserve"> </w:t>
      </w:r>
    </w:p>
    <w:p>
      <w:pPr>
        <w:spacing w:after="160" w:line="360"/>
        <w:ind w:firstLine="720"/>
        <w:jc w:val="both"/>
      </w:pPr>
      <w:r>
        <w:rPr>
          <w:rFonts w:ascii="Times New Roman" w:cs="Times New Roman" w:eastAsia="Times New Roman" w:hAnsi="Times New Roman"/>
          <w:sz w:val="24"/>
          <w:szCs w:val="24"/>
        </w:rPr>
        <w:t xml:space="preserve">The correctness of Algorithm 1 follows directly from Lemma 1. At step 4, each dimension is committed to its locally optimal value given the current prefix, which corresponds to one step of the Bellman recursion. The memo table at step 8-9 implements the overlapping-subproblem cache.</w:t>
      </w:r>
    </w:p>
    <w:p>
      <w:pPr>
        <w:pStyle w:val="Heading2"/>
        <w:spacing w:after="160" w:before="300"/>
      </w:pPr>
      <w:r>
        <w:rPr>
          <w:rFonts w:ascii="Arial" w:cs="Arial" w:eastAsia="Arial" w:hAnsi="Arial"/>
          <w:b/>
          <w:bCs/>
          <w:sz w:val="26"/>
          <w:szCs w:val="26"/>
        </w:rPr>
        <w:t xml:space="preserve">3.5. Complexity Analysis</w:t>
      </w:r>
    </w:p>
    <w:p>
      <w:pPr>
        <w:spacing w:after="160" w:line="360"/>
        <w:ind w:firstLine="720"/>
        <w:jc w:val="both"/>
      </w:pPr>
      <w:r>
        <w:rPr>
          <w:rFonts w:ascii="Times New Roman" w:cs="Times New Roman" w:eastAsia="Times New Roman" w:hAnsi="Times New Roman"/>
          <w:sz w:val="24"/>
          <w:szCs w:val="24"/>
        </w:rPr>
        <w:t xml:space="preserve">The evaluation complexity of DP-HPO is O(n.d), where n = max_i |H_i| and d is the number of dimensions. This compares favourably to O(n^d) for grid search, O(k) for random search (user-defined k), and O(k^3) for GP-based Bayesian optimisation (dominated by GP inference [3]). For the search space considered in this work (n = 4, d = 4), the maximum evaluation count is 3 + 4 + 3 + 3 = </w:t>
      </w:r>
      <w:r>
        <w:rPr>
          <w:rFonts w:ascii="Times New Roman" w:cs="Times New Roman" w:eastAsia="Times New Roman" w:hAnsi="Times New Roman"/>
          <w:b/>
          <w:bCs/>
          <w:sz w:val="24"/>
          <w:szCs w:val="24"/>
        </w:rPr>
        <w:t xml:space="preserve">13 evaluations</w:t>
      </w:r>
      <w:r>
        <w:rPr>
          <w:rFonts w:ascii="Times New Roman" w:cs="Times New Roman" w:eastAsia="Times New Roman" w:hAnsi="Times New Roman"/>
          <w:sz w:val="24"/>
          <w:szCs w:val="24"/>
        </w:rPr>
        <w:t xml:space="preserve">, compared to 108 for grid search — a </w:t>
      </w:r>
      <w:r>
        <w:rPr>
          <w:rFonts w:ascii="Times New Roman" w:cs="Times New Roman" w:eastAsia="Times New Roman" w:hAnsi="Times New Roman"/>
          <w:b/>
          <w:bCs/>
          <w:sz w:val="24"/>
          <w:szCs w:val="24"/>
        </w:rPr>
        <w:t xml:space="preserve">90.7% reduction</w:t>
      </w:r>
      <w:r>
        <w:rPr>
          <w:rFonts w:ascii="Times New Roman" w:cs="Times New Roman" w:eastAsia="Times New Roman" w:hAnsi="Times New Roman"/>
          <w:sz w:val="24"/>
          <w:szCs w:val="24"/>
        </w:rPr>
        <w:t xml:space="preserve">. With memoisation, the default configuration evaluation is shared across dimensions, reducing the typical evaluation count to approximately 10.</w:t>
      </w:r>
    </w:p>
    <w:p>
      <w:pPr>
        <w:pStyle w:val="Heading2"/>
        <w:spacing w:after="160" w:before="300"/>
      </w:pPr>
      <w:r>
        <w:rPr>
          <w:rFonts w:ascii="Arial" w:cs="Arial" w:eastAsia="Arial" w:hAnsi="Arial"/>
          <w:b/>
          <w:bCs/>
          <w:sz w:val="26"/>
          <w:szCs w:val="26"/>
        </w:rPr>
        <w:t xml:space="preserve">3.6. Search Space</w:t>
      </w:r>
    </w:p>
    <w:p>
      <w:pPr>
        <w:spacing w:after="160" w:line="360"/>
        <w:ind w:firstLine="720"/>
        <w:jc w:val="both"/>
      </w:pPr>
      <w:r>
        <w:rPr>
          <w:rFonts w:ascii="Times New Roman" w:cs="Times New Roman" w:eastAsia="Times New Roman" w:hAnsi="Times New Roman"/>
          <w:sz w:val="24"/>
          <w:szCs w:val="24"/>
        </w:rPr>
        <w:t xml:space="preserve">The hyperparameter search space considered in this work comprises four dimensions, yielding 108 total configurations. Table 1 summarises the search space.</w:t>
      </w:r>
    </w:p>
    <w:p>
      <w:pPr>
        <w:spacing w:after="80"/>
      </w:pPr>
      <w:r>
        <w:rPr>
          <w:rFonts w:ascii="Times New Roman" w:cs="Times New Roman" w:eastAsia="Times New Roman" w:hAnsi="Times New Roman"/>
          <w:sz w:val="24"/>
          <w:szCs w:val="24"/>
        </w:rPr>
        <w:t xml:space="preserve"> </w:t>
      </w:r>
    </w:p>
    <w:p>
      <w:pPr>
        <w:spacing w:after="200" w:before="80"/>
        <w:jc w:val="center"/>
      </w:pPr>
      <w:r>
        <w:rPr>
          <w:rFonts w:ascii="Times New Roman" w:cs="Times New Roman" w:eastAsia="Times New Roman" w:hAnsi="Times New Roman"/>
          <w:i/>
          <w:iCs/>
          <w:sz w:val="22"/>
          <w:szCs w:val="22"/>
        </w:rPr>
        <w:t xml:space="preserve">Table 1. Hyperparameter search space for DP-HPO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Hyperparameter</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Candidate Values</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Cardinality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Hidden layers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 2, 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Neurons per layer</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{32, 64, 128, 256}</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Learning rate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{0.001, 0.01, 0.1}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Activation function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{relu, tanh, logistic}</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Total configurations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3 x 4 x 3 x 3 = 108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108</w:t>
            </w:r>
          </w:p>
        </w:tc>
      </w:tr>
    </w:tbl>
    <w:p>
      <w:pPr>
        <w:spacing w:after="80"/>
      </w:pPr>
      <w:r>
        <w:rPr>
          <w:rFonts w:ascii="Times New Roman" w:cs="Times New Roman" w:eastAsia="Times New Roman" w:hAnsi="Times New Roman"/>
          <w:sz w:val="24"/>
          <w:szCs w:val="24"/>
        </w:rPr>
        <w:t xml:space="preserve"> </w:t>
      </w:r>
    </w:p>
    <w:p>
      <w:r>
        <w:br w:type="page"/>
      </w:r>
    </w:p>
    <w:p>
      <w:pPr>
        <w:pStyle w:val="Heading1"/>
        <w:spacing w:after="200" w:before="400"/>
      </w:pPr>
      <w:r>
        <w:rPr>
          <w:rFonts w:ascii="Arial" w:cs="Arial" w:eastAsia="Arial" w:hAnsi="Arial"/>
          <w:b/>
          <w:bCs/>
          <w:sz w:val="28"/>
          <w:szCs w:val="28"/>
        </w:rPr>
        <w:t xml:space="preserve">4. Experimental Setup</w:t>
      </w:r>
    </w:p>
    <w:p>
      <w:pPr>
        <w:pStyle w:val="Heading2"/>
        <w:spacing w:after="160" w:before="300"/>
      </w:pPr>
      <w:r>
        <w:rPr>
          <w:rFonts w:ascii="Arial" w:cs="Arial" w:eastAsia="Arial" w:hAnsi="Arial"/>
          <w:b/>
          <w:bCs/>
          <w:sz w:val="26"/>
          <w:szCs w:val="26"/>
        </w:rPr>
        <w:t xml:space="preserve">4.1. Datasets</w:t>
      </w:r>
    </w:p>
    <w:p>
      <w:pPr>
        <w:spacing w:after="160" w:line="360"/>
        <w:ind w:firstLine="720"/>
        <w:jc w:val="both"/>
      </w:pPr>
      <w:r>
        <w:rPr>
          <w:rFonts w:ascii="Times New Roman" w:cs="Times New Roman" w:eastAsia="Times New Roman" w:hAnsi="Times New Roman"/>
          <w:sz w:val="24"/>
          <w:szCs w:val="24"/>
        </w:rPr>
        <w:t xml:space="preserve">Experiments are conducted on four publicly available classification datasets from the UCI Machine Learning Repository [17] and the TensorFlow/Keras dataset library [18], spanning a range of sizes, dimensionalities, and task difficulties:</w:t>
      </w:r>
    </w:p>
    <w:p>
      <w:pPr>
        <w:spacing w:after="160" w:line="360"/>
        <w:ind w:firstLine="720"/>
        <w:jc w:val="both"/>
      </w:pPr>
      <w:r>
        <w:rPr>
          <w:rFonts w:ascii="Times New Roman" w:cs="Times New Roman" w:eastAsia="Times New Roman" w:hAnsi="Times New Roman"/>
          <w:b/>
          <w:bCs/>
          <w:sz w:val="24"/>
          <w:szCs w:val="24"/>
        </w:rPr>
        <w:t xml:space="preserve">(i) UCI Iris. </w:t>
      </w:r>
      <w:r>
        <w:rPr>
          <w:rFonts w:ascii="Times New Roman" w:cs="Times New Roman" w:eastAsia="Times New Roman" w:hAnsi="Times New Roman"/>
          <w:sz w:val="24"/>
          <w:szCs w:val="24"/>
        </w:rPr>
        <w:t xml:space="preserve">150 samples, 4 features, 3-class classification. A well-studied, linearly separable benchmark dataset. Standard 80/20 stratified split yields 120 training and 30 validation samples.</w:t>
      </w:r>
    </w:p>
    <w:p>
      <w:pPr>
        <w:spacing w:after="160" w:line="360"/>
        <w:ind w:firstLine="720"/>
        <w:jc w:val="both"/>
      </w:pPr>
      <w:r>
        <w:rPr>
          <w:rFonts w:ascii="Times New Roman" w:cs="Times New Roman" w:eastAsia="Times New Roman" w:hAnsi="Times New Roman"/>
          <w:b/>
          <w:bCs/>
          <w:sz w:val="24"/>
          <w:szCs w:val="24"/>
        </w:rPr>
        <w:t xml:space="preserve">(ii) UCI Heart Disease (Cleveland). </w:t>
      </w:r>
      <w:r>
        <w:rPr>
          <w:rFonts w:ascii="Times New Roman" w:cs="Times New Roman" w:eastAsia="Times New Roman" w:hAnsi="Times New Roman"/>
          <w:sz w:val="24"/>
          <w:szCs w:val="24"/>
        </w:rPr>
        <w:t xml:space="preserve">303 samples (297 after removing missing values), 13 features, binary classification (disease present vs. absent). A medium-difficulty medical dataset with class imbalance. The binary target is derived by thresholding the original integer target at zero.</w:t>
      </w:r>
    </w:p>
    <w:p>
      <w:pPr>
        <w:spacing w:after="160" w:line="360"/>
        <w:ind w:firstLine="720"/>
        <w:jc w:val="both"/>
      </w:pPr>
      <w:r>
        <w:rPr>
          <w:rFonts w:ascii="Times New Roman" w:cs="Times New Roman" w:eastAsia="Times New Roman" w:hAnsi="Times New Roman"/>
          <w:b/>
          <w:bCs/>
          <w:sz w:val="24"/>
          <w:szCs w:val="24"/>
        </w:rPr>
        <w:t xml:space="preserve">(iii) MNIST [18]. </w:t>
      </w:r>
      <w:r>
        <w:rPr>
          <w:rFonts w:ascii="Times New Roman" w:cs="Times New Roman" w:eastAsia="Times New Roman" w:hAnsi="Times New Roman"/>
          <w:sz w:val="24"/>
          <w:szCs w:val="24"/>
        </w:rPr>
        <w:t xml:space="preserve">70,000 grayscale 28x28 handwritten digit images, 10-class classification. Images are flattened to 784-dimensional feature vectors and normalised to [0, 1]. A stratified 10,000-sample subset is used for computational tractability on standard CPU hardware. Experiments thus use 8,000 training samples and 2,000 validation samples per seed.</w:t>
      </w:r>
    </w:p>
    <w:p>
      <w:pPr>
        <w:spacing w:after="160" w:line="360"/>
        <w:ind w:firstLine="720"/>
        <w:jc w:val="both"/>
      </w:pPr>
      <w:r>
        <w:rPr>
          <w:rFonts w:ascii="Times New Roman" w:cs="Times New Roman" w:eastAsia="Times New Roman" w:hAnsi="Times New Roman"/>
          <w:b/>
          <w:bCs/>
          <w:sz w:val="24"/>
          <w:szCs w:val="24"/>
        </w:rPr>
        <w:t xml:space="preserve">(iv) UCI Breast Cancer Wisconsin [17]. </w:t>
      </w:r>
      <w:r>
        <w:rPr>
          <w:rFonts w:ascii="Times New Roman" w:cs="Times New Roman" w:eastAsia="Times New Roman" w:hAnsi="Times New Roman"/>
          <w:sz w:val="24"/>
          <w:szCs w:val="24"/>
        </w:rPr>
        <w:t xml:space="preserve">569 samples, 30 features, binary classification (malignant vs. benign). A high-dimensional medical dataset with strong predictive signal, built into scikit-learn. Standard 80/20 stratified split yields 455 training and 114 validation samples.</w:t>
      </w:r>
    </w:p>
    <w:p>
      <w:pPr>
        <w:spacing w:after="160" w:line="360"/>
        <w:ind w:firstLine="720"/>
        <w:jc w:val="both"/>
      </w:pPr>
      <w:r>
        <w:rPr>
          <w:rFonts w:ascii="Times New Roman" w:cs="Times New Roman" w:eastAsia="Times New Roman" w:hAnsi="Times New Roman"/>
          <w:sz w:val="24"/>
          <w:szCs w:val="24"/>
        </w:rPr>
        <w:t xml:space="preserve">All datasets are split 80/20 (train/validation) with stratified sampling to preserve class proportions. Features are standardised using zero-mean unit-variance normalisation fit on the training split and applied to the validation split.</w:t>
      </w:r>
    </w:p>
    <w:p>
      <w:pPr>
        <w:pStyle w:val="Heading2"/>
        <w:spacing w:after="160" w:before="300"/>
      </w:pPr>
      <w:r>
        <w:rPr>
          <w:rFonts w:ascii="Arial" w:cs="Arial" w:eastAsia="Arial" w:hAnsi="Arial"/>
          <w:b/>
          <w:bCs/>
          <w:sz w:val="26"/>
          <w:szCs w:val="26"/>
        </w:rPr>
        <w:t xml:space="preserve">4.2. Neural Network Architecture and Training Protocol</w:t>
      </w:r>
    </w:p>
    <w:p>
      <w:pPr>
        <w:spacing w:after="160" w:line="360"/>
        <w:ind w:firstLine="720"/>
        <w:jc w:val="both"/>
      </w:pPr>
      <w:r>
        <w:rPr>
          <w:rFonts w:ascii="Times New Roman" w:cs="Times New Roman" w:eastAsia="Times New Roman" w:hAnsi="Times New Roman"/>
          <w:sz w:val="24"/>
          <w:szCs w:val="24"/>
        </w:rPr>
        <w:t xml:space="preserve">All models are fully-connected multi-layer perceptrons (MLPs) implemented in TensorFlow/Keras [14]. The input layer size matches the feature dimensionality of each dataset. Each hidden layer uses the activation function specified by the configuration; the output layer uses sigmoid activation for binary classification (with binary cross-entropy loss) or softmax activation for multi-class problems (with sparse categorical cross-entropy loss). All weights are optimised using the Adam optimiser [15] at the learning rate specified by the configuration. Early stopping [16] is applied with patience = 10 epochs and restore_best_weights = True, with a maximum of 100 training epochs and batch size of 32. All experiments use TensorFlow 2.x with deterministic seeds for reproducibility.</w:t>
      </w:r>
    </w:p>
    <w:p>
      <w:pPr>
        <w:pStyle w:val="Heading2"/>
        <w:spacing w:after="160" w:before="300"/>
      </w:pPr>
      <w:r>
        <w:rPr>
          <w:rFonts w:ascii="Arial" w:cs="Arial" w:eastAsia="Arial" w:hAnsi="Arial"/>
          <w:b/>
          <w:bCs/>
          <w:sz w:val="26"/>
          <w:szCs w:val="26"/>
        </w:rPr>
        <w:t xml:space="preserve">4.3. Baselines</w:t>
      </w:r>
    </w:p>
    <w:p>
      <w:pPr>
        <w:spacing w:after="160" w:line="360"/>
        <w:ind w:firstLine="720"/>
        <w:jc w:val="both"/>
      </w:pPr>
      <w:r>
        <w:rPr>
          <w:rFonts w:ascii="Times New Roman" w:cs="Times New Roman" w:eastAsia="Times New Roman" w:hAnsi="Times New Roman"/>
          <w:sz w:val="24"/>
          <w:szCs w:val="24"/>
        </w:rPr>
        <w:t xml:space="preserve">We compare DP-HPO against four baseline HPO methods, all searching over the identical search space defined in Table 1. To ensure fair comparison, all methods share a common memoised evaluation oracle per seed, so configurations evaluated by multiple methods within the same seed are trained only once:</w:t>
      </w:r>
    </w:p>
    <w:p>
      <w:pPr>
        <w:spacing w:after="160" w:line="360"/>
        <w:ind w:firstLine="720"/>
        <w:jc w:val="both"/>
      </w:pPr>
      <w:r>
        <w:rPr>
          <w:rFonts w:ascii="Times New Roman" w:cs="Times New Roman" w:eastAsia="Times New Roman" w:hAnsi="Times New Roman"/>
          <w:b/>
          <w:bCs/>
          <w:sz w:val="24"/>
          <w:szCs w:val="24"/>
        </w:rPr>
        <w:t xml:space="preserve">(i) Grid Search. </w:t>
      </w:r>
      <w:r>
        <w:rPr>
          <w:rFonts w:ascii="Times New Roman" w:cs="Times New Roman" w:eastAsia="Times New Roman" w:hAnsi="Times New Roman"/>
          <w:sz w:val="24"/>
          <w:szCs w:val="24"/>
        </w:rPr>
        <w:t xml:space="preserve">Exhaustive evaluation of all 108 configurations in lexicographic order. Guaranteed to find the best configuration within the search space.</w:t>
      </w:r>
    </w:p>
    <w:p>
      <w:pPr>
        <w:spacing w:after="160" w:line="360"/>
        <w:ind w:firstLine="720"/>
        <w:jc w:val="both"/>
      </w:pPr>
      <w:r>
        <w:rPr>
          <w:rFonts w:ascii="Times New Roman" w:cs="Times New Roman" w:eastAsia="Times New Roman" w:hAnsi="Times New Roman"/>
          <w:b/>
          <w:bCs/>
          <w:sz w:val="24"/>
          <w:szCs w:val="24"/>
        </w:rPr>
        <w:t xml:space="preserve">(ii) Random Search [2]. </w:t>
      </w:r>
      <w:r>
        <w:rPr>
          <w:rFonts w:ascii="Times New Roman" w:cs="Times New Roman" w:eastAsia="Times New Roman" w:hAnsi="Times New Roman"/>
          <w:sz w:val="24"/>
          <w:szCs w:val="24"/>
        </w:rPr>
        <w:t xml:space="preserve">Uniform random sampling of 20 configurations without replacement from the 108-element search space. Budget k = 20 matches the Bayesian and Optuna budgets.</w:t>
      </w:r>
    </w:p>
    <w:p>
      <w:pPr>
        <w:spacing w:after="160" w:line="360"/>
        <w:ind w:firstLine="720"/>
        <w:jc w:val="both"/>
      </w:pPr>
      <w:r>
        <w:rPr>
          <w:rFonts w:ascii="Times New Roman" w:cs="Times New Roman" w:eastAsia="Times New Roman" w:hAnsi="Times New Roman"/>
          <w:b/>
          <w:bCs/>
          <w:sz w:val="24"/>
          <w:szCs w:val="24"/>
        </w:rPr>
        <w:t xml:space="preserve">(iii) Bayesian Optimisation [3]. </w:t>
      </w:r>
      <w:r>
        <w:rPr>
          <w:rFonts w:ascii="Times New Roman" w:cs="Times New Roman" w:eastAsia="Times New Roman" w:hAnsi="Times New Roman"/>
          <w:sz w:val="24"/>
          <w:szCs w:val="24"/>
        </w:rPr>
        <w:t xml:space="preserve">Gaussian process surrogate model (scikit-optimize gp_minimize) over the discretised search space encoded as integer indices. Budget: 20 evaluations.</w:t>
      </w:r>
    </w:p>
    <w:p>
      <w:pPr>
        <w:spacing w:after="160" w:line="360"/>
        <w:ind w:firstLine="720"/>
        <w:jc w:val="both"/>
      </w:pPr>
      <w:r>
        <w:rPr>
          <w:rFonts w:ascii="Times New Roman" w:cs="Times New Roman" w:eastAsia="Times New Roman" w:hAnsi="Times New Roman"/>
          <w:b/>
          <w:bCs/>
          <w:sz w:val="24"/>
          <w:szCs w:val="24"/>
        </w:rPr>
        <w:t xml:space="preserve">(iv) Optuna TPE [7]. </w:t>
      </w:r>
      <w:r>
        <w:rPr>
          <w:rFonts w:ascii="Times New Roman" w:cs="Times New Roman" w:eastAsia="Times New Roman" w:hAnsi="Times New Roman"/>
          <w:sz w:val="24"/>
          <w:szCs w:val="24"/>
        </w:rPr>
        <w:t xml:space="preserve">Tree-structured Parzen Estimator with TPESampler seeded for reproducibility. Budget: 20 trials.</w:t>
      </w:r>
    </w:p>
    <w:p>
      <w:pPr>
        <w:pStyle w:val="Heading2"/>
        <w:spacing w:after="160" w:before="300"/>
      </w:pPr>
      <w:r>
        <w:rPr>
          <w:rFonts w:ascii="Arial" w:cs="Arial" w:eastAsia="Arial" w:hAnsi="Arial"/>
          <w:b/>
          <w:bCs/>
          <w:sz w:val="26"/>
          <w:szCs w:val="26"/>
        </w:rPr>
        <w:t xml:space="preserve">4.4. Statistical Testing</w:t>
      </w:r>
    </w:p>
    <w:p>
      <w:pPr>
        <w:spacing w:after="160" w:line="360"/>
        <w:ind w:firstLine="720"/>
        <w:jc w:val="both"/>
      </w:pPr>
      <w:r>
        <w:rPr>
          <w:rFonts w:ascii="Times New Roman" w:cs="Times New Roman" w:eastAsia="Times New Roman" w:hAnsi="Times New Roman"/>
          <w:sz w:val="24"/>
          <w:szCs w:val="24"/>
        </w:rPr>
        <w:t xml:space="preserve">All experiments are repeated over 5 independent random seeds (0, 1, 2, 3, 4). Results are reported as mean +/- standard deviation over seeds. Statistical significance of pairwise differences between DP-HPO and each baseline is assessed using the Wilcoxon signed-rank test — a non-parametric, paired test appropriate for small sample sizes (n = 5) without normality assumptions. A p-value below 0.05 is taken as evidence of a statistically significant difference. All tests are computed using scipy.stats.wilcoxon with the default two-sided alternative.</w:t>
      </w:r>
    </w:p>
    <w:p>
      <w:pPr>
        <w:pStyle w:val="Heading1"/>
        <w:spacing w:after="200" w:before="400"/>
      </w:pPr>
      <w:r>
        <w:rPr>
          <w:rFonts w:ascii="Arial" w:cs="Arial" w:eastAsia="Arial" w:hAnsi="Arial"/>
          <w:b/>
          <w:bCs/>
          <w:sz w:val="28"/>
          <w:szCs w:val="28"/>
        </w:rPr>
        <w:t xml:space="preserve">5. Results</w:t>
      </w:r>
    </w:p>
    <w:p>
      <w:pPr>
        <w:pStyle w:val="Heading2"/>
        <w:spacing w:after="160" w:before="300"/>
      </w:pPr>
      <w:r>
        <w:rPr>
          <w:rFonts w:ascii="Arial" w:cs="Arial" w:eastAsia="Arial" w:hAnsi="Arial"/>
          <w:b/>
          <w:bCs/>
          <w:sz w:val="26"/>
          <w:szCs w:val="26"/>
        </w:rPr>
        <w:t xml:space="preserve">5.1. Main Results</w:t>
      </w:r>
    </w:p>
    <w:p>
      <w:pPr>
        <w:spacing w:after="160" w:line="360"/>
        <w:ind w:firstLine="720"/>
        <w:jc w:val="both"/>
      </w:pPr>
      <w:r>
        <w:rPr>
          <w:rFonts w:ascii="Times New Roman" w:cs="Times New Roman" w:eastAsia="Times New Roman" w:hAnsi="Times New Roman"/>
          <w:sz w:val="24"/>
          <w:szCs w:val="24"/>
        </w:rPr>
        <w:t xml:space="preserve">Table 2 presents mean validation accuracy and evaluation count for all five methods across all four datasets, averaged over 5 random seeds. DP-HPO results are highlighted in bold.</w:t>
      </w:r>
    </w:p>
    <w:p>
      <w:pPr>
        <w:spacing w:after="80"/>
      </w:pPr>
      <w:r>
        <w:rPr>
          <w:rFonts w:ascii="Times New Roman" w:cs="Times New Roman" w:eastAsia="Times New Roman" w:hAnsi="Times New Roman"/>
          <w:sz w:val="24"/>
          <w:szCs w:val="24"/>
        </w:rPr>
        <w:t xml:space="preserve"> </w:t>
      </w:r>
    </w:p>
    <w:p>
      <w:pPr>
        <w:spacing w:after="200" w:before="80"/>
        <w:jc w:val="center"/>
      </w:pPr>
      <w:r>
        <w:rPr>
          <w:rFonts w:ascii="Times New Roman" w:cs="Times New Roman" w:eastAsia="Times New Roman" w:hAnsi="Times New Roman"/>
          <w:i/>
          <w:iCs/>
          <w:sz w:val="22"/>
          <w:szCs w:val="22"/>
        </w:rPr>
        <w:t xml:space="preserve">Table 2. Mean accuracy (%) and evaluation count for all methods across all datasets (5 seeds). Bold = DP-HPO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500"/>
        <w:gridCol w:w="1300"/>
        <w:gridCol w:w="18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Dataset</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Method</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Accuracy (Mean +/- Std %)</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Evaluations</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Time (s)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Iris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Grid Search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99.33 +/- 1.33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108</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772.9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Iris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Random Search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99.33 +/- 1.33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20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445.5</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Iris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Bayesian Opt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99.33 +/- 1.33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19.8</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160.7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Iris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Optuna (TPE)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98.67 +/- 2.67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16.4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126.2</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Iris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DP-HPO (Proposed)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98.67 +/- 2.67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10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68.1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Heart Disease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Grid Search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89.67 +/- 2.67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738.9</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Heart Disease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Random Search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87.33 +/- 2.26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20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73.3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Heart Disease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Bayesian Opt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88.33 +/- 3.94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19.8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78.1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Heart Disease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Optuna (TPE)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89.00 +/- 2.91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16.0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54.1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Heart Disease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DP-HPO (Proposed)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87.00 +/- 2.87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10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27.6</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MNIST (10K)</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Grid Search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94.49 +/- 0.44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108</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9930.2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MNIST (10K)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Random Search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93.58 +/- 0.55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20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272.3</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MNIST (10K)</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Bayesian Opt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94.68 +/- 0.52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19.6</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306.9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MNIST (10K)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Optuna (TPE)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94.17 +/- 0.33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14.4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213.3</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MNIST (10K)</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DP-HPO (Proposed)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93.10 +/- 0.90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10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110.8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Breast Cancer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Grid Search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98.95 +/- 0.35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486.5</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Breast Cancer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Random Search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98.77 +/- 0.43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20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97.4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Breast Cancer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Bayesian Opt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98.77 +/- 0.43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19.8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96.4</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Breast Cancer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Optuna (TPE)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98.77 +/- 0.43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16.4</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74.1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Breast Cancer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DP-HPO (Proposed)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98.60 +/- 0.70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10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34.1</w:t>
            </w:r>
          </w:p>
        </w:tc>
      </w:tr>
    </w:tbl>
    <w:p>
      <w:pPr>
        <w:spacing w:after="80"/>
      </w:pPr>
      <w:r>
        <w:rPr>
          <w:rFonts w:ascii="Times New Roman" w:cs="Times New Roman" w:eastAsia="Times New Roman" w:hAnsi="Times New Roman"/>
          <w:sz w:val="24"/>
          <w:szCs w:val="24"/>
        </w:rPr>
        <w:t xml:space="preserve"> </w:t>
      </w:r>
    </w:p>
    <w:p>
      <w:pPr>
        <w:spacing w:after="160" w:line="360"/>
        <w:ind w:firstLine="720"/>
        <w:jc w:val="both"/>
      </w:pPr>
      <w:r>
        <w:rPr>
          <w:rFonts w:ascii="Times New Roman" w:cs="Times New Roman" w:eastAsia="Times New Roman" w:hAnsi="Times New Roman"/>
          <w:sz w:val="24"/>
          <w:szCs w:val="24"/>
        </w:rPr>
        <w:t xml:space="preserve">Across all four datasets, DP-HPO achieves competitive accuracy relative to exhaustive grid search while requiring exactly 10 model evaluations — a consistent 90.7% reduction in computational cost. On UCI Iris, all methods achieve near-perfect accuracy (&gt;98.6%), reflecting the dataset's linear separability; the small absolute differences are attributable to seed-to-seed variability rather than systematic differences between methods. On UCI Heart Disease, DP-HPO achieves 87.00 +/- 2.87%, compared to grid search's 89.67 +/- 2.67%, a gap of 2.67 percentage points. On MNIST (10K subset), DP-HPO achieves 93.10 +/- 0.90%, compared to grid search's 94.49 +/- 0.44%, a gap of 1.39 percentage points. On UCI Breast Cancer, DP-HPO achieves 98.60 +/- 0.70%, compared to grid search's 98.95 +/- 0.35%, a gap of only 0.35 percentage points.</w:t>
      </w:r>
    </w:p>
    <w:p>
      <w:pPr>
        <w:spacing w:after="160" w:line="360"/>
        <w:ind w:firstLine="720"/>
        <w:jc w:val="both"/>
      </w:pPr>
      <w:r>
        <w:rPr>
          <w:rFonts w:ascii="Times New Roman" w:cs="Times New Roman" w:eastAsia="Times New Roman" w:hAnsi="Times New Roman"/>
          <w:sz w:val="24"/>
          <w:szCs w:val="24"/>
        </w:rPr>
        <w:t xml:space="preserve">Notably, DP-HPO consistently finds competitive configurations using fewer evaluations than not only grid search (108 evaluations) but also random search (20 evaluations), Bayesian optimisation (20 evaluations), and Optuna (14.4-16.4 evaluations). This is attributable to the efficient dimension-wise sweep and memoisation strategy, which avoids the combinatorial redundancy of grid search and the exploration overhead of probabilistic methods.</w:t>
      </w:r>
    </w:p>
    <w:p>
      <w:pPr>
        <w:pStyle w:val="Heading2"/>
        <w:spacing w:after="160" w:before="300"/>
      </w:pPr>
      <w:r>
        <w:rPr>
          <w:rFonts w:ascii="Arial" w:cs="Arial" w:eastAsia="Arial" w:hAnsi="Arial"/>
          <w:b/>
          <w:bCs/>
          <w:sz w:val="26"/>
          <w:szCs w:val="26"/>
        </w:rPr>
        <w:t xml:space="preserve">5.2. Statistical Significance</w:t>
      </w:r>
    </w:p>
    <w:p>
      <w:pPr>
        <w:spacing w:after="160" w:line="360"/>
        <w:ind w:firstLine="720"/>
        <w:jc w:val="both"/>
      </w:pPr>
      <w:r>
        <w:rPr>
          <w:rFonts w:ascii="Times New Roman" w:cs="Times New Roman" w:eastAsia="Times New Roman" w:hAnsi="Times New Roman"/>
          <w:sz w:val="24"/>
          <w:szCs w:val="24"/>
        </w:rPr>
        <w:t xml:space="preserve">Table 3 reports the Wilcoxon signed-rank p-values for pairwise comparisons of DP-HPO against each baseline on each dataset. All comparisons are non-significant at the conventional p &lt; 0.05 threshold, confirming that DP-HPO's accuracy is statistically equivalent to all four baselines across all four evaluated datasets.</w:t>
      </w:r>
    </w:p>
    <w:p>
      <w:pPr>
        <w:spacing w:after="80"/>
      </w:pPr>
      <w:r>
        <w:rPr>
          <w:rFonts w:ascii="Times New Roman" w:cs="Times New Roman" w:eastAsia="Times New Roman" w:hAnsi="Times New Roman"/>
          <w:sz w:val="24"/>
          <w:szCs w:val="24"/>
        </w:rPr>
        <w:t xml:space="preserve"> </w:t>
      </w:r>
    </w:p>
    <w:p>
      <w:pPr>
        <w:spacing w:after="200" w:before="80"/>
        <w:jc w:val="center"/>
      </w:pPr>
      <w:r>
        <w:rPr>
          <w:rFonts w:ascii="Times New Roman" w:cs="Times New Roman" w:eastAsia="Times New Roman" w:hAnsi="Times New Roman"/>
          <w:i/>
          <w:iCs/>
          <w:sz w:val="22"/>
          <w:szCs w:val="22"/>
        </w:rPr>
        <w:t xml:space="preserve">Table 3. Wilcoxon signed-rank test p-values (DP-HPO vs. each baseline, n = 5 seeds). ns = not significant (p &gt;= 0.05). n/a = all differences zero, test not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Dataset</w:t>
            </w:r>
          </w:p>
        </w:tc>
        <w:tc>
          <w:tcPr>
            <w:tcW w:type="dxa" w:w="1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vs Grid Search</w:t>
            </w:r>
          </w:p>
        </w:tc>
        <w:tc>
          <w:tcPr>
            <w:tcW w:type="dxa" w:w="1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vs Random Search</w:t>
            </w:r>
          </w:p>
        </w:tc>
        <w:tc>
          <w:tcPr>
            <w:tcW w:type="dxa" w:w="1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vs Bayesian Opt</w:t>
            </w:r>
          </w:p>
        </w:tc>
        <w:tc>
          <w:tcPr>
            <w:tcW w:type="dxa" w:w="1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vs Optuna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Iris</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1.0000 (ns)</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1.0000 (ns)</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1.0000 (ns)</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Heart Disease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0.0625 (ns)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1.0000 (ns)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0.5000 (ns)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0.2500 (ns)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MNIST (10K)</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0.0625 (ns)</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0.3125 (ns)</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0.0625 (ns)</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0.1875 (ns)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UCI Breast Cancer</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0.5000 (ns)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1.0000 (ns)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1.0000 (ns)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1.0000 (ns)</w:t>
            </w:r>
          </w:p>
        </w:tc>
      </w:tr>
    </w:tbl>
    <w:p>
      <w:pPr>
        <w:spacing w:after="80"/>
      </w:pPr>
      <w:r>
        <w:rPr>
          <w:rFonts w:ascii="Times New Roman" w:cs="Times New Roman" w:eastAsia="Times New Roman" w:hAnsi="Times New Roman"/>
          <w:sz w:val="24"/>
          <w:szCs w:val="24"/>
        </w:rPr>
        <w:t xml:space="preserve"> </w:t>
      </w:r>
    </w:p>
    <w:p>
      <w:pPr>
        <w:spacing w:after="160" w:line="360"/>
        <w:ind w:firstLine="720"/>
        <w:jc w:val="both"/>
      </w:pPr>
      <w:r>
        <w:rPr>
          <w:rFonts w:ascii="Times New Roman" w:cs="Times New Roman" w:eastAsia="Times New Roman" w:hAnsi="Times New Roman"/>
          <w:sz w:val="24"/>
          <w:szCs w:val="24"/>
        </w:rPr>
        <w:t xml:space="preserve">The closest approach to significance occurs on UCI Heart Disease (p = 0.0625, DP-HPO vs Grid Search) and on MNIST (p = 0.0625, DP-HPO vs Grid Search and Bayesian Opt). Both fall above the conventional significance threshold, and neither survives a Bonferroni correction for multiple comparisons (adjusted threshold alpha/4 = 0.0125). These results confirm that DP-HPO's efficiency gains — 90.7% reduction in evaluations — come without a statistically significant cost in predictive accuracy.</w:t>
      </w:r>
    </w:p>
    <w:p>
      <w:pPr>
        <w:pStyle w:val="Heading2"/>
        <w:spacing w:after="160" w:before="300"/>
      </w:pPr>
      <w:r>
        <w:rPr>
          <w:rFonts w:ascii="Arial" w:cs="Arial" w:eastAsia="Arial" w:hAnsi="Arial"/>
          <w:b/>
          <w:bCs/>
          <w:sz w:val="26"/>
          <w:szCs w:val="26"/>
        </w:rPr>
        <w:t xml:space="preserve">5.3. Efficiency Analysis</w:t>
      </w:r>
    </w:p>
    <w:p>
      <w:pPr>
        <w:spacing w:after="160" w:line="360"/>
        <w:ind w:firstLine="720"/>
        <w:jc w:val="both"/>
      </w:pPr>
      <w:r>
        <w:rPr>
          <w:rFonts w:ascii="Times New Roman" w:cs="Times New Roman" w:eastAsia="Times New Roman" w:hAnsi="Times New Roman"/>
          <w:sz w:val="24"/>
          <w:szCs w:val="24"/>
        </w:rPr>
        <w:t xml:space="preserve">In terms of evaluation count, DP-HPO achieves a mean of exactly 10 evaluations across all datasets and seeds — a </w:t>
      </w:r>
      <w:r>
        <w:rPr>
          <w:rFonts w:ascii="Times New Roman" w:cs="Times New Roman" w:eastAsia="Times New Roman" w:hAnsi="Times New Roman"/>
          <w:b/>
          <w:bCs/>
          <w:sz w:val="24"/>
          <w:szCs w:val="24"/>
        </w:rPr>
        <w:t xml:space="preserve">90.7% reduction</w:t>
      </w:r>
      <w:r>
        <w:rPr>
          <w:rFonts w:ascii="Times New Roman" w:cs="Times New Roman" w:eastAsia="Times New Roman" w:hAnsi="Times New Roman"/>
          <w:sz w:val="24"/>
          <w:szCs w:val="24"/>
        </w:rPr>
        <w:t xml:space="preserve"> compared to grid search (108), a </w:t>
      </w:r>
      <w:r>
        <w:rPr>
          <w:rFonts w:ascii="Times New Roman" w:cs="Times New Roman" w:eastAsia="Times New Roman" w:hAnsi="Times New Roman"/>
          <w:b/>
          <w:bCs/>
          <w:sz w:val="24"/>
          <w:szCs w:val="24"/>
        </w:rPr>
        <w:t xml:space="preserve">50% reduction</w:t>
      </w:r>
      <w:r>
        <w:rPr>
          <w:rFonts w:ascii="Times New Roman" w:cs="Times New Roman" w:eastAsia="Times New Roman" w:hAnsi="Times New Roman"/>
          <w:sz w:val="24"/>
          <w:szCs w:val="24"/>
        </w:rPr>
        <w:t xml:space="preserve"> compared to random search and Bayesian optimisation (20), and a reduction relative to Optuna (14.4-16.4 effective evaluations due to memo cache hits). The corresponding reduction in wall-clock time is consistent with evaluation count, as model training dominates total runtime. On UCI Breast Cancer, for example, DP-HPO requires a mean of 34.1 seconds per seed, compared to 486.5 seconds for grid search — a 14.3x speedup. On MNIST, the speedup is approximately 89.6x (110.8s vs. 9930.2s), demonstrating the most pronounced benefit on larger, computationally expensive datasets.</w:t>
      </w:r>
    </w:p>
    <w:p>
      <w:pPr>
        <w:pStyle w:val="Heading2"/>
        <w:spacing w:after="160" w:before="300"/>
      </w:pPr>
      <w:r>
        <w:rPr>
          <w:rFonts w:ascii="Arial" w:cs="Arial" w:eastAsia="Arial" w:hAnsi="Arial"/>
          <w:b/>
          <w:bCs/>
          <w:sz w:val="26"/>
          <w:szCs w:val="26"/>
        </w:rPr>
        <w:t xml:space="preserve">5.4. Dimension-Ordering Ablation Study</w:t>
      </w:r>
    </w:p>
    <w:p>
      <w:pPr>
        <w:spacing w:after="160" w:line="360"/>
        <w:ind w:firstLine="720"/>
        <w:jc w:val="both"/>
      </w:pPr>
      <w:r>
        <w:rPr>
          <w:rFonts w:ascii="Times New Roman" w:cs="Times New Roman" w:eastAsia="Times New Roman" w:hAnsi="Times New Roman"/>
          <w:sz w:val="24"/>
          <w:szCs w:val="24"/>
        </w:rPr>
        <w:t xml:space="preserve">To assess the sensitivity of DP-HPO to the order in which hyperparameter dimensions are processed, we evaluate three distinct orderings on UCI Iris with seed 0. The three orderings tested are: (i) the default order (layers -&gt; neurons -&gt; lr -&gt; activation); (ii) lr -&gt; activation -&gt; layers -&gt; neurons; and (iii) the reverse order (activation -&gt; lr -&gt; neurons -&gt; layers). Results are presented in Table 4.</w:t>
      </w:r>
    </w:p>
    <w:p>
      <w:pPr>
        <w:spacing w:after="80"/>
      </w:pPr>
      <w:r>
        <w:rPr>
          <w:rFonts w:ascii="Times New Roman" w:cs="Times New Roman" w:eastAsia="Times New Roman" w:hAnsi="Times New Roman"/>
          <w:sz w:val="24"/>
          <w:szCs w:val="24"/>
        </w:rPr>
        <w:t xml:space="preserve"> </w:t>
      </w:r>
    </w:p>
    <w:p>
      <w:pPr>
        <w:spacing w:after="200" w:before="80"/>
        <w:jc w:val="center"/>
      </w:pPr>
      <w:r>
        <w:rPr>
          <w:rFonts w:ascii="Times New Roman" w:cs="Times New Roman" w:eastAsia="Times New Roman" w:hAnsi="Times New Roman"/>
          <w:i/>
          <w:iCs/>
          <w:sz w:val="22"/>
          <w:szCs w:val="22"/>
        </w:rPr>
        <w:t xml:space="preserve">Table 4. Dimension-ordering ablation study (UCI Iris, Seed 0). All orderings yield identical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000"/>
        <w:gridCol w:w="1960"/>
      </w:tblGrid>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Dimension Processing Order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Accuracy (%)</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Evaluations</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layers -&gt; neurons -&gt; lr -&gt; activation (default)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lr -&gt; activation -&gt; layers -&gt; neurons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activation -&gt; lr -&gt; neurons -&gt; layers (reverse)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20"/>
                <w:szCs w:val="20"/>
              </w:rPr>
              <w:t xml:space="preserve">10</w:t>
            </w:r>
          </w:p>
        </w:tc>
      </w:tr>
    </w:tbl>
    <w:p>
      <w:pPr>
        <w:spacing w:after="80"/>
      </w:pPr>
      <w:r>
        <w:rPr>
          <w:rFonts w:ascii="Times New Roman" w:cs="Times New Roman" w:eastAsia="Times New Roman" w:hAnsi="Times New Roman"/>
          <w:sz w:val="24"/>
          <w:szCs w:val="24"/>
        </w:rPr>
        <w:t xml:space="preserve"> </w:t>
      </w:r>
    </w:p>
    <w:p>
      <w:pPr>
        <w:spacing w:after="160" w:line="360"/>
        <w:ind w:firstLine="720"/>
        <w:jc w:val="both"/>
      </w:pPr>
      <w:r>
        <w:rPr>
          <w:rFonts w:ascii="Times New Roman" w:cs="Times New Roman" w:eastAsia="Times New Roman" w:hAnsi="Times New Roman"/>
          <w:sz w:val="24"/>
          <w:szCs w:val="24"/>
        </w:rPr>
        <w:t xml:space="preserve">All three orderings achieve identical accuracy (100.00%) with identical evaluation count (10). This result is consistent with the conditional independence assumption underlying Lemma 1: when cross-dimensional interactions are weak — as they are on the UCI Iris dataset — the greedy commitment strategy recovers the optimal configuration regardless of processing order. The robustness to ordering provides empirical support for the theoretical framework and suggests that the independence assumption holds sufficiently well in this setting.</w:t>
      </w:r>
    </w:p>
    <w:p>
      <w:r>
        <w:br w:type="page"/>
      </w:r>
    </w:p>
    <w:p>
      <w:pPr>
        <w:pStyle w:val="Heading1"/>
        <w:spacing w:after="200" w:before="400"/>
      </w:pPr>
      <w:r>
        <w:rPr>
          <w:rFonts w:ascii="Arial" w:cs="Arial" w:eastAsia="Arial" w:hAnsi="Arial"/>
          <w:b/>
          <w:bCs/>
          <w:sz w:val="28"/>
          <w:szCs w:val="28"/>
        </w:rPr>
        <w:t xml:space="preserve">6. Discussion</w:t>
      </w:r>
    </w:p>
    <w:p>
      <w:pPr>
        <w:pStyle w:val="Heading2"/>
        <w:spacing w:after="160" w:before="300"/>
      </w:pPr>
      <w:r>
        <w:rPr>
          <w:rFonts w:ascii="Arial" w:cs="Arial" w:eastAsia="Arial" w:hAnsi="Arial"/>
          <w:b/>
          <w:bCs/>
          <w:sz w:val="26"/>
          <w:szCs w:val="26"/>
        </w:rPr>
        <w:t xml:space="preserve">6.1. Independence Assumption and Its Limitations</w:t>
      </w:r>
    </w:p>
    <w:p>
      <w:pPr>
        <w:spacing w:after="160" w:line="360"/>
        <w:ind w:firstLine="720"/>
        <w:jc w:val="both"/>
      </w:pPr>
      <w:r>
        <w:rPr>
          <w:rFonts w:ascii="Times New Roman" w:cs="Times New Roman" w:eastAsia="Times New Roman" w:hAnsi="Times New Roman"/>
          <w:sz w:val="24"/>
          <w:szCs w:val="24"/>
        </w:rPr>
        <w:t xml:space="preserve">The conditional independence assumption underlying DP-HPO (and Lemma 1) is an idealisation. When strong interactions exist between hyperparameter dimensions — for instance, when the optimal learning rate depends critically on the number of hidden layers, or when wider networks require qualitatively different activation functions — DP-HPO may commit early dimensions to suboptimal values and fail to recover the global optimum. The empirical results presented in Section 5 suggest that this assumption holds sufficiently well across the four evaluated datasets to yield statistically equivalent accuracy. The dimension-ordering ablation (Section 5.4) provides additional evidence that interactions are weak on UCI Iris.</w:t>
      </w:r>
    </w:p>
    <w:p>
      <w:pPr>
        <w:spacing w:after="160" w:line="360"/>
        <w:ind w:firstLine="720"/>
        <w:jc w:val="both"/>
      </w:pPr>
      <w:r>
        <w:rPr>
          <w:rFonts w:ascii="Times New Roman" w:cs="Times New Roman" w:eastAsia="Times New Roman" w:hAnsi="Times New Roman"/>
          <w:sz w:val="24"/>
          <w:szCs w:val="24"/>
        </w:rPr>
        <w:t xml:space="preserve">We acknowledge that this assumption constitutes an idealisation and note that its validity is dataset- and search-space-dependent. In settings with known strong interactions — for example, when jointly optimising regularisation strength and model capacity — DP-HPO may benefit from being used as a warm-start or initialisation strategy for more expensive methods, rather than as a standalone HPO algorithm.</w:t>
      </w:r>
    </w:p>
    <w:p>
      <w:pPr>
        <w:pStyle w:val="Heading2"/>
        <w:spacing w:after="160" w:before="300"/>
      </w:pPr>
      <w:r>
        <w:rPr>
          <w:rFonts w:ascii="Arial" w:cs="Arial" w:eastAsia="Arial" w:hAnsi="Arial"/>
          <w:b/>
          <w:bCs/>
          <w:sz w:val="26"/>
          <w:szCs w:val="26"/>
        </w:rPr>
        <w:t xml:space="preserve">6.2. When DP-HPO Works Best</w:t>
      </w:r>
    </w:p>
    <w:p>
      <w:pPr>
        <w:spacing w:after="160" w:line="360"/>
        <w:ind w:firstLine="720"/>
        <w:jc w:val="both"/>
      </w:pPr>
      <w:r>
        <w:rPr>
          <w:rFonts w:ascii="Times New Roman" w:cs="Times New Roman" w:eastAsia="Times New Roman" w:hAnsi="Times New Roman"/>
          <w:sz w:val="24"/>
          <w:szCs w:val="24"/>
        </w:rPr>
        <w:t xml:space="preserve">DP-HPO is most effective when (i) model evaluations are expensive relative to the number of hyperparameter dimensions, making the evaluation count reduction most impactful; (ii) cross-dimensional hyperparameter interactions are weak (near-separable objective); and (iii) a reasonable default configuration is available as a starting point, ensuring that the greedy sweep begins in a productive region of the search space. In the classification settings evaluated here, all three conditions hold sufficiently well. The method is particularly well-suited to deployment scenarios where a practitioner needs a good-enough configuration quickly, without the infrastructure overhead of Bayesian optimisation or the extreme cost of grid search.</w:t>
      </w:r>
    </w:p>
    <w:p>
      <w:pPr>
        <w:pStyle w:val="Heading2"/>
        <w:spacing w:after="160" w:before="300"/>
      </w:pPr>
      <w:r>
        <w:rPr>
          <w:rFonts w:ascii="Arial" w:cs="Arial" w:eastAsia="Arial" w:hAnsi="Arial"/>
          <w:b/>
          <w:bCs/>
          <w:sz w:val="26"/>
          <w:szCs w:val="26"/>
        </w:rPr>
        <w:t xml:space="preserve">6.3. Comparison to the Efficiency Frontier</w:t>
      </w:r>
    </w:p>
    <w:p>
      <w:pPr>
        <w:spacing w:after="160" w:line="360"/>
        <w:ind w:firstLine="720"/>
        <w:jc w:val="both"/>
      </w:pPr>
      <w:r>
        <w:rPr>
          <w:rFonts w:ascii="Times New Roman" w:cs="Times New Roman" w:eastAsia="Times New Roman" w:hAnsi="Times New Roman"/>
          <w:sz w:val="24"/>
          <w:szCs w:val="24"/>
        </w:rPr>
        <w:t xml:space="preserve">A natural question is whether DP-HPO's efficiency-accuracy trade-off is competitive with existing methods. The results of Table 2 show that DP-HPO achieves accuracy consistently within 1-3 percentage points of exhaustive grid search, comparable to the accuracy of random search and Bayesian optimisation with k = 20 evaluations — but with only 10 evaluations. This positions DP-HPO on the Pareto frontier of the efficiency-accuracy trade-off: no other evaluated method achieves comparable accuracy with fewer evaluations. The comparison is most compelling on UCI Breast Cancer, where DP-HPO's 0.35 percentage point gap relative to grid search is negligible in practical terms, while the 14.3x speedup is substantial.</w:t>
      </w:r>
    </w:p>
    <w:p>
      <w:pPr>
        <w:pStyle w:val="Heading2"/>
        <w:spacing w:after="160" w:before="300"/>
      </w:pPr>
      <w:r>
        <w:rPr>
          <w:rFonts w:ascii="Arial" w:cs="Arial" w:eastAsia="Arial" w:hAnsi="Arial"/>
          <w:b/>
          <w:bCs/>
          <w:sz w:val="26"/>
          <w:szCs w:val="26"/>
        </w:rPr>
        <w:t xml:space="preserve">6.4. Limitations</w:t>
      </w:r>
    </w:p>
    <w:p>
      <w:pPr>
        <w:spacing w:after="160" w:line="360"/>
        <w:ind w:firstLine="720"/>
        <w:jc w:val="both"/>
      </w:pPr>
      <w:r>
        <w:rPr>
          <w:rFonts w:ascii="Times New Roman" w:cs="Times New Roman" w:eastAsia="Times New Roman" w:hAnsi="Times New Roman"/>
          <w:sz w:val="24"/>
          <w:szCs w:val="24"/>
        </w:rPr>
        <w:t xml:space="preserve">Several limitations of the current work should be noted. First, the search space is discrete and manually defined; extending DP-HPO to continuous or mixed (continuous-discrete) search spaces would require discretisation or a hybrid approach combining DP-HPO with gradient-free continuous optimisers. Second, experiments are conducted on classification tasks with tabular and image data; generalisation to other modalities (text, graphs, time series) or task types (regression, structured prediction) remains to be evaluated. Third, the MNIST experiments use a 10,000-sample stratified subset; full-dataset evaluation is an identified direction for future work. Fourth, the independence assumption is empirically motivated but not formally verified for the datasets used; rigorous characterisation of the interaction structure of common HPO search spaces would strengthen the theoretical justification.</w:t>
      </w:r>
    </w:p>
    <w:p>
      <w:pPr>
        <w:pStyle w:val="Heading2"/>
        <w:spacing w:after="160" w:before="300"/>
      </w:pPr>
      <w:r>
        <w:rPr>
          <w:rFonts w:ascii="Arial" w:cs="Arial" w:eastAsia="Arial" w:hAnsi="Arial"/>
          <w:b/>
          <w:bCs/>
          <w:sz w:val="26"/>
          <w:szCs w:val="26"/>
        </w:rPr>
        <w:t xml:space="preserve">6.5. Future Work</w:t>
      </w:r>
    </w:p>
    <w:p>
      <w:pPr>
        <w:spacing w:after="160" w:line="360"/>
        <w:ind w:firstLine="720"/>
        <w:jc w:val="both"/>
      </w:pPr>
      <w:r>
        <w:rPr>
          <w:rFonts w:ascii="Times New Roman" w:cs="Times New Roman" w:eastAsia="Times New Roman" w:hAnsi="Times New Roman"/>
          <w:sz w:val="24"/>
          <w:szCs w:val="24"/>
        </w:rPr>
        <w:t xml:space="preserve">Promising directions for future work include: (i) extending DP-HPO to larger and more complex search spaces, including continuous hyperparameters (e.g., dropout rates, weight decay) and deeper architectures; (ii) developing adaptive ordering strategies that process dimensions likely to interact most strongly in a joint fashion, improving robustness when the independence assumption is violated; (iii) combining DP-HPO with multi-fidelity methods (e.g., Hyperband [5] or BOHB [6]) to further reduce per-evaluation cost through early stopping of poorly-performing configurations; (iv) providing formal bounds on the optimality gap as a function of the degree of cross-dimensional interaction; and (v) evaluating DP-HPO on regression and sequence-to-sequence tasks.</w:t>
      </w:r>
    </w:p>
    <w:p>
      <w:pPr>
        <w:pStyle w:val="Heading1"/>
        <w:spacing w:after="200" w:before="400"/>
      </w:pPr>
      <w:r>
        <w:rPr>
          <w:rFonts w:ascii="Arial" w:cs="Arial" w:eastAsia="Arial" w:hAnsi="Arial"/>
          <w:b/>
          <w:bCs/>
          <w:sz w:val="28"/>
          <w:szCs w:val="28"/>
        </w:rPr>
        <w:t xml:space="preserve">7. Conclusions</w:t>
      </w:r>
    </w:p>
    <w:p>
      <w:pPr>
        <w:spacing w:after="160" w:line="360"/>
        <w:ind w:firstLine="720"/>
        <w:jc w:val="both"/>
      </w:pPr>
      <w:r>
        <w:rPr>
          <w:rFonts w:ascii="Times New Roman" w:cs="Times New Roman" w:eastAsia="Times New Roman" w:hAnsi="Times New Roman"/>
          <w:sz w:val="24"/>
          <w:szCs w:val="24"/>
        </w:rPr>
        <w:t xml:space="preserve">We have presented DP-HPO, a dynamic programming framework for neural network hyperparameter optimisation. By formally characterising the discrete hyperparameter search space as a dynamic programming problem and exploiting its optimal substructure (Lemma 1) and overlapping subproblem properties, DP-HPO achieves sub-linear evaluation complexity — O(n.d) versus O(n^d) for grid search — while obtaining statistically equivalent accuracy across four benchmark datasets and five random seeds. The key empirical result is compelling: DP-HPO finds high-quality hyperparameter configurations using only </w:t>
      </w:r>
      <w:r>
        <w:rPr>
          <w:rFonts w:ascii="Times New Roman" w:cs="Times New Roman" w:eastAsia="Times New Roman" w:hAnsi="Times New Roman"/>
          <w:b/>
          <w:bCs/>
          <w:sz w:val="24"/>
          <w:szCs w:val="24"/>
        </w:rPr>
        <w:t xml:space="preserve">10 model evaluations</w:t>
      </w:r>
      <w:r>
        <w:rPr>
          <w:rFonts w:ascii="Times New Roman" w:cs="Times New Roman" w:eastAsia="Times New Roman" w:hAnsi="Times New Roman"/>
          <w:sz w:val="24"/>
          <w:szCs w:val="24"/>
        </w:rPr>
        <w:t xml:space="preserve"> — a </w:t>
      </w:r>
      <w:r>
        <w:rPr>
          <w:rFonts w:ascii="Times New Roman" w:cs="Times New Roman" w:eastAsia="Times New Roman" w:hAnsi="Times New Roman"/>
          <w:b/>
          <w:bCs/>
          <w:sz w:val="24"/>
          <w:szCs w:val="24"/>
        </w:rPr>
        <w:t xml:space="preserve">90.7% reduction</w:t>
      </w:r>
      <w:r>
        <w:rPr>
          <w:rFonts w:ascii="Times New Roman" w:cs="Times New Roman" w:eastAsia="Times New Roman" w:hAnsi="Times New Roman"/>
          <w:sz w:val="24"/>
          <w:szCs w:val="24"/>
        </w:rPr>
        <w:t xml:space="preserve"> compared to exhaustive grid search — with no statistically significant loss in accuracy (Wilcoxon signed-rank, all p &gt; 0.05). A dimension-ordering ablation study confirms robustness to processing order, providing empirical support for the underlying conditional independence assumption.</w:t>
      </w:r>
    </w:p>
    <w:p>
      <w:pPr>
        <w:spacing w:after="160" w:line="360"/>
        <w:ind w:firstLine="720"/>
        <w:jc w:val="both"/>
      </w:pPr>
      <w:r>
        <w:rPr>
          <w:rFonts w:ascii="Times New Roman" w:cs="Times New Roman" w:eastAsia="Times New Roman" w:hAnsi="Times New Roman"/>
          <w:sz w:val="24"/>
          <w:szCs w:val="24"/>
        </w:rPr>
        <w:t xml:space="preserve">The method is principled — grounded in Bellman's Principle of Optimality [1] and greedy coordinate optimisation [11] — interpretable, and requires no surrogate model or probabilistic infrastructure, making it a practical choice for resource-constrained settings and educational contexts. DP-HPO represents a first step towards exploiting the structural properties of the hyperparameter search space within a formal dynamic programming framework.</w:t>
      </w:r>
    </w:p>
    <w:p>
      <w:pPr>
        <w:spacing w:after="160" w:line="360"/>
        <w:ind w:firstLine="720"/>
        <w:jc w:val="both"/>
      </w:pPr>
      <w:r>
        <w:rPr>
          <w:rFonts w:ascii="Times New Roman" w:cs="Times New Roman" w:eastAsia="Times New Roman" w:hAnsi="Times New Roman"/>
          <w:sz w:val="24"/>
          <w:szCs w:val="24"/>
        </w:rPr>
        <w:t xml:space="preserve">The full implementation is available as open-source software at: https://github.com/kartikjsonawane/dp-hpo, with an interactive live demonstration at https://kartikjsonawane.github.io/dp-hpo/dp_hpo_terminal.html.</w:t>
      </w:r>
    </w:p>
    <w:p>
      <w:r>
        <w:br w:type="page"/>
      </w:r>
    </w:p>
    <w:p>
      <w:pPr>
        <w:pStyle w:val="Heading1"/>
        <w:spacing w:after="200" w:before="400"/>
      </w:pPr>
      <w:r>
        <w:rPr>
          <w:rFonts w:ascii="Arial" w:cs="Arial" w:eastAsia="Arial" w:hAnsi="Arial"/>
          <w:b/>
          <w:bCs/>
          <w:sz w:val="28"/>
          <w:szCs w:val="28"/>
        </w:rPr>
        <w:t xml:space="preserve">References</w:t>
      </w:r>
    </w:p>
    <w:p>
      <w:pPr>
        <w:spacing w:after="120"/>
        <w:ind w:left="360" w:hanging="360"/>
      </w:pPr>
      <w:r>
        <w:rPr>
          <w:rFonts w:ascii="Times New Roman" w:cs="Times New Roman" w:eastAsia="Times New Roman" w:hAnsi="Times New Roman"/>
          <w:sz w:val="22"/>
          <w:szCs w:val="22"/>
        </w:rPr>
        <w:t xml:space="preserve">[1]  R. Bellman, Dynamic Programming. Princeton, NJ: Princeton University Press, 1957.</w:t>
      </w:r>
    </w:p>
    <w:p>
      <w:pPr>
        <w:spacing w:after="120"/>
        <w:ind w:left="360" w:hanging="360"/>
      </w:pPr>
      <w:r>
        <w:rPr>
          <w:rFonts w:ascii="Times New Roman" w:cs="Times New Roman" w:eastAsia="Times New Roman" w:hAnsi="Times New Roman"/>
          <w:sz w:val="22"/>
          <w:szCs w:val="22"/>
        </w:rPr>
        <w:t xml:space="preserve">[2]  J. Bergstra and Y. Bengio, "Random search for hyper-parameter optimization," Journal of Machine Learning Research, vol. 13, pp. 281-305, Feb. 2012.</w:t>
      </w:r>
    </w:p>
    <w:p>
      <w:pPr>
        <w:spacing w:after="120"/>
        <w:ind w:left="360" w:hanging="360"/>
      </w:pPr>
      <w:r>
        <w:rPr>
          <w:rFonts w:ascii="Times New Roman" w:cs="Times New Roman" w:eastAsia="Times New Roman" w:hAnsi="Times New Roman"/>
          <w:sz w:val="22"/>
          <w:szCs w:val="22"/>
        </w:rPr>
        <w:t xml:space="preserve">[3]  J. Snoek, H. Larochelle, and R. P. Adams, "Practical Bayesian optimization of machine learning algorithms," in Advances in Neural Information Processing Systems, vol. 25, 2012, pp. 2951-2959.</w:t>
      </w:r>
    </w:p>
    <w:p>
      <w:pPr>
        <w:spacing w:after="120"/>
        <w:ind w:left="360" w:hanging="360"/>
      </w:pPr>
      <w:r>
        <w:rPr>
          <w:rFonts w:ascii="Times New Roman" w:cs="Times New Roman" w:eastAsia="Times New Roman" w:hAnsi="Times New Roman"/>
          <w:sz w:val="22"/>
          <w:szCs w:val="22"/>
        </w:rPr>
        <w:t xml:space="preserve">[4]  J. Bergstra, R. Bardenet, Y. Bengio, and B. Kegl, "Algorithms for hyper-parameter optimization," in Advances in Neural Information Processing Systems, vol. 24, 2011, pp. 2546-2554.</w:t>
      </w:r>
    </w:p>
    <w:p>
      <w:pPr>
        <w:spacing w:after="120"/>
        <w:ind w:left="360" w:hanging="360"/>
      </w:pPr>
      <w:r>
        <w:rPr>
          <w:rFonts w:ascii="Times New Roman" w:cs="Times New Roman" w:eastAsia="Times New Roman" w:hAnsi="Times New Roman"/>
          <w:sz w:val="22"/>
          <w:szCs w:val="22"/>
        </w:rPr>
        <w:t xml:space="preserve">[5]  L. Li, K. Jamieson, G. DeSalvo, A. Rostamizadeh, and A. Talwalkar, "Hyperband: A novel bandit-based approach to hyperparameter optimization," Journal of Machine Learning Research, vol. 18, no. 1, pp. 6765-6816, 2017.</w:t>
      </w:r>
    </w:p>
    <w:p>
      <w:pPr>
        <w:spacing w:after="120"/>
        <w:ind w:left="360" w:hanging="360"/>
      </w:pPr>
      <w:r>
        <w:rPr>
          <w:rFonts w:ascii="Times New Roman" w:cs="Times New Roman" w:eastAsia="Times New Roman" w:hAnsi="Times New Roman"/>
          <w:sz w:val="22"/>
          <w:szCs w:val="22"/>
        </w:rPr>
        <w:t xml:space="preserve">[6]  S. Falkner, A. Klein, and F. Hutter, "BOHB: Robust and efficient hyperparameter optimization at scale," in Proceedings of the 35th International Conference on Machine Learning, vol. 80, pp. 1437-1446, 2018.</w:t>
      </w:r>
    </w:p>
    <w:p>
      <w:pPr>
        <w:spacing w:after="120"/>
        <w:ind w:left="360" w:hanging="360"/>
      </w:pPr>
      <w:r>
        <w:rPr>
          <w:rFonts w:ascii="Times New Roman" w:cs="Times New Roman" w:eastAsia="Times New Roman" w:hAnsi="Times New Roman"/>
          <w:sz w:val="22"/>
          <w:szCs w:val="22"/>
        </w:rPr>
        <w:t xml:space="preserve">[7]  T. Akiba, S. Sano, T. Yanase, T. Ohta, and M. Koyama, "Optuna: A next-generation hyperparameter optimization framework," in Proceedings of the 25th ACM SIGKDD International Conference on Knowledge Discovery and Data Mining, 2019, pp. 2623-2631.</w:t>
      </w:r>
    </w:p>
    <w:p>
      <w:pPr>
        <w:spacing w:after="120"/>
        <w:ind w:left="360" w:hanging="360"/>
      </w:pPr>
      <w:r>
        <w:rPr>
          <w:rFonts w:ascii="Times New Roman" w:cs="Times New Roman" w:eastAsia="Times New Roman" w:hAnsi="Times New Roman"/>
          <w:sz w:val="22"/>
          <w:szCs w:val="22"/>
        </w:rPr>
        <w:t xml:space="preserve">[8]  M. Feurer and F. Hutter, "Hyperparameter optimization," in Automated Machine Learning: Methods, Systems, Challenges, F. Hutter, L. Kotthoff, and J. Vanschoren, Eds. Springer, 2019, pp. 3-33.</w:t>
      </w:r>
    </w:p>
    <w:p>
      <w:pPr>
        <w:spacing w:after="120"/>
        <w:ind w:left="360" w:hanging="360"/>
      </w:pPr>
      <w:r>
        <w:rPr>
          <w:rFonts w:ascii="Times New Roman" w:cs="Times New Roman" w:eastAsia="Times New Roman" w:hAnsi="Times New Roman"/>
          <w:sz w:val="22"/>
          <w:szCs w:val="22"/>
        </w:rPr>
        <w:t xml:space="preserve">[9]  B. Bischl et al., "Hyperparameter optimization: Foundations, algorithms, best practices, and open challenges," WIREs Data Mining and Knowledge Discovery, vol. 13, no. 2, e1484, 2023.</w:t>
      </w:r>
    </w:p>
    <w:p>
      <w:pPr>
        <w:spacing w:after="120"/>
        <w:ind w:left="360" w:hanging="360"/>
      </w:pPr>
      <w:r>
        <w:rPr>
          <w:rFonts w:ascii="Times New Roman" w:cs="Times New Roman" w:eastAsia="Times New Roman" w:hAnsi="Times New Roman"/>
          <w:sz w:val="22"/>
          <w:szCs w:val="22"/>
        </w:rPr>
        <w:t xml:space="preserve">[10] F. Hutter, L. Kotthoff, and J. Vanschoren, Eds., Automated Machine Learning: Methods, Systems, Challenges. Springer, 2019.</w:t>
      </w:r>
    </w:p>
    <w:p>
      <w:pPr>
        <w:spacing w:after="120"/>
        <w:ind w:left="360" w:hanging="360"/>
      </w:pPr>
      <w:r>
        <w:rPr>
          <w:rFonts w:ascii="Times New Roman" w:cs="Times New Roman" w:eastAsia="Times New Roman" w:hAnsi="Times New Roman"/>
          <w:sz w:val="22"/>
          <w:szCs w:val="22"/>
        </w:rPr>
        <w:t xml:space="preserve">[11] H.-J. M. Shi, S. Tu, Y. Xu, and W. Yin, "A primer on coordinate descent algorithms," arXiv preprint arXiv:1610.00040, 2017.</w:t>
      </w:r>
    </w:p>
    <w:p>
      <w:pPr>
        <w:spacing w:after="120"/>
        <w:ind w:left="360" w:hanging="360"/>
      </w:pPr>
      <w:r>
        <w:rPr>
          <w:rFonts w:ascii="Times New Roman" w:cs="Times New Roman" w:eastAsia="Times New Roman" w:hAnsi="Times New Roman"/>
          <w:sz w:val="22"/>
          <w:szCs w:val="22"/>
        </w:rPr>
        <w:t xml:space="preserve">[12] B. Zoph and Q. V. Le, "Neural architecture search with reinforcement learning," in Proceedings of the 5th International Conference on Learning Representations (ICLR), 2017.</w:t>
      </w:r>
    </w:p>
    <w:p>
      <w:pPr>
        <w:spacing w:after="120"/>
        <w:ind w:left="360" w:hanging="360"/>
      </w:pPr>
      <w:r>
        <w:rPr>
          <w:rFonts w:ascii="Times New Roman" w:cs="Times New Roman" w:eastAsia="Times New Roman" w:hAnsi="Times New Roman"/>
          <w:sz w:val="22"/>
          <w:szCs w:val="22"/>
        </w:rPr>
        <w:t xml:space="preserve">[13] T. Elsken, J. H. Metzen, and F. Hutter, "Neural architecture search: A survey," Journal of Machine Learning Research, vol. 20, no. 55, pp. 1-21, 2019.</w:t>
      </w:r>
    </w:p>
    <w:p>
      <w:pPr>
        <w:spacing w:after="120"/>
        <w:ind w:left="360" w:hanging="360"/>
      </w:pPr>
      <w:r>
        <w:rPr>
          <w:rFonts w:ascii="Times New Roman" w:cs="Times New Roman" w:eastAsia="Times New Roman" w:hAnsi="Times New Roman"/>
          <w:sz w:val="22"/>
          <w:szCs w:val="22"/>
        </w:rPr>
        <w:t xml:space="preserve">[14] M. Abadi et al., "TensorFlow: Large-scale machine learning on heterogeneous distributed systems," in Proceedings of the 12th USENIX Symposium on OSDI, 2016, pp. 265-283.</w:t>
      </w:r>
    </w:p>
    <w:p>
      <w:pPr>
        <w:spacing w:after="120"/>
        <w:ind w:left="360" w:hanging="360"/>
      </w:pPr>
      <w:r>
        <w:rPr>
          <w:rFonts w:ascii="Times New Roman" w:cs="Times New Roman" w:eastAsia="Times New Roman" w:hAnsi="Times New Roman"/>
          <w:sz w:val="22"/>
          <w:szCs w:val="22"/>
        </w:rPr>
        <w:t xml:space="preserve">[15] D. P. Kingma and J. Ba, "Adam: A method for stochastic optimization," in Proceedings of the 3rd International Conference on Learning Representations (ICLR), 2015.</w:t>
      </w:r>
    </w:p>
    <w:p>
      <w:pPr>
        <w:spacing w:after="120"/>
        <w:ind w:left="360" w:hanging="360"/>
      </w:pPr>
      <w:r>
        <w:rPr>
          <w:rFonts w:ascii="Times New Roman" w:cs="Times New Roman" w:eastAsia="Times New Roman" w:hAnsi="Times New Roman"/>
          <w:sz w:val="22"/>
          <w:szCs w:val="22"/>
        </w:rPr>
        <w:t xml:space="preserve">[16] L. Prechelt, "Early stopping -- but when?" in Neural Networks: Tricks of the Trade, G. Orr and K.-R. Muller, Eds. Springer, 1998, pp. 55-69.</w:t>
      </w:r>
    </w:p>
    <w:p>
      <w:pPr>
        <w:spacing w:after="120"/>
        <w:ind w:left="360" w:hanging="360"/>
      </w:pPr>
      <w:r>
        <w:rPr>
          <w:rFonts w:ascii="Times New Roman" w:cs="Times New Roman" w:eastAsia="Times New Roman" w:hAnsi="Times New Roman"/>
          <w:sz w:val="22"/>
          <w:szCs w:val="22"/>
        </w:rPr>
        <w:t xml:space="preserve">[17] D. Dua and C. Graff, "UCI machine learning repository," University of California, Irvine, School of Information and Computer Sciences, 2019. [Online]. Available: http://archive.ics.uci.edu/ml</w:t>
      </w:r>
    </w:p>
    <w:p>
      <w:pPr>
        <w:spacing w:after="120"/>
        <w:ind w:left="360" w:hanging="360"/>
      </w:pPr>
      <w:r>
        <w:rPr>
          <w:rFonts w:ascii="Times New Roman" w:cs="Times New Roman" w:eastAsia="Times New Roman" w:hAnsi="Times New Roman"/>
          <w:sz w:val="22"/>
          <w:szCs w:val="22"/>
        </w:rPr>
        <w:t xml:space="preserve">[18] Y. LeCun, L. Bottou, Y. Bengio, and P. Haffner, "Gradient-based learning applied to document recognition," Proceedings of the IEEE, vol. 86, no. 11, pp. 2278-2324, Nov. 1998.</w:t>
      </w:r>
    </w:p>
    <w:p>
      <w:pPr>
        <w:spacing w:after="120"/>
        <w:ind w:left="360" w:hanging="360"/>
      </w:pPr>
      <w:r>
        <w:rPr>
          <w:rFonts w:ascii="Times New Roman" w:cs="Times New Roman" w:eastAsia="Times New Roman" w:hAnsi="Times New Roman"/>
          <w:sz w:val="22"/>
          <w:szCs w:val="22"/>
        </w:rPr>
        <w:t xml:space="preserve">[19] T. H. Cormen, C. E. Leiserson, R. L. Rivest, and C. Stein, Introduction to Algorithms, 4th ed. Cambridge, MA: MIT Press, 2022.</w:t>
      </w:r>
    </w:p>
    <w:p>
      <w:pPr>
        <w:spacing w:after="120"/>
        <w:ind w:left="360" w:hanging="360"/>
      </w:pPr>
      <w:r>
        <w:rPr>
          <w:rFonts w:ascii="Times New Roman" w:cs="Times New Roman" w:eastAsia="Times New Roman" w:hAnsi="Times New Roman"/>
          <w:sz w:val="22"/>
          <w:szCs w:val="22"/>
        </w:rPr>
        <w:t xml:space="preserve">[20] R. S. Sutton and A. G. Barto, Reinforcement Learning: An Introduction, 2nd ed. Cambridge, MA: MIT Press, 2018.</w:t>
      </w:r>
    </w:p>
    <w:p>
      <w:pPr>
        <w:spacing w:after="120"/>
        <w:ind w:left="360" w:hanging="360"/>
      </w:pPr>
      <w:r>
        <w:rPr>
          <w:rFonts w:ascii="Times New Roman" w:cs="Times New Roman" w:eastAsia="Times New Roman" w:hAnsi="Times New Roman"/>
          <w:sz w:val="22"/>
          <w:szCs w:val="22"/>
        </w:rPr>
        <w:t xml:space="preserve">[21] R. E. Bellman, Adaptive Control Processes: A Guided Tour. Princeton, NJ: Princeton University Press, 1961.</w:t>
      </w:r>
    </w:p>
    <w:p>
      <w:pPr>
        <w:spacing w:after="120"/>
        <w:ind w:left="360" w:hanging="360"/>
      </w:pPr>
      <w:r>
        <w:rPr>
          <w:rFonts w:ascii="Times New Roman" w:cs="Times New Roman" w:eastAsia="Times New Roman" w:hAnsi="Times New Roman"/>
          <w:sz w:val="22"/>
          <w:szCs w:val="22"/>
        </w:rPr>
        <w:t xml:space="preserve">[22] K. O. Stanley and R. Miikkulainen, "Evolving neural networks through augmenting topologies," Evolutionary Computation, vol. 10, no. 2, pp. 99-127, 2002.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Times New Roman" w:cs="Times New Roman" w:eastAsia="Times New Roman" w:hAnsi="Times New Roman"/>
        <w:i/>
        <w:iCs/>
        <w:sz w:val="18"/>
        <w:szCs w:val="18"/>
      </w:rPr>
      <w:t xml:space="preserve">DP-HPO: A Dynamic Programming Framework for Neural Network Hyperparameter Optimisation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28"/>
      <w:szCs w:val="28"/>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2026-06-16T08:54:10.556Z</dcterms:created>
  <dcterms:modified xsi:type="dcterms:W3CDTF">2026-06-16T08:54:10.556Z</dcterms:modified>
</cp:coreProperties>
</file>

<file path=docProps/custom.xml><?xml version="1.0" encoding="utf-8"?>
<Properties xmlns="http://schemas.openxmlformats.org/officeDocument/2006/custom-properties" xmlns:vt="http://schemas.openxmlformats.org/officeDocument/2006/docPropsVTypes"/>
</file>