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rPr>
          <w:rFonts w:ascii="Arial" w:cs="Arial" w:eastAsia="Arial" w:hAnsi="Arial"/>
        </w:rPr>
        <w:t xml:space="preserve"/>
      </w:r>
    </w:p>
    <w:p>
      <w:pPr>
        <w:spacing w:after="0" w:before="80"/>
      </w:pPr>
      <w:r>
        <w:rPr>
          <w:rFonts w:ascii="Arial" w:cs="Arial" w:eastAsia="Arial" w:hAnsi="Arial"/>
        </w:rPr>
        <w:t xml:space="preserve"/>
      </w:r>
    </w:p>
    <w:p>
      <w:pPr>
        <w:spacing w:after="120" w:before="0"/>
        <w:jc w:val="center"/>
      </w:pPr>
      <w:r>
        <w:rPr>
          <w:rFonts w:ascii="Arial" w:cs="Arial" w:eastAsia="Arial" w:hAnsi="Arial"/>
          <w:b/>
          <w:bCs/>
          <w:color w:val="1E3A5F"/>
          <w:sz w:val="56"/>
          <w:szCs w:val="56"/>
        </w:rPr>
        <w:t xml:space="preserve">DP-HPO  ·  Version 2</w:t>
      </w:r>
    </w:p>
    <w:p>
      <w:pPr>
        <w:spacing w:after="80" w:before="0"/>
        <w:jc w:val="center"/>
      </w:pPr>
      <w:r>
        <w:rPr>
          <w:rFonts w:ascii="Arial" w:cs="Arial" w:eastAsia="Arial" w:hAnsi="Arial"/>
          <w:color w:val="0D7377"/>
          <w:sz w:val="30"/>
          <w:szCs w:val="30"/>
        </w:rPr>
        <w:t xml:space="preserve">Research Plan for Publication-Quality Manuscript</w:t>
      </w:r>
    </w:p>
    <w:p>
      <w:pPr>
        <w:spacing w:after="200" w:before="0"/>
        <w:jc w:val="center"/>
      </w:pPr>
      <w:r>
        <w:rPr>
          <w:rFonts w:ascii="Arial" w:cs="Arial" w:eastAsia="Arial" w:hAnsi="Arial"/>
          <w:color w:val="6B7280"/>
          <w:sz w:val="22"/>
          <w:szCs w:val="22"/>
        </w:rPr>
        <w:t xml:space="preserve">Target: IEEE Access · Applied Soft Computing · Engineering Applications of AI</w:t>
      </w:r>
    </w:p>
    <w:p>
      <w:pPr>
        <w:pBdr>
          <w:bottom w:val="single" w:color="D1D5DB" w:sz="4" w:space="4"/>
        </w:pBdr>
        <w:spacing w:after="120" w:before="120"/>
      </w:pPr>
      <w:r>
        <w:rPr>
          <w:rFonts w:ascii="Arial" w:cs="Arial" w:eastAsia="Arial" w:hAnsi="Arial"/>
        </w:rPr>
        <w:t xml:space="preserve"/>
      </w:r>
    </w:p>
    <w:p>
      <w:pPr>
        <w:spacing w:after="40" w:before="80"/>
        <w:jc w:val="center"/>
      </w:pPr>
      <w:r>
        <w:rPr>
          <w:rFonts w:ascii="Arial" w:cs="Arial" w:eastAsia="Arial" w:hAnsi="Arial"/>
          <w:b/>
          <w:bCs/>
          <w:color w:val="1B3A5C"/>
          <w:sz w:val="22"/>
          <w:szCs w:val="22"/>
        </w:rPr>
        <w:t xml:space="preserve">Author: </w:t>
      </w:r>
      <w:r>
        <w:rPr>
          <w:rFonts w:ascii="Arial" w:cs="Arial" w:eastAsia="Arial" w:hAnsi="Arial"/>
          <w:color w:val="374151"/>
          <w:sz w:val="22"/>
          <w:szCs w:val="22"/>
        </w:rPr>
        <w:t xml:space="preserve">Kartik Sonawane (Independent Researcher)</w:t>
      </w:r>
    </w:p>
    <w:p>
      <w:pPr>
        <w:spacing w:after="40" w:before="0"/>
        <w:jc w:val="center"/>
      </w:pPr>
      <w:r>
        <w:rPr>
          <w:rFonts w:ascii="Arial" w:cs="Arial" w:eastAsia="Arial" w:hAnsi="Arial"/>
          <w:b/>
          <w:bCs/>
          <w:color w:val="1B3A5C"/>
          <w:sz w:val="22"/>
          <w:szCs w:val="22"/>
        </w:rPr>
        <w:t xml:space="preserve">Document Version: </w:t>
      </w:r>
      <w:r>
        <w:rPr>
          <w:rFonts w:ascii="Arial" w:cs="Arial" w:eastAsia="Arial" w:hAnsi="Arial"/>
          <w:color w:val="374151"/>
          <w:sz w:val="22"/>
          <w:szCs w:val="22"/>
        </w:rPr>
        <w:t xml:space="preserve">2.0 — June 2026</w:t>
      </w:r>
    </w:p>
    <w:p>
      <w:pPr>
        <w:spacing w:after="80" w:before="0"/>
        <w:jc w:val="center"/>
      </w:pPr>
      <w:r>
        <w:rPr>
          <w:rFonts w:ascii="Arial" w:cs="Arial" w:eastAsia="Arial" w:hAnsi="Arial"/>
          <w:b/>
          <w:bCs/>
          <w:color w:val="1B3A5C"/>
          <w:sz w:val="22"/>
          <w:szCs w:val="22"/>
        </w:rPr>
        <w:t xml:space="preserve">Status: </w:t>
      </w:r>
      <w:r>
        <w:rPr>
          <w:rFonts w:ascii="Arial" w:cs="Arial" w:eastAsia="Arial" w:hAnsi="Arial"/>
          <w:color w:val="166534"/>
          <w:sz w:val="22"/>
          <w:szCs w:val="22"/>
        </w:rPr>
        <w:t xml:space="preserve">Active Research</w:t>
      </w:r>
    </w:p>
    <w:p>
      <w:pPr>
        <w:pBdr>
          <w:bottom w:val="single" w:color="D1D5DB" w:sz="4" w:space="4"/>
        </w:pBdr>
        <w:spacing w:after="120" w:before="120"/>
      </w:pPr>
      <w:r>
        <w:rPr>
          <w:rFonts w:ascii="Arial" w:cs="Arial" w:eastAsia="Arial" w:hAnsi="Arial"/>
        </w:rPr>
        <w:t xml:space="preserve"/>
      </w:r>
    </w:p>
    <w:p>
      <w:pPr>
        <w:spacing w:after="0" w:before="80"/>
      </w:pPr>
      <w:r>
        <w:rPr>
          <w:rFonts w:ascii="Arial" w:cs="Arial" w:eastAsia="Arial" w:hAnsi="Arial"/>
        </w:rPr>
        <w:t xml:space="preserve"/>
      </w:r>
    </w:p>
    <w:p>
      <w:pPr>
        <w:pStyle w:val="Heading1"/>
        <w:spacing w:after="180" w:before="360"/>
      </w:pPr>
      <w:r>
        <w:rPr>
          <w:rFonts w:ascii="Arial" w:cs="Arial" w:eastAsia="Arial" w:hAnsi="Arial"/>
          <w:b/>
          <w:bCs/>
          <w:color w:val="1E3A5F"/>
          <w:sz w:val="32"/>
          <w:szCs w:val="32"/>
        </w:rPr>
        <w:t xml:space="preserve">Executive Summary</w:t>
      </w:r>
    </w:p>
    <w:p>
      <w:pPr>
        <w:spacing w:after="80" w:before="80"/>
      </w:pPr>
      <w:r>
        <w:rPr>
          <w:rFonts w:ascii="Arial" w:cs="Arial" w:eastAsia="Arial" w:hAnsi="Arial"/>
          <w:color w:val="374151"/>
          <w:sz w:val="22"/>
          <w:szCs w:val="22"/>
        </w:rPr>
        <w:t xml:space="preserve">Version 1 of DP-HPO demonstrated that greedy dimension-wise search with memoization reduces the number of MLP training evaluations by up to 90.7% relative to full grid search, while achieving comparable accuracy on four benchmark datasets. The peer-review simulation identified five critical weaknesses that must be addressed before the work is suitable for Q2 or above journals: (1) the DP framing is technically inaccurate, (2) the theoretical proof is circular, (3) five seeds is insufficient for valid Wilcoxon testing, (4) datasets are toy-scale, and (5) key baselines — Hyperband and BOHB — are absent.</w:t>
      </w:r>
    </w:p>
    <w:p>
      <w:pPr>
        <w:spacing w:after="0" w:before="80"/>
      </w:pPr>
      <w:r>
        <w:rPr>
          <w:rFonts w:ascii="Arial" w:cs="Arial" w:eastAsia="Arial" w:hAnsi="Arial"/>
        </w:rPr>
        <w:t xml:space="preserve"/>
      </w:r>
    </w:p>
    <w:p>
      <w:pPr>
        <w:spacing w:after="80" w:before="80"/>
      </w:pPr>
      <w:r>
        <w:rPr>
          <w:rFonts w:ascii="Arial" w:cs="Arial" w:eastAsia="Arial" w:hAnsi="Arial"/>
          <w:color w:val="374151"/>
          <w:sz w:val="22"/>
          <w:szCs w:val="22"/>
        </w:rPr>
        <w:t xml:space="preserve">This document defines Version 2: a 12-month research plan that upgrades DP-HPO from an undergraduate-level project (22% publication readiness) to a manuscript suitable for IEEE Access or Applied Soft Computing (target: 75–80% readiness). The plan covers ten components: new research questions, hypotheses, theoretical contributions, mathematical proofs, experiments, benchmark datasets, baselines, ablation studies, statistical tests, and publication venues — with a milestone-based timeline.</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1. New Research Questions</w:t>
      </w:r>
    </w:p>
    <w:p>
      <w:pPr>
        <w:spacing w:after="80" w:before="80"/>
      </w:pPr>
      <w:r>
        <w:rPr>
          <w:rFonts w:ascii="Arial" w:cs="Arial" w:eastAsia="Arial" w:hAnsi="Arial"/>
          <w:color w:val="374151"/>
          <w:sz w:val="22"/>
          <w:szCs w:val="22"/>
        </w:rPr>
        <w:t xml:space="preserve">The following five research questions replace and expand the single implicit question of Version 1 ("Can DP reduce HPO evaluations?"). Each is falsifiable and scoped to produce a publishable result independently.</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660"/>
        <w:gridCol w:w="1600"/>
      </w:tblGrid>
      <w:tr>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ID</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Question</w:t>
            </w:r>
          </w:p>
        </w:tc>
        <w:tc>
          <w:tcPr>
            <w:tcW w:type="dxa" w:w="4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Motivation</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Expected Finding</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RQ1</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Under what formal conditions does greedy coordinate-wise HPO converge to the globally optimal configuration?</w:t>
            </w:r>
          </w:p>
        </w:tc>
        <w:tc>
          <w:tcPr>
            <w:tcW w:type="dxa" w:w="4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Version 1 assumes conditional independence but never defines it formally or tests when it holds. A formal condition enables principled use.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Independence condition sufficient for optimality</w:t>
            </w:r>
          </w:p>
        </w:tc>
      </w:tr>
      <w:tr>
        <w:tc>
          <w:tcPr>
            <w:tcW w:type="dxa" w:w="9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RQ2</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How does the optimality gap scale as a function of hyperparameter interaction strength ε?</w:t>
            </w:r>
          </w:p>
        </w:tc>
        <w:tc>
          <w:tcPr>
            <w:tcW w:type="dxa" w:w="46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Knowing the gap bound converts a heuristic into a characterised method with known worst-case behaviour.</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Gap ≤ O((d−1)·ε)</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RQ3</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Does dimension ordering affect solution quality and, if so, what ordering minimises the expected gap?</w:t>
            </w:r>
          </w:p>
        </w:tc>
        <w:tc>
          <w:tcPr>
            <w:tcW w:type="dxa" w:w="4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Version 1 ablation used one dataset, one seed, three orderings — statistically meaningless. A proper ordering theorem has practical impact.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Importance-first order reduces gap</w:t>
            </w:r>
          </w:p>
        </w:tc>
      </w:tr>
      <w:tr>
        <w:tc>
          <w:tcPr>
            <w:tcW w:type="dxa" w:w="9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RQ4</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How does evaluation-efficient coordinate search compare to multi-fidelity methods (Hyperband, BOHB) in the accuracy–cost trade-off?</w:t>
            </w:r>
          </w:p>
        </w:tc>
        <w:tc>
          <w:tcPr>
            <w:tcW w:type="dxa" w:w="46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Hyperband is the de-facto efficiency baseline in HPO. Without this comparison no reviewer will accept the paper.</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Competitive at small-to-medium scale</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RQ5</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Does the method's advantage scale as the search space grows from 108 to 10,000+ configurations?</w:t>
            </w:r>
          </w:p>
        </w:tc>
        <w:tc>
          <w:tcPr>
            <w:tcW w:type="dxa" w:w="4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108 configs is trivial for any method. The real value of coordinate search is at scale; this must be demonstrated.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Advantage increases with space size</w:t>
            </w:r>
          </w:p>
        </w:tc>
      </w:tr>
    </w:tbl>
    <w:p>
      <w:pPr>
        <w:spacing w:after="0" w:before="80"/>
      </w:pPr>
      <w:r>
        <w:rPr>
          <w:rFonts w:ascii="Arial" w:cs="Arial" w:eastAsia="Arial" w:hAnsi="Arial"/>
        </w:rPr>
        <w:t xml:space="preserve"/>
      </w:r>
    </w:p>
    <w:p>
      <w:pPr>
        <w:pStyle w:val="Heading1"/>
        <w:spacing w:after="180" w:before="360"/>
      </w:pPr>
      <w:r>
        <w:rPr>
          <w:rFonts w:ascii="Arial" w:cs="Arial" w:eastAsia="Arial" w:hAnsi="Arial"/>
          <w:b/>
          <w:bCs/>
          <w:color w:val="1E3A5F"/>
          <w:sz w:val="32"/>
          <w:szCs w:val="32"/>
        </w:rPr>
        <w:t xml:space="preserve">2. New Hypotheses</w:t>
      </w:r>
    </w:p>
    <w:p>
      <w:pPr>
        <w:spacing w:after="80" w:before="80"/>
      </w:pPr>
      <w:r>
        <w:rPr>
          <w:rFonts w:ascii="Arial" w:cs="Arial" w:eastAsia="Arial" w:hAnsi="Arial"/>
          <w:color w:val="374151"/>
          <w:sz w:val="22"/>
          <w:szCs w:val="22"/>
        </w:rPr>
        <w:t xml:space="preserve">The following formally stated, falsifiable hypotheses map directly to the research questions. Each includes a null hypothesis and a testable prediction.</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H1 — Independence Bound</w:t>
      </w:r>
    </w:p>
    <w:p>
      <w:pPr>
        <w:spacing w:after="80" w:before="80"/>
      </w:pPr>
      <w:r>
        <w:rPr>
          <w:rFonts w:ascii="Arial" w:cs="Arial" w:eastAsia="Arial" w:hAnsi="Arial"/>
          <w:color w:val="374151"/>
          <w:sz w:val="22"/>
          <w:szCs w:val="22"/>
        </w:rPr>
        <w:t xml:space="preserve">On standard MLP hyperparameter spaces, the maximum pairwise interaction effect between any two dimensions satisfies |I(hᵢ, hⱼ)| ≤ 0.02 (measured as the difference between joint and additive accuracy contributions, averaged over dataset-method pairs). This bound is sufficient to guarantee that greedy coordinate search achieves accuracy within 1% of grid search.</w:t>
      </w:r>
    </w:p>
    <w:p>
      <w:pPr>
        <w:pStyle w:val="ListParagraph"/>
        <w:numPr>
          <w:ilvl w:val="0"/>
          <w:numId w:val="2"/>
        </w:numPr>
        <w:spacing w:after="60" w:before="60"/>
      </w:pPr>
      <w:r>
        <w:rPr>
          <w:rFonts w:ascii="Arial" w:cs="Arial" w:eastAsia="Arial" w:hAnsi="Arial"/>
          <w:color w:val="374151"/>
          <w:sz w:val="22"/>
          <w:szCs w:val="22"/>
        </w:rPr>
        <w:t xml:space="preserve">Null (H1₀): No such bound exists; interaction effects are unbounded.</w:t>
      </w:r>
    </w:p>
    <w:p>
      <w:pPr>
        <w:pStyle w:val="ListParagraph"/>
        <w:numPr>
          <w:ilvl w:val="0"/>
          <w:numId w:val="2"/>
        </w:numPr>
        <w:spacing w:after="60" w:before="60"/>
      </w:pPr>
      <w:r>
        <w:rPr>
          <w:rFonts w:ascii="Arial" w:cs="Arial" w:eastAsia="Arial" w:hAnsi="Arial"/>
          <w:color w:val="374151"/>
          <w:sz w:val="22"/>
          <w:szCs w:val="22"/>
        </w:rPr>
        <w:t xml:space="preserve">Test: fANOVA variance decomposition on results.json extended with 5 new datasets.</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H2 — Ordering Theorem</w:t>
      </w:r>
    </w:p>
    <w:p>
      <w:pPr>
        <w:spacing w:after="80" w:before="80"/>
      </w:pPr>
      <w:r>
        <w:rPr>
          <w:rFonts w:ascii="Arial" w:cs="Arial" w:eastAsia="Arial" w:hAnsi="Arial"/>
          <w:color w:val="374151"/>
          <w:sz w:val="22"/>
          <w:szCs w:val="22"/>
        </w:rPr>
        <w:t xml:space="preserve">Ordering dimensions by decreasing marginal importance (estimated from single-dimension sweeps) produces equal or lower optimality gap compared to the fixed ordering [hidden_layers → neurons → lr → activation] across at least 4 of 5 benchmark datasets.</w:t>
      </w:r>
    </w:p>
    <w:p>
      <w:pPr>
        <w:pStyle w:val="ListParagraph"/>
        <w:numPr>
          <w:ilvl w:val="0"/>
          <w:numId w:val="2"/>
        </w:numPr>
        <w:spacing w:after="60" w:before="60"/>
      </w:pPr>
      <w:r>
        <w:rPr>
          <w:rFonts w:ascii="Arial" w:cs="Arial" w:eastAsia="Arial" w:hAnsi="Arial"/>
          <w:color w:val="374151"/>
          <w:sz w:val="22"/>
          <w:szCs w:val="22"/>
        </w:rPr>
        <w:t xml:space="preserve">Null (H2₀): All orderings produce identical expected accuracy.</w:t>
      </w:r>
    </w:p>
    <w:p>
      <w:pPr>
        <w:pStyle w:val="ListParagraph"/>
        <w:numPr>
          <w:ilvl w:val="0"/>
          <w:numId w:val="2"/>
        </w:numPr>
        <w:spacing w:after="60" w:before="60"/>
      </w:pPr>
      <w:r>
        <w:rPr>
          <w:rFonts w:ascii="Arial" w:cs="Arial" w:eastAsia="Arial" w:hAnsi="Arial"/>
          <w:color w:val="374151"/>
          <w:sz w:val="22"/>
          <w:szCs w:val="22"/>
        </w:rPr>
        <w:t xml:space="preserve">Test: Friedman test across 24 orderings, 5 datasets, 25 seeds.</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H3 — Accuracy Parity</w:t>
      </w:r>
    </w:p>
    <w:p>
      <w:pPr>
        <w:spacing w:after="80" w:before="80"/>
      </w:pPr>
      <w:r>
        <w:rPr>
          <w:rFonts w:ascii="Arial" w:cs="Arial" w:eastAsia="Arial" w:hAnsi="Arial"/>
          <w:color w:val="374151"/>
          <w:sz w:val="22"/>
          <w:szCs w:val="22"/>
        </w:rPr>
        <w:t xml:space="preserve">Greedy coordinate HPO achieves within 1% absolute accuracy of grid search on all 5 benchmark datasets while requiring ≤15% of grid-search evaluations, across 25 independent random seeds.</w:t>
      </w:r>
    </w:p>
    <w:p>
      <w:pPr>
        <w:pStyle w:val="ListParagraph"/>
        <w:numPr>
          <w:ilvl w:val="0"/>
          <w:numId w:val="2"/>
        </w:numPr>
        <w:spacing w:after="60" w:before="60"/>
      </w:pPr>
      <w:r>
        <w:rPr>
          <w:rFonts w:ascii="Arial" w:cs="Arial" w:eastAsia="Arial" w:hAnsi="Arial"/>
          <w:color w:val="374151"/>
          <w:sz w:val="22"/>
          <w:szCs w:val="22"/>
        </w:rPr>
        <w:t xml:space="preserve">Null (H3₀): The method does not achieve accuracy parity in at least one dataset.</w:t>
      </w:r>
    </w:p>
    <w:p>
      <w:pPr>
        <w:pStyle w:val="ListParagraph"/>
        <w:numPr>
          <w:ilvl w:val="0"/>
          <w:numId w:val="2"/>
        </w:numPr>
        <w:spacing w:after="60" w:before="60"/>
      </w:pPr>
      <w:r>
        <w:rPr>
          <w:rFonts w:ascii="Arial" w:cs="Arial" w:eastAsia="Arial" w:hAnsi="Arial"/>
          <w:color w:val="374151"/>
          <w:sz w:val="22"/>
          <w:szCs w:val="22"/>
        </w:rPr>
        <w:t xml:space="preserve">Test: Wilcoxon signed-rank test, n=25 seeds, Bonferroni-corrected α=0.01.</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H4 — Multi-Fidelity Crossover</w:t>
      </w:r>
    </w:p>
    <w:p>
      <w:pPr>
        <w:spacing w:after="80" w:before="80"/>
      </w:pPr>
      <w:r>
        <w:rPr>
          <w:rFonts w:ascii="Arial" w:cs="Arial" w:eastAsia="Arial" w:hAnsi="Arial"/>
          <w:color w:val="374151"/>
          <w:sz w:val="22"/>
          <w:szCs w:val="22"/>
        </w:rPr>
        <w:t xml:space="preserve">The relative advantage of coordinate HPO over Hyperband in total wall-clock time is positive on small datasets (n ≤ 10,000) and reverses on large datasets (n &gt; 50,000), because multi-fidelity methods benefit more from early stopping as training time grows.</w:t>
      </w:r>
    </w:p>
    <w:p>
      <w:pPr>
        <w:pStyle w:val="ListParagraph"/>
        <w:numPr>
          <w:ilvl w:val="0"/>
          <w:numId w:val="2"/>
        </w:numPr>
        <w:spacing w:after="60" w:before="60"/>
      </w:pPr>
      <w:r>
        <w:rPr>
          <w:rFonts w:ascii="Arial" w:cs="Arial" w:eastAsia="Arial" w:hAnsi="Arial"/>
          <w:color w:val="374151"/>
          <w:sz w:val="22"/>
          <w:szCs w:val="22"/>
        </w:rPr>
        <w:t xml:space="preserve">Null (H4₀): Wall-clock advantage is dataset-size independent.</w:t>
      </w:r>
    </w:p>
    <w:p>
      <w:pPr>
        <w:pStyle w:val="ListParagraph"/>
        <w:numPr>
          <w:ilvl w:val="0"/>
          <w:numId w:val="2"/>
        </w:numPr>
        <w:spacing w:after="60" w:before="60"/>
      </w:pPr>
      <w:r>
        <w:rPr>
          <w:rFonts w:ascii="Arial" w:cs="Arial" w:eastAsia="Arial" w:hAnsi="Arial"/>
          <w:color w:val="374151"/>
          <w:sz w:val="22"/>
          <w:szCs w:val="22"/>
        </w:rPr>
        <w:t xml:space="preserve">Test: Interaction term analysis in a mixed linear model, dataset size × method.</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H5 — Scale Advantage</w:t>
      </w:r>
    </w:p>
    <w:p>
      <w:pPr>
        <w:spacing w:after="80" w:before="80"/>
      </w:pPr>
      <w:r>
        <w:rPr>
          <w:rFonts w:ascii="Arial" w:cs="Arial" w:eastAsia="Arial" w:hAnsi="Arial"/>
          <w:color w:val="374151"/>
          <w:sz w:val="22"/>
          <w:szCs w:val="22"/>
        </w:rPr>
        <w:t xml:space="preserve">The fractional reduction in evaluations relative to grid search increases monotonically with search space size, from 90.7% at 108 configs to ≥98% at 10,000 configs, while maintaining accuracy parity (within 1% of grid-search accuracy).</w:t>
      </w:r>
    </w:p>
    <w:p>
      <w:pPr>
        <w:pStyle w:val="ListParagraph"/>
        <w:numPr>
          <w:ilvl w:val="0"/>
          <w:numId w:val="2"/>
        </w:numPr>
        <w:spacing w:after="60" w:before="60"/>
      </w:pPr>
      <w:r>
        <w:rPr>
          <w:rFonts w:ascii="Arial" w:cs="Arial" w:eastAsia="Arial" w:hAnsi="Arial"/>
          <w:color w:val="374151"/>
          <w:sz w:val="22"/>
          <w:szCs w:val="22"/>
        </w:rPr>
        <w:t xml:space="preserve">Null (H5₀): Evaluation reduction is constant across search space sizes.</w:t>
      </w:r>
    </w:p>
    <w:p>
      <w:pPr>
        <w:pStyle w:val="ListParagraph"/>
        <w:numPr>
          <w:ilvl w:val="0"/>
          <w:numId w:val="2"/>
        </w:numPr>
        <w:spacing w:after="60" w:before="60"/>
      </w:pPr>
      <w:r>
        <w:rPr>
          <w:rFonts w:ascii="Arial" w:cs="Arial" w:eastAsia="Arial" w:hAnsi="Arial"/>
          <w:color w:val="374151"/>
          <w:sz w:val="22"/>
          <w:szCs w:val="22"/>
        </w:rPr>
        <w:t xml:space="preserve">Test: Spearman correlation between log(space_size) and evaluation fraction.</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3. New Theoretical Contributions</w:t>
      </w:r>
    </w:p>
    <w:p>
      <w:pPr>
        <w:spacing w:after="80" w:before="80"/>
      </w:pPr>
      <w:r>
        <w:rPr>
          <w:rFonts w:ascii="Arial" w:cs="Arial" w:eastAsia="Arial" w:hAnsi="Arial"/>
          <w:color w:val="374151"/>
          <w:sz w:val="22"/>
          <w:szCs w:val="22"/>
        </w:rPr>
        <w:t xml:space="preserve">Version 1's theoretical section contained a circular Lemma 1 and an algorithm that did not implement its own value function. Version 2 replaces this with three formal contributions that are provably consistent with the implementation.</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3.1  Formal MDP Formulation</w:t>
      </w:r>
    </w:p>
    <w:p>
      <w:pPr>
        <w:spacing w:after="80" w:before="80"/>
      </w:pPr>
      <w:r>
        <w:rPr>
          <w:rFonts w:ascii="Arial" w:cs="Arial" w:eastAsia="Arial" w:hAnsi="Arial"/>
          <w:color w:val="374151"/>
          <w:sz w:val="22"/>
          <w:szCs w:val="22"/>
        </w:rPr>
        <w:t xml:space="preserve">Contribution 1 is a complete Markov Decision Process formulation of the hyperparameter selection problem, making the Bellman connection mathematically rigorous.</w:t>
      </w:r>
    </w:p>
    <w:p>
      <w:pPr>
        <w:pStyle w:val="ListParagraph"/>
        <w:numPr>
          <w:ilvl w:val="0"/>
          <w:numId w:val="2"/>
        </w:numPr>
        <w:spacing w:after="60" w:before="60"/>
      </w:pPr>
      <w:r>
        <w:rPr>
          <w:rFonts w:ascii="Arial" w:cs="Arial" w:eastAsia="Arial" w:hAnsi="Arial"/>
          <w:color w:val="374151"/>
          <w:sz w:val="22"/>
          <w:szCs w:val="22"/>
        </w:rPr>
        <w:t xml:space="preserve">State space: S = {(h₁,...,hᵢ, ✦,...,✦) : i ∈ {0,...,d}} where ✦ denotes uncommitted dimensions.</w:t>
      </w:r>
    </w:p>
    <w:p>
      <w:pPr>
        <w:pStyle w:val="ListParagraph"/>
        <w:numPr>
          <w:ilvl w:val="0"/>
          <w:numId w:val="2"/>
        </w:numPr>
        <w:spacing w:after="60" w:before="60"/>
      </w:pPr>
      <w:r>
        <w:rPr>
          <w:rFonts w:ascii="Arial" w:cs="Arial" w:eastAsia="Arial" w:hAnsi="Arial"/>
          <w:color w:val="374151"/>
          <w:sz w:val="22"/>
          <w:szCs w:val="22"/>
        </w:rPr>
        <w:t xml:space="preserve">Action space: A(s) = the set of allowable values for the next dimension given state s.</w:t>
      </w:r>
    </w:p>
    <w:p>
      <w:pPr>
        <w:pStyle w:val="ListParagraph"/>
        <w:numPr>
          <w:ilvl w:val="0"/>
          <w:numId w:val="2"/>
        </w:numPr>
        <w:spacing w:after="60" w:before="60"/>
      </w:pPr>
      <w:r>
        <w:rPr>
          <w:rFonts w:ascii="Arial" w:cs="Arial" w:eastAsia="Arial" w:hAnsi="Arial"/>
          <w:color w:val="374151"/>
          <w:sz w:val="22"/>
          <w:szCs w:val="22"/>
        </w:rPr>
        <w:t xml:space="preserve">Transition: T(s, a) → s' by deterministic commitment of the chosen value.</w:t>
      </w:r>
    </w:p>
    <w:p>
      <w:pPr>
        <w:pStyle w:val="ListParagraph"/>
        <w:numPr>
          <w:ilvl w:val="0"/>
          <w:numId w:val="2"/>
        </w:numPr>
        <w:spacing w:after="60" w:before="60"/>
      </w:pPr>
      <w:r>
        <w:rPr>
          <w:rFonts w:ascii="Arial" w:cs="Arial" w:eastAsia="Arial" w:hAnsi="Arial"/>
          <w:color w:val="374151"/>
          <w:sz w:val="22"/>
          <w:szCs w:val="22"/>
        </w:rPr>
        <w:t xml:space="preserve">Reward: R(s_terminal) = V(h₁,...,h_d) = validation accuracy of the complete configuration. Zero for non-terminal states.</w:t>
      </w:r>
    </w:p>
    <w:p>
      <w:pPr>
        <w:pStyle w:val="ListParagraph"/>
        <w:numPr>
          <w:ilvl w:val="0"/>
          <w:numId w:val="2"/>
        </w:numPr>
        <w:spacing w:after="60" w:before="60"/>
      </w:pPr>
      <w:r>
        <w:rPr>
          <w:rFonts w:ascii="Arial" w:cs="Arial" w:eastAsia="Arial" w:hAnsi="Arial"/>
          <w:color w:val="374151"/>
          <w:sz w:val="22"/>
          <w:szCs w:val="22"/>
        </w:rPr>
        <w:t xml:space="preserve">Value function: V*(s) = max_{π} E[R | start state s, follow policy π].</w:t>
      </w:r>
    </w:p>
    <w:p>
      <w:pPr>
        <w:spacing w:after="80" w:before="80"/>
      </w:pPr>
      <w:r>
        <w:rPr>
          <w:rFonts w:ascii="Arial" w:cs="Arial" w:eastAsia="Arial" w:hAnsi="Arial"/>
          <w:color w:val="374151"/>
          <w:sz w:val="22"/>
          <w:szCs w:val="22"/>
        </w:rPr>
        <w:t xml:space="preserve">With this formulation, Bellman's equation holds exactly: V*(sᵢ) = max_{a ∈ A(sᵢ)} V*(T(sᵢ, a)). The greedy coordinate search implements the approximation V̂(sᵢ) = max_{a} f(h₁,...,hᵢ=a, DEFAULT_{i+1},...,DEFAULT_d), which equals V*(sᵢ) when hyperparameters are conditionally independent.</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3.2  Optimality Gap Theorem</w:t>
      </w:r>
    </w:p>
    <w:p>
      <w:pPr>
        <w:spacing w:after="80" w:before="80"/>
      </w:pPr>
      <w:r>
        <w:rPr>
          <w:rFonts w:ascii="Arial" w:cs="Arial" w:eastAsia="Arial" w:hAnsi="Arial"/>
          <w:color w:val="374151"/>
          <w:sz w:val="22"/>
          <w:szCs w:val="22"/>
        </w:rPr>
        <w:t xml:space="preserve">Contribution 2 bounds the sub-optimality of the greedy approximation as a function of pairwise interaction strength.</w:t>
      </w:r>
    </w:p>
    <w:p>
      <w:pPr>
        <w:spacing w:after="80" w:before="80"/>
      </w:pPr>
      <w:r>
        <w:rPr>
          <w:rFonts w:ascii="Arial" w:cs="Arial" w:eastAsia="Arial" w:hAnsi="Arial"/>
          <w:color w:val="374151"/>
          <w:sz w:val="22"/>
          <w:szCs w:val="22"/>
        </w:rPr>
        <w:t xml:space="preserve">Definition: The interaction strength between dimensions i and j is:</w:t>
      </w:r>
    </w:p>
    <w:p>
      <w:pPr>
        <w:spacing w:after="80" w:before="80"/>
        <w:ind w:left="720"/>
      </w:pPr>
      <w:r>
        <w:rPr>
          <w:rFonts w:ascii="Courier New" w:cs="Courier New" w:eastAsia="Courier New" w:hAnsi="Courier New"/>
          <w:color w:val="1B3A5C"/>
          <w:sz w:val="20"/>
          <w:szCs w:val="20"/>
        </w:rPr>
        <w:t xml:space="preserve">ε(i,j) = max_{h} |f(hᵢ,hⱼ | h\{i,j}) − f(hᵢ | h\{i,j}) · f(hⱼ | h\{i,j})|</w:t>
      </w:r>
    </w:p>
    <w:p>
      <w:pPr>
        <w:spacing w:after="80" w:before="80"/>
      </w:pPr>
      <w:r>
        <w:rPr>
          <w:rFonts w:ascii="Arial" w:cs="Arial" w:eastAsia="Arial" w:hAnsi="Arial"/>
          <w:color w:val="374151"/>
          <w:sz w:val="22"/>
          <w:szCs w:val="22"/>
        </w:rPr>
        <w:t xml:space="preserve">Theorem 1 (Optimality Gap Bound): Let ε = max_{i≠j} ε(i,j). Then:</w:t>
      </w:r>
    </w:p>
    <w:p>
      <w:pPr>
        <w:spacing w:after="80" w:before="80"/>
        <w:ind w:left="720"/>
      </w:pPr>
      <w:r>
        <w:rPr>
          <w:rFonts w:ascii="Courier New" w:cs="Courier New" w:eastAsia="Courier New" w:hAnsi="Courier New"/>
          <w:color w:val="1B3A5C"/>
          <w:sz w:val="20"/>
          <w:szCs w:val="20"/>
        </w:rPr>
        <w:t xml:space="preserve">f* − f_greedy ≤ (d − 1) · ε</w:t>
      </w:r>
    </w:p>
    <w:p>
      <w:pPr>
        <w:spacing w:after="80" w:before="80"/>
      </w:pPr>
      <w:r>
        <w:rPr>
          <w:rFonts w:ascii="Arial" w:cs="Arial" w:eastAsia="Arial" w:hAnsi="Arial"/>
          <w:color w:val="374151"/>
          <w:sz w:val="22"/>
          <w:szCs w:val="22"/>
        </w:rPr>
        <w:t xml:space="preserve">where f* is the global optimum and f_greedy is the value found by greedy coordinate search. Corollary: when ε = 0 (exact independence), f_greedy = f*.</w:t>
      </w:r>
    </w:p>
    <w:p>
      <w:pPr>
        <w:spacing w:after="80" w:before="80"/>
      </w:pPr>
      <w:r>
        <w:rPr>
          <w:rFonts w:ascii="Arial" w:cs="Arial" w:eastAsia="Arial" w:hAnsi="Arial"/>
          <w:color w:val="374151"/>
          <w:sz w:val="22"/>
          <w:szCs w:val="22"/>
        </w:rPr>
        <w:t xml:space="preserve">This theorem converts the independence assumption from an unjustified claim into a parameter: the method's quality is now characterised as a function of ε, which can be estimated empirically using the fANOVA decomposition.</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3.3  Dimension Ordering Lemma</w:t>
      </w:r>
    </w:p>
    <w:p>
      <w:pPr>
        <w:spacing w:after="80" w:before="80"/>
      </w:pPr>
      <w:r>
        <w:rPr>
          <w:rFonts w:ascii="Arial" w:cs="Arial" w:eastAsia="Arial" w:hAnsi="Arial"/>
          <w:color w:val="374151"/>
          <w:sz w:val="22"/>
          <w:szCs w:val="22"/>
        </w:rPr>
        <w:t xml:space="preserve">Contribution 3 formalises the effect of ordering on gap tightness.</w:t>
      </w:r>
    </w:p>
    <w:p>
      <w:pPr>
        <w:spacing w:after="80" w:before="80"/>
      </w:pPr>
      <w:r>
        <w:rPr>
          <w:rFonts w:ascii="Arial" w:cs="Arial" w:eastAsia="Arial" w:hAnsi="Arial"/>
          <w:color w:val="374151"/>
          <w:sz w:val="22"/>
          <w:szCs w:val="22"/>
        </w:rPr>
        <w:t xml:space="preserve">Lemma 2 (Importance-First Ordering): Let σ*(i) be the ordering that sorts dimensions by decreasing marginal variance Var_{hᵢ}[E_{h\i}[f]]. Then the expected optimality gap under σ* is minimised in the following sense:</w:t>
      </w:r>
    </w:p>
    <w:p>
      <w:pPr>
        <w:spacing w:after="80" w:before="80"/>
        <w:ind w:left="720"/>
      </w:pPr>
      <w:r>
        <w:rPr>
          <w:rFonts w:ascii="Courier New" w:cs="Courier New" w:eastAsia="Courier New" w:hAnsi="Courier New"/>
          <w:color w:val="1B3A5C"/>
          <w:sz w:val="20"/>
          <w:szCs w:val="20"/>
        </w:rPr>
        <w:t xml:space="preserve">E[f* − f_{greedy,σ*}] ≤ E[f* − f_{greedy,σ}]  for all permutations σ</w:t>
      </w:r>
    </w:p>
    <w:p>
      <w:pPr>
        <w:spacing w:after="80" w:before="80"/>
      </w:pPr>
      <w:r>
        <w:rPr>
          <w:rFonts w:ascii="Arial" w:cs="Arial" w:eastAsia="Arial" w:hAnsi="Arial"/>
          <w:color w:val="374151"/>
          <w:sz w:val="22"/>
          <w:szCs w:val="22"/>
        </w:rPr>
        <w:t xml:space="preserve">The marginal variance Var_{hᵢ}[E_{h\i}[f]] can be estimated with a single dimension sweep (which the algorithm already performs), making this ordering adaptive and computationally free.</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4. Additional Mathematical Proofs</w:t>
      </w:r>
    </w:p>
    <w:p>
      <w:pPr>
        <w:spacing w:after="80" w:before="80"/>
      </w:pPr>
      <w:r>
        <w:rPr>
          <w:rFonts w:ascii="Arial" w:cs="Arial" w:eastAsia="Arial" w:hAnsi="Arial"/>
          <w:color w:val="374151"/>
          <w:sz w:val="22"/>
          <w:szCs w:val="22"/>
        </w:rPr>
        <w:t xml:space="preserve">The following proofs are required in the Version 2 manuscript. Proof sketches are given; complete proofs will be worked out in Month 1 of the timeline.</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4.1  Proof Sketch — Theorem 1 (Optimality Gap Bound)</w:t>
      </w:r>
    </w:p>
    <w:p>
      <w:pPr>
        <w:spacing w:after="80" w:before="80"/>
      </w:pPr>
      <w:r>
        <w:rPr>
          <w:rFonts w:ascii="Arial" w:cs="Arial" w:eastAsia="Arial" w:hAnsi="Arial"/>
          <w:color w:val="374151"/>
          <w:sz w:val="22"/>
          <w:szCs w:val="22"/>
        </w:rPr>
        <w:t xml:space="preserve">Strategy: induction on dimension index d.</w:t>
      </w:r>
    </w:p>
    <w:p>
      <w:pPr>
        <w:pStyle w:val="ListParagraph"/>
        <w:numPr>
          <w:ilvl w:val="0"/>
          <w:numId w:val="3"/>
        </w:numPr>
        <w:spacing w:after="60" w:before="60"/>
      </w:pPr>
      <w:r>
        <w:rPr>
          <w:rFonts w:ascii="Arial" w:cs="Arial" w:eastAsia="Arial" w:hAnsi="Arial"/>
          <w:color w:val="374151"/>
          <w:sz w:val="22"/>
          <w:szCs w:val="22"/>
        </w:rPr>
        <w:t xml:space="preserve">Base case d=1: Single dimension, greedy is optimal trivially.</w:t>
      </w:r>
    </w:p>
    <w:p>
      <w:pPr>
        <w:pStyle w:val="ListParagraph"/>
        <w:numPr>
          <w:ilvl w:val="0"/>
          <w:numId w:val="3"/>
        </w:numPr>
        <w:spacing w:after="60" w:before="60"/>
      </w:pPr>
      <w:r>
        <w:rPr>
          <w:rFonts w:ascii="Arial" w:cs="Arial" w:eastAsia="Arial" w:hAnsi="Arial"/>
          <w:color w:val="374151"/>
          <w:sz w:val="22"/>
          <w:szCs w:val="22"/>
        </w:rPr>
        <w:t xml:space="preserve">Inductive step: Assume greedy is within (d−2)·ε optimal for d−1 dimensions. For d dimensions, the committed value h*₁ satisfies f(h*₁, DEFAULT₂,...) ≥ f(h₁, DEFAULT₂,...) for all h₁. The error introduced by using defaults instead of optimal completions is bounded by ε per dimension transition, giving (d−1)·ε total.</w:t>
      </w:r>
    </w:p>
    <w:p>
      <w:pPr>
        <w:pStyle w:val="ListParagraph"/>
        <w:numPr>
          <w:ilvl w:val="0"/>
          <w:numId w:val="3"/>
        </w:numPr>
        <w:spacing w:after="60" w:before="60"/>
      </w:pPr>
      <w:r>
        <w:rPr>
          <w:rFonts w:ascii="Arial" w:cs="Arial" w:eastAsia="Arial" w:hAnsi="Arial"/>
          <w:color w:val="374151"/>
          <w:sz w:val="22"/>
          <w:szCs w:val="22"/>
        </w:rPr>
        <w:t xml:space="preserve">The bound tightens to zero when ε=0. It is tight when interactions are adversarial — a construction will be provided as a counterexample showing the bound cannot be improved in general.</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4.2  Proof Sketch — Lemma 2 (Importance-First Ordering)</w:t>
      </w:r>
    </w:p>
    <w:p>
      <w:pPr>
        <w:spacing w:after="80" w:before="80"/>
      </w:pPr>
      <w:r>
        <w:rPr>
          <w:rFonts w:ascii="Arial" w:cs="Arial" w:eastAsia="Arial" w:hAnsi="Arial"/>
          <w:color w:val="374151"/>
          <w:sz w:val="22"/>
          <w:szCs w:val="22"/>
        </w:rPr>
        <w:t xml:space="preserve">Strategy: greedy algorithms commit to locally optimal choices; errors from wrong commitments propagate through all subsequent stages. Committing high-importance dimensions early (where the accuracy surface has high curvature) reduces the marginal error at each step. Formally:</w:t>
      </w:r>
    </w:p>
    <w:p>
      <w:pPr>
        <w:pStyle w:val="ListParagraph"/>
        <w:numPr>
          <w:ilvl w:val="0"/>
          <w:numId w:val="3"/>
        </w:numPr>
        <w:spacing w:after="60" w:before="60"/>
      </w:pPr>
      <w:r>
        <w:rPr>
          <w:rFonts w:ascii="Arial" w:cs="Arial" w:eastAsia="Arial" w:hAnsi="Arial"/>
          <w:color w:val="374151"/>
          <w:sz w:val="22"/>
          <w:szCs w:val="22"/>
        </w:rPr>
        <w:t xml:space="preserve">The cumulative gap decomposes as a sum of stage-wise errors: Σᵢ δᵢ where δᵢ depends on the variance of f in dimension σ(i) conditioned on already-committed dimensions.</w:t>
      </w:r>
    </w:p>
    <w:p>
      <w:pPr>
        <w:pStyle w:val="ListParagraph"/>
        <w:numPr>
          <w:ilvl w:val="0"/>
          <w:numId w:val="3"/>
        </w:numPr>
        <w:spacing w:after="60" w:before="60"/>
      </w:pPr>
      <w:r>
        <w:rPr>
          <w:rFonts w:ascii="Arial" w:cs="Arial" w:eastAsia="Arial" w:hAnsi="Arial"/>
          <w:color w:val="374151"/>
          <w:sz w:val="22"/>
          <w:szCs w:val="22"/>
        </w:rPr>
        <w:t xml:space="preserve">Sorting by decreasing variance minimises the dominant terms in this sum (similar in spirit to greedy interval scheduling arguments).</w:t>
      </w:r>
    </w:p>
    <w:p>
      <w:pPr>
        <w:pStyle w:val="ListParagraph"/>
        <w:numPr>
          <w:ilvl w:val="0"/>
          <w:numId w:val="3"/>
        </w:numPr>
        <w:spacing w:after="60" w:before="60"/>
      </w:pPr>
      <w:r>
        <w:rPr>
          <w:rFonts w:ascii="Arial" w:cs="Arial" w:eastAsia="Arial" w:hAnsi="Arial"/>
          <w:color w:val="374151"/>
          <w:sz w:val="22"/>
          <w:szCs w:val="22"/>
        </w:rPr>
        <w:t xml:space="preserve">This is related to the theory of submodular function maximisation, where sorting by marginal gain gives a (1−1/e) approximation. A tighter bound is possible for the separable case.</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4.3  Cache Complexity Analysis</w:t>
      </w:r>
    </w:p>
    <w:p>
      <w:pPr>
        <w:spacing w:after="80" w:before="80"/>
      </w:pPr>
      <w:r>
        <w:rPr>
          <w:rFonts w:ascii="Arial" w:cs="Arial" w:eastAsia="Arial" w:hAnsi="Arial"/>
          <w:color w:val="374151"/>
          <w:sz w:val="22"/>
          <w:szCs w:val="22"/>
        </w:rPr>
        <w:t xml:space="preserve">The expected number of cache hits during a greedy coordinate search over d dimensions with sizes [n₁,...,n_d] is:</w:t>
      </w:r>
    </w:p>
    <w:p>
      <w:pPr>
        <w:spacing w:after="80" w:before="80"/>
        <w:ind w:left="720"/>
      </w:pPr>
      <w:r>
        <w:rPr>
          <w:rFonts w:ascii="Courier New" w:cs="Courier New" w:eastAsia="Courier New" w:hAnsi="Courier New"/>
          <w:color w:val="1B3A5C"/>
          <w:sz w:val="20"/>
          <w:szCs w:val="20"/>
        </w:rPr>
        <w:t xml:space="preserve">Hits = Σᵢ (nᵢ − 1)</w:t>
      </w:r>
    </w:p>
    <w:p>
      <w:pPr>
        <w:spacing w:after="80" w:before="80"/>
      </w:pPr>
      <w:r>
        <w:rPr>
          <w:rFonts w:ascii="Arial" w:cs="Arial" w:eastAsia="Arial" w:hAnsi="Arial"/>
          <w:color w:val="374151"/>
          <w:sz w:val="22"/>
          <w:szCs w:val="22"/>
        </w:rPr>
        <w:t xml:space="preserve">For the Version 1 search space [3,4,3,3]: total evaluations = 3+4+3+3 = 13, with 0 cache hits. Total unique evaluations = 13 (grid = 108). Reduction = 87.96%. The discrepancy with the reported 90.7% arises because the DEFAULTS configuration is evaluated only once and shared across all four sweeps — this is an additional saving not captured by the naive formula. Corrected formula:</w:t>
      </w:r>
    </w:p>
    <w:p>
      <w:pPr>
        <w:spacing w:after="80" w:before="80"/>
        <w:ind w:left="720"/>
      </w:pPr>
      <w:r>
        <w:rPr>
          <w:rFonts w:ascii="Courier New" w:cs="Courier New" w:eastAsia="Courier New" w:hAnsi="Courier New"/>
          <w:color w:val="1B3A5C"/>
          <w:sz w:val="20"/>
          <w:szCs w:val="20"/>
        </w:rPr>
        <w:t xml:space="preserve">Unique evaluations = 1 + Σᵢ (nᵢ − 1) = 1 + Σᵢ nᵢ − d</w:t>
      </w:r>
    </w:p>
    <w:p>
      <w:pPr>
        <w:spacing w:after="80" w:before="80"/>
      </w:pPr>
      <w:r>
        <w:rPr>
          <w:rFonts w:ascii="Arial" w:cs="Arial" w:eastAsia="Arial" w:hAnsi="Arial"/>
          <w:color w:val="374151"/>
          <w:sz w:val="22"/>
          <w:szCs w:val="22"/>
        </w:rPr>
        <w:t xml:space="preserve">For [3,4,3,3]: 1 + (3+4+3+3) − 4 = 10, consistent with the reported value. This completes the evaluation count proof.</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5. New Experiments</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E1 — Optimality Gap Measurement (Synthetic)</w:t>
      </w:r>
    </w:p>
    <w:p>
      <w:pPr>
        <w:spacing w:after="80" w:before="80"/>
      </w:pPr>
      <w:r>
        <w:rPr>
          <w:rFonts w:ascii="Arial" w:cs="Arial" w:eastAsia="Arial" w:hAnsi="Arial"/>
          <w:color w:val="374151"/>
          <w:sz w:val="22"/>
          <w:szCs w:val="22"/>
        </w:rPr>
        <w:t xml:space="preserve">Design: Construct synthetic accuracy functions f(h₁,...,h₄) with controlled pairwise interaction strength ε ∈ {0, 0.01, 0.05, 0.10, 0.20, 0.50}. For each ε, run greedy coordinate search and measure actual optimality gap vs. true maximum. Compare against the Theorem 1 bound to validate tightness.</w:t>
      </w:r>
    </w:p>
    <w:p>
      <w:pPr>
        <w:pStyle w:val="ListParagraph"/>
        <w:numPr>
          <w:ilvl w:val="0"/>
          <w:numId w:val="2"/>
        </w:numPr>
        <w:spacing w:after="60" w:before="60"/>
      </w:pPr>
      <w:r>
        <w:rPr>
          <w:rFonts w:ascii="Arial" w:cs="Arial" w:eastAsia="Arial" w:hAnsi="Arial"/>
          <w:color w:val="374151"/>
          <w:sz w:val="22"/>
          <w:szCs w:val="22"/>
        </w:rPr>
        <w:t xml:space="preserve">50 synthetic functions per ε level. 10 random dimension orderings per function.</w:t>
      </w:r>
    </w:p>
    <w:p>
      <w:pPr>
        <w:pStyle w:val="ListParagraph"/>
        <w:numPr>
          <w:ilvl w:val="0"/>
          <w:numId w:val="2"/>
        </w:numPr>
        <w:spacing w:after="60" w:before="60"/>
      </w:pPr>
      <w:r>
        <w:rPr>
          <w:rFonts w:ascii="Arial" w:cs="Arial" w:eastAsia="Arial" w:hAnsi="Arial"/>
          <w:color w:val="374151"/>
          <w:sz w:val="22"/>
          <w:szCs w:val="22"/>
        </w:rPr>
        <w:t xml:space="preserve">Expected result: measured gap ≤ (d−1)·ε = 3ε for all instances, with equality on adversarial functions.</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E2 — Scale Experiment (108 to 10,000 Configurations)</w:t>
      </w:r>
    </w:p>
    <w:p>
      <w:pPr>
        <w:spacing w:after="80" w:before="80"/>
      </w:pPr>
      <w:r>
        <w:rPr>
          <w:rFonts w:ascii="Arial" w:cs="Arial" w:eastAsia="Arial" w:hAnsi="Arial"/>
          <w:color w:val="374151"/>
          <w:sz w:val="22"/>
          <w:szCs w:val="22"/>
        </w:rPr>
        <w:t xml:space="preserve">Expand the search space by adding: dropout rate [0, 0.1, 0.2, 0.3], batch size [16, 32, 64], L2 weight decay [0, 1e-4, 1e-3]. Total space: 3×4×3×3×4×3×3 = 3,888 configurations. Further expansion to 10,000 by adding more lr and neuron options.</w:t>
      </w:r>
    </w:p>
    <w:p>
      <w:pPr>
        <w:pStyle w:val="ListParagraph"/>
        <w:numPr>
          <w:ilvl w:val="0"/>
          <w:numId w:val="2"/>
        </w:numPr>
        <w:spacing w:after="60" w:before="60"/>
      </w:pPr>
      <w:r>
        <w:rPr>
          <w:rFonts w:ascii="Arial" w:cs="Arial" w:eastAsia="Arial" w:hAnsi="Arial"/>
          <w:color w:val="374151"/>
          <w:sz w:val="22"/>
          <w:szCs w:val="22"/>
        </w:rPr>
        <w:t xml:space="preserve">Compare evaluation count (absolute) and accuracy (relative to grid-search optimum) at 108, 500, 1000, 2000, 5000, 10000 configs.</w:t>
      </w:r>
    </w:p>
    <w:p>
      <w:pPr>
        <w:pStyle w:val="ListParagraph"/>
        <w:numPr>
          <w:ilvl w:val="0"/>
          <w:numId w:val="2"/>
        </w:numPr>
        <w:spacing w:after="60" w:before="60"/>
      </w:pPr>
      <w:r>
        <w:rPr>
          <w:rFonts w:ascii="Arial" w:cs="Arial" w:eastAsia="Arial" w:hAnsi="Arial"/>
          <w:color w:val="374151"/>
          <w:sz w:val="22"/>
          <w:szCs w:val="22"/>
        </w:rPr>
        <w:t xml:space="preserve">Hypothesis H5 predicts monotone increase in evaluation savings fraction.</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E3 — Wall-Clock Time vs Hyperband and BOHB</w:t>
      </w:r>
    </w:p>
    <w:p>
      <w:pPr>
        <w:spacing w:after="80" w:before="80"/>
      </w:pPr>
      <w:r>
        <w:rPr>
          <w:rFonts w:ascii="Arial" w:cs="Arial" w:eastAsia="Arial" w:hAnsi="Arial"/>
          <w:color w:val="374151"/>
          <w:sz w:val="22"/>
          <w:szCs w:val="22"/>
        </w:rPr>
        <w:t xml:space="preserve">Fair comparison protocol: each method has its own isolated training run (no shared memo cache between methods). Measure total wall-clock time to achieve target accuracy thresholds (95%, 97%, 99% of grid-search optimum).</w:t>
      </w:r>
    </w:p>
    <w:p>
      <w:pPr>
        <w:pStyle w:val="ListParagraph"/>
        <w:numPr>
          <w:ilvl w:val="0"/>
          <w:numId w:val="2"/>
        </w:numPr>
        <w:spacing w:after="60" w:before="60"/>
      </w:pPr>
      <w:r>
        <w:rPr>
          <w:rFonts w:ascii="Arial" w:cs="Arial" w:eastAsia="Arial" w:hAnsi="Arial"/>
          <w:color w:val="374151"/>
          <w:sz w:val="22"/>
          <w:szCs w:val="22"/>
        </w:rPr>
        <w:t xml:space="preserve">Datasets: Fashion-MNIST (70K), Adult Income (48K), MNIST full (70K).</w:t>
      </w:r>
    </w:p>
    <w:p>
      <w:pPr>
        <w:pStyle w:val="ListParagraph"/>
        <w:numPr>
          <w:ilvl w:val="0"/>
          <w:numId w:val="2"/>
        </w:numPr>
        <w:spacing w:after="60" w:before="60"/>
      </w:pPr>
      <w:r>
        <w:rPr>
          <w:rFonts w:ascii="Arial" w:cs="Arial" w:eastAsia="Arial" w:hAnsi="Arial"/>
          <w:color w:val="374151"/>
          <w:sz w:val="22"/>
          <w:szCs w:val="22"/>
        </w:rPr>
        <w:t xml:space="preserve">Key question: does coordinate HPO reach 97% of grid-search quality faster than Hyperband?</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E4 — Independence Assumption Validation</w:t>
      </w:r>
    </w:p>
    <w:p>
      <w:pPr>
        <w:spacing w:after="80" w:before="80"/>
      </w:pPr>
      <w:r>
        <w:rPr>
          <w:rFonts w:ascii="Arial" w:cs="Arial" w:eastAsia="Arial" w:hAnsi="Arial"/>
          <w:color w:val="374151"/>
          <w:sz w:val="22"/>
          <w:szCs w:val="22"/>
        </w:rPr>
        <w:t xml:space="preserve">Empirical measurement of pairwise interaction strength ε(i,j) for all six pairs of the four hyperparameters, across all five benchmark datasets. Use variance decomposition (fANOVA-style): train a random forest on all 108 evaluations, use SHAP interaction values as proxy for ε(i,j).</w:t>
      </w:r>
    </w:p>
    <w:p>
      <w:pPr>
        <w:pStyle w:val="ListParagraph"/>
        <w:numPr>
          <w:ilvl w:val="0"/>
          <w:numId w:val="2"/>
        </w:numPr>
        <w:spacing w:after="60" w:before="60"/>
      </w:pPr>
      <w:r>
        <w:rPr>
          <w:rFonts w:ascii="Arial" w:cs="Arial" w:eastAsia="Arial" w:hAnsi="Arial"/>
          <w:color w:val="374151"/>
          <w:sz w:val="22"/>
          <w:szCs w:val="22"/>
        </w:rPr>
        <w:t xml:space="preserve">If max ε &lt; 0.02 across all datasets, H1 is validated and Theorem 1's bound is tight.</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E5 — Ordering Sensitivity Study</w:t>
      </w:r>
    </w:p>
    <w:p>
      <w:pPr>
        <w:spacing w:after="80" w:before="80"/>
      </w:pPr>
      <w:r>
        <w:rPr>
          <w:rFonts w:ascii="Arial" w:cs="Arial" w:eastAsia="Arial" w:hAnsi="Arial"/>
          <w:color w:val="374151"/>
          <w:sz w:val="22"/>
          <w:szCs w:val="22"/>
        </w:rPr>
        <w:t xml:space="preserve">All 4! = 24 orderings of four dimensions evaluated on 5 datasets × 25 seeds. For each ordering, record best found accuracy and number of evaluations. Use Friedman test to determine if ordering matters significantly; use Nemenyi post-hoc test to identify which orderings are significantly different.</w:t>
      </w:r>
    </w:p>
    <w:p>
      <w:pPr>
        <w:pStyle w:val="ListParagraph"/>
        <w:numPr>
          <w:ilvl w:val="0"/>
          <w:numId w:val="2"/>
        </w:numPr>
        <w:spacing w:after="60" w:before="60"/>
      </w:pPr>
      <w:r>
        <w:rPr>
          <w:rFonts w:ascii="Arial" w:cs="Arial" w:eastAsia="Arial" w:hAnsi="Arial"/>
          <w:color w:val="374151"/>
          <w:sz w:val="22"/>
          <w:szCs w:val="22"/>
        </w:rPr>
        <w:t xml:space="preserve">Expected: importance-first ordering (based on marginal variance from E4) consistently ranks in the top quartile.</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E6 — Default Sensitivity Study</w:t>
      </w:r>
    </w:p>
    <w:p>
      <w:pPr>
        <w:spacing w:after="80" w:before="80"/>
      </w:pPr>
      <w:r>
        <w:rPr>
          <w:rFonts w:ascii="Arial" w:cs="Arial" w:eastAsia="Arial" w:hAnsi="Arial"/>
          <w:color w:val="374151"/>
          <w:sz w:val="22"/>
          <w:szCs w:val="22"/>
        </w:rPr>
        <w:t xml:space="preserve">Test 6 different default configurations (including the best-known config from grid search, worst-known config, and four random configs). Measure change in final accuracy and evaluation count as defaults vary. Expected: accuracy is stable (±0.5%) but evaluation count changes by up to 20% based on how close defaults are to the true optimum.</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6. New Benchmark Datasets</w:t>
      </w:r>
    </w:p>
    <w:p>
      <w:pPr>
        <w:spacing w:after="80" w:before="80"/>
      </w:pPr>
      <w:r>
        <w:rPr>
          <w:rFonts w:ascii="Arial" w:cs="Arial" w:eastAsia="Arial" w:hAnsi="Arial"/>
          <w:color w:val="374151"/>
          <w:sz w:val="22"/>
          <w:szCs w:val="22"/>
        </w:rPr>
        <w:t xml:space="preserve">Version 1 used four toy-scale datasets (n ≤ 569, except MNIST subset at 10K). Version 2 uses a stratified benchmark suite covering scale, task type, and domain.</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000"/>
        <w:gridCol w:w="2160"/>
        <w:gridCol w:w="2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Dataset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N</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Features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Classes</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Domain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Purpose in V2</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MNIST (full)</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70,000</w:t>
            </w:r>
          </w:p>
        </w:tc>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784</w:t>
            </w:r>
          </w:p>
        </w:tc>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Computer Vision</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Replaces 10K subset; standard benchmark</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Fashion-MNIST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70,000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784</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Computer Vision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Harder than MNIST; standard HPO benchmark</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Adult Income</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48,842</w:t>
            </w:r>
          </w:p>
        </w:tc>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14</w:t>
            </w:r>
          </w:p>
        </w:tc>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Tabular (census)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Medium-scale tabular; class imbalance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HIGGS (10K)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10,000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Particle Physics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Scientific domain, complex feature interactions</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OpenML #31 (Credit-G)</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1,000</w:t>
            </w:r>
          </w:p>
        </w:tc>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20</w:t>
            </w:r>
          </w:p>
        </w:tc>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Finance (tabular)</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OpenML-CC18 suite; real-world messy features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Breast Cancer (keep)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569</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30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Medical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Retained for continuity with Version 1</w:t>
            </w:r>
          </w:p>
        </w:tc>
      </w:tr>
    </w:tbl>
    <w:p>
      <w:pPr>
        <w:spacing w:after="0" w:before="80"/>
      </w:pPr>
      <w:r>
        <w:rPr>
          <w:rFonts w:ascii="Arial" w:cs="Arial" w:eastAsia="Arial" w:hAnsi="Arial"/>
        </w:rPr>
        <w:t xml:space="preserve"/>
      </w:r>
    </w:p>
    <w:p>
      <w:pPr>
        <w:spacing w:after="80" w:before="80"/>
      </w:pPr>
      <w:r>
        <w:rPr>
          <w:rFonts w:ascii="Arial" w:cs="Arial" w:eastAsia="Arial" w:hAnsi="Arial"/>
          <w:color w:val="374151"/>
          <w:sz w:val="22"/>
          <w:szCs w:val="22"/>
        </w:rPr>
        <w:t xml:space="preserve">UCI Iris and UCI Heart Disease are removed from main results and moved to an appendix for historical continuity only. The benchmark suite now spans n=569 to n=70,000 enabling the scale analysis required for H5 and E2.</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7. New Baselines</w:t>
      </w:r>
    </w:p>
    <w:p>
      <w:pPr>
        <w:spacing w:after="80" w:before="80"/>
      </w:pPr>
      <w:r>
        <w:rPr>
          <w:rFonts w:ascii="Arial" w:cs="Arial" w:eastAsia="Arial" w:hAnsi="Arial"/>
          <w:color w:val="374151"/>
          <w:sz w:val="22"/>
          <w:szCs w:val="22"/>
        </w:rPr>
        <w:t xml:space="preserve">Version 1 compared Grid Search, Random Search (k=20), Bayesian Optimisation, and Optuna/TPE. Version 2 adds three critical missing baselines.</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316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Method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Library</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Eval Budget</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Type</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Why It Matters</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Grid Search (keep)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manual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108</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Exhaustive</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Upper bound on accuracy; cost baseline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Random Search k=10 (NEW)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sklearn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Random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Fair comparison at same eval budget as DP-HPO</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Random Search k=20 (keep)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sklearn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Random</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Standard random baseline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Bayesian Opt (keep)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scikit-optimize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Sequential model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Principled probabilistic baseline</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Optuna/TPE (keep)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optuna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Tree-structured</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Industry-standard open-source HPO</w:t>
            </w:r>
          </w:p>
        </w:tc>
      </w:tr>
      <w:tr>
        <w:tc>
          <w:tcPr>
            <w:tcW w:type="dxa" w:w="1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Hyperband (NEW) ★</w:t>
            </w:r>
          </w:p>
        </w:tc>
        <w:tc>
          <w:tcPr>
            <w:tcW w:type="dxa" w:w="14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optuna</w:t>
            </w:r>
          </w:p>
        </w:tc>
        <w:tc>
          <w:tcPr>
            <w:tcW w:type="dxa" w:w="1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Adaptive</w:t>
            </w:r>
          </w:p>
        </w:tc>
        <w:tc>
          <w:tcPr>
            <w:tcW w:type="dxa" w:w="1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Multi-fidelity</w:t>
            </w:r>
          </w:p>
        </w:tc>
        <w:tc>
          <w:tcPr>
            <w:tcW w:type="dxa" w:w="31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MOST CRITICAL missing baseline. Any reviewer will ask for this.</w:t>
            </w:r>
          </w:p>
        </w:tc>
      </w:tr>
      <w:tr>
        <w:tc>
          <w:tcPr>
            <w:tcW w:type="dxa" w:w="1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BOHB (NEW) ★</w:t>
            </w:r>
          </w:p>
        </w:tc>
        <w:tc>
          <w:tcPr>
            <w:tcW w:type="dxa" w:w="14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ConfigSpace + hpbandster</w:t>
            </w:r>
          </w:p>
        </w:tc>
        <w:tc>
          <w:tcPr>
            <w:tcW w:type="dxa" w:w="1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Adaptive</w:t>
            </w:r>
          </w:p>
        </w:tc>
        <w:tc>
          <w:tcPr>
            <w:tcW w:type="dxa" w:w="1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Bayesian + multi-fidelity</w:t>
            </w:r>
          </w:p>
        </w:tc>
        <w:tc>
          <w:tcPr>
            <w:tcW w:type="dxa" w:w="31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State-of-the-art; Falkner et al. ICML 2018</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SMAC (NEW)</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smac3</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Algorithm Config.</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Industry standard; Hutter et al. 2011</w:t>
            </w:r>
          </w:p>
        </w:tc>
      </w:tr>
      <w:tr>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DP-HPO V2</w:t>
            </w:r>
          </w:p>
        </w:tc>
        <w:tc>
          <w:tcPr>
            <w:tcW w:type="dxa" w:w="1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custom</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Coordinate descent</w:t>
            </w:r>
          </w:p>
        </w:tc>
        <w:tc>
          <w:tcPr>
            <w:tcW w:type="dxa" w:w="3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Our method (renamed honestly)</w:t>
            </w:r>
          </w:p>
        </w:tc>
      </w:tr>
    </w:tbl>
    <w:p>
      <w:pPr>
        <w:spacing w:after="0" w:before="80"/>
      </w:pPr>
      <w:r>
        <w:rPr>
          <w:rFonts w:ascii="Arial" w:cs="Arial" w:eastAsia="Arial" w:hAnsi="Arial"/>
        </w:rPr>
        <w:t xml:space="preserve"/>
      </w:r>
    </w:p>
    <w:p>
      <w:pPr>
        <w:spacing w:after="80" w:before="80"/>
      </w:pPr>
      <w:r>
        <w:rPr>
          <w:rFonts w:ascii="Arial" w:cs="Arial" w:eastAsia="Arial" w:hAnsi="Arial"/>
          <w:color w:val="374151"/>
          <w:sz w:val="22"/>
          <w:szCs w:val="22"/>
        </w:rPr>
        <w:t xml:space="preserve">The ★ methods (Hyperband, BOHB) are mandatory. Papers claiming evaluation efficiency in HPO are routinely rejected for omitting them. All methods must be run without a shared evaluation cache to ensure fair wall-clock comparison (see E3).</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8. New Ablation Studies</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A1 — Dimension Ordering (Full Permutation Study)</w:t>
      </w:r>
    </w:p>
    <w:p>
      <w:pPr>
        <w:spacing w:after="80" w:before="80"/>
      </w:pPr>
      <w:r>
        <w:rPr>
          <w:rFonts w:ascii="Arial" w:cs="Arial" w:eastAsia="Arial" w:hAnsi="Arial"/>
          <w:color w:val="374151"/>
          <w:sz w:val="22"/>
          <w:szCs w:val="22"/>
        </w:rPr>
        <w:t xml:space="preserve">Run all 4! = 24 permutations of the four hyperparameter dimensions on 5 datasets × 25 seeds. Record accuracy and evaluation count per ordering. Primary metric: Friedman statistic testing H₀ that all orderings give identical accuracy.</w:t>
      </w:r>
    </w:p>
    <w:p>
      <w:pPr>
        <w:pStyle w:val="ListParagraph"/>
        <w:numPr>
          <w:ilvl w:val="0"/>
          <w:numId w:val="2"/>
        </w:numPr>
        <w:spacing w:after="60" w:before="60"/>
      </w:pPr>
      <w:r>
        <w:rPr>
          <w:rFonts w:ascii="Arial" w:cs="Arial" w:eastAsia="Arial" w:hAnsi="Arial"/>
          <w:color w:val="374151"/>
          <w:sz w:val="22"/>
          <w:szCs w:val="22"/>
        </w:rPr>
        <w:t xml:space="preserve">Secondary: which ordering is importance-first? Does it rank in the top 4 of 24 orderings on all datasets?</w:t>
      </w:r>
    </w:p>
    <w:p>
      <w:pPr>
        <w:pStyle w:val="ListParagraph"/>
        <w:numPr>
          <w:ilvl w:val="0"/>
          <w:numId w:val="2"/>
        </w:numPr>
        <w:spacing w:after="60" w:before="60"/>
      </w:pPr>
      <w:r>
        <w:rPr>
          <w:rFonts w:ascii="Arial" w:cs="Arial" w:eastAsia="Arial" w:hAnsi="Arial"/>
          <w:color w:val="374151"/>
          <w:sz w:val="22"/>
          <w:szCs w:val="22"/>
        </w:rPr>
        <w:t xml:space="preserve">Visualise as a critical difference diagram (Demšar, 2006) over 24 orderings.</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A2 — Default Configuration Sensitivity</w:t>
      </w:r>
    </w:p>
    <w:p>
      <w:pPr>
        <w:spacing w:after="80" w:before="80"/>
      </w:pPr>
      <w:r>
        <w:rPr>
          <w:rFonts w:ascii="Arial" w:cs="Arial" w:eastAsia="Arial" w:hAnsi="Arial"/>
          <w:color w:val="374151"/>
          <w:sz w:val="22"/>
          <w:szCs w:val="22"/>
        </w:rPr>
        <w:t xml:space="preserve">Test 6 defaults: (a) Version 1 default [1,64,0.01,relu], (b) grid-search optimal, (c) grid-search worst, (d–f) three random configs. Measure: (i) final accuracy, (ii) total evaluations, (iii) cache hit rate.</w:t>
      </w:r>
    </w:p>
    <w:p>
      <w:pPr>
        <w:pStyle w:val="ListParagraph"/>
        <w:numPr>
          <w:ilvl w:val="0"/>
          <w:numId w:val="2"/>
        </w:numPr>
        <w:spacing w:after="60" w:before="60"/>
      </w:pPr>
      <w:r>
        <w:rPr>
          <w:rFonts w:ascii="Arial" w:cs="Arial" w:eastAsia="Arial" w:hAnsi="Arial"/>
          <w:color w:val="374151"/>
          <w:sz w:val="22"/>
          <w:szCs w:val="22"/>
        </w:rPr>
        <w:t xml:space="preserve">Expected: accuracy robust to default choice (±0.5%); evaluations stable at exactly Σnᵢ−d+1.</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A3 — Independence Violation (Controlled Synthetic Study)</w:t>
      </w:r>
    </w:p>
    <w:p>
      <w:pPr>
        <w:spacing w:after="80" w:before="80"/>
      </w:pPr>
      <w:r>
        <w:rPr>
          <w:rFonts w:ascii="Arial" w:cs="Arial" w:eastAsia="Arial" w:hAnsi="Arial"/>
          <w:color w:val="374151"/>
          <w:sz w:val="22"/>
          <w:szCs w:val="22"/>
        </w:rPr>
        <w:t xml:space="preserve">Construct 6 MLP training scenarios where independence is deliberately violated: (i) accuracy plateau is at joint (hidden_layers=2, neurons=128) but not at individual optima, forcing a valley in the greedy path. Measure actual gap vs. Theorem 1 bound.</w:t>
      </w:r>
    </w:p>
    <w:p>
      <w:pPr>
        <w:pStyle w:val="ListParagraph"/>
        <w:numPr>
          <w:ilvl w:val="0"/>
          <w:numId w:val="2"/>
        </w:numPr>
        <w:spacing w:after="60" w:before="60"/>
      </w:pPr>
      <w:r>
        <w:rPr>
          <w:rFonts w:ascii="Arial" w:cs="Arial" w:eastAsia="Arial" w:hAnsi="Arial"/>
          <w:color w:val="374151"/>
          <w:sz w:val="22"/>
          <w:szCs w:val="22"/>
        </w:rPr>
        <w:t xml:space="preserve">Purpose: validate that the bound is not vacuous and provides useful guidance.</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A4 — Search Space Size Scaling</w:t>
      </w:r>
    </w:p>
    <w:p>
      <w:pPr>
        <w:spacing w:after="80" w:before="80"/>
      </w:pPr>
      <w:r>
        <w:rPr>
          <w:rFonts w:ascii="Arial" w:cs="Arial" w:eastAsia="Arial" w:hAnsi="Arial"/>
          <w:color w:val="374151"/>
          <w:sz w:val="22"/>
          <w:szCs w:val="22"/>
        </w:rPr>
        <w:t xml:space="preserve">Gradually expand the search space from 108 to 10,000 configurations by adding hyperparameters (dropout, batch size, weight decay) and increasing grid resolution. At each size, measure: (i) fraction of evaluations saved vs. grid search, (ii) accuracy relative to grid-search optimum, (iii) wall-clock time.</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A5 — Partial Cache Sharing</w:t>
      </w:r>
    </w:p>
    <w:p>
      <w:pPr>
        <w:spacing w:after="80" w:before="80"/>
      </w:pPr>
      <w:r>
        <w:rPr>
          <w:rFonts w:ascii="Arial" w:cs="Arial" w:eastAsia="Arial" w:hAnsi="Arial"/>
          <w:color w:val="374151"/>
          <w:sz w:val="22"/>
          <w:szCs w:val="22"/>
        </w:rPr>
        <w:t xml:space="preserve">Test five cache strategies: (a) no cache, (b) cache within a single method only, (c) shared cache across methods (Version 1 approach — confounded), (d) seeded cache with 5 pre-evaluated configs, (e) full cache inherited from a previous run. Compare accuracy and effective evaluation counts to demonstrate that cache-sharing between methods produces misleading time comparisons.</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A6 — Partial Commitment</w:t>
      </w:r>
    </w:p>
    <w:p>
      <w:pPr>
        <w:spacing w:after="80" w:before="80"/>
      </w:pPr>
      <w:r>
        <w:rPr>
          <w:rFonts w:ascii="Arial" w:cs="Arial" w:eastAsia="Arial" w:hAnsi="Arial"/>
          <w:color w:val="374151"/>
          <w:sz w:val="22"/>
          <w:szCs w:val="22"/>
        </w:rPr>
        <w:t xml:space="preserve">Commit only the top k most important dimensions greedily and set the remaining d−k dimensions to their defaults. Sweep k ∈ {1, 2, 3, 4}. Show the accuracy-cost curve: committing 2 of 4 dimensions gives most of the benefit.</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9. New Statistical Tests</w:t>
      </w:r>
    </w:p>
    <w:p>
      <w:pPr>
        <w:spacing w:after="80" w:before="80"/>
      </w:pPr>
      <w:r>
        <w:rPr>
          <w:rFonts w:ascii="Arial" w:cs="Arial" w:eastAsia="Arial" w:hAnsi="Arial"/>
          <w:color w:val="374151"/>
          <w:sz w:val="22"/>
          <w:szCs w:val="22"/>
        </w:rPr>
        <w:t xml:space="preserve">Version 1's statistical testing was invalid: n=5 seeds yields minimum Wilcoxon p-value of 0.0625, making it impossible to achieve p&lt;0.05. Version 2 uses a complete, valid statistical testing framework.</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400"/>
        <w:gridCol w:w="216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Test</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Purpose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When Applied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Parameters</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Expected Outcome</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Wilcoxon signed-rank</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Pairwise comparison of DP-HPO vs. each baseline on each dataset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Main results table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n=25 seeds, two-sided, α=0.01</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Non-significant vs. grid search (parity); significant vs. random at k=10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Bonferroni correction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Control family-wise error rate across 8 baselines × 6 datasets = 48 tests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All pairwise Wilcoxon tests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αᵢ = 0.01/48 ≈ 0.0002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Conservative; prevents false positives</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Friedman test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Compare all methods simultaneously across all datasets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Main results and ablation A1</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k=9 methods, N=6 datasets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Significant difference among methods (expected)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Nemenyi post-hoc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Identify which method pairs differ significantly after Friedman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After significant Friedman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CD at α=0.05, 0.10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CD diagram shows DP-HPO cluster</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Bootstrap CI</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95% confidence intervals on accuracy differences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All accuracy comparisons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B=10,000 bootstrap samples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Narrow CIs on large datasets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Cohen's 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Effect size for all pairwise comparisons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Supplement to all Wilcoxon tests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Pooled std denominator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Small effects (&lt;0.2) for accuracy, large for eval count</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Power analysis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Justify n=25 seeds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Methods section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Target power=0.80, α=0.05</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n=22 required; n=25 gives power &gt;0.85</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Spearman correlation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Test H5: correlation between log(space_size) and evaluation fraction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E2 scale experiment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6 space sizes × 5 datasets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ρ &gt; 0.85, p &lt; 0.05</w:t>
            </w:r>
          </w:p>
        </w:tc>
      </w:tr>
    </w:tbl>
    <w:p>
      <w:pPr>
        <w:spacing w:after="0" w:before="80"/>
      </w:pPr>
      <w:r>
        <w:rPr>
          <w:rFonts w:ascii="Arial" w:cs="Arial" w:eastAsia="Arial" w:hAnsi="Arial"/>
        </w:rPr>
        <w:t xml:space="preserve"/>
      </w:r>
    </w:p>
    <w:p>
      <w:pPr>
        <w:spacing w:after="80" w:before="80"/>
      </w:pPr>
      <w:r>
        <w:rPr>
          <w:rFonts w:ascii="Arial" w:cs="Arial" w:eastAsia="Arial" w:hAnsi="Arial"/>
          <w:color w:val="374151"/>
          <w:sz w:val="22"/>
          <w:szCs w:val="22"/>
        </w:rPr>
        <w:t xml:space="preserve">The power analysis for n=25 seeds: for a medium effect size (d=0.5) at α=0.05 two-sided Wilcoxon test, required n ≈ 22. At n=25 the test has power 0.86. This calculation must appear in the Methods section to justify the seed count choice.</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10. Expected Publication Venues</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900"/>
        <w:gridCol w:w="1200"/>
        <w:gridCol w:w="33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Venue</w:t>
            </w:r>
          </w:p>
        </w:tc>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Tier</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IF</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Accept %</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V2 Target</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Key Requirements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IEEE Access</w:t>
            </w:r>
          </w:p>
        </w:tc>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Q2</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3.9</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~30%</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PRIMARY ★</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Open access, broad engineering scope, practical contributions accepted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Applied Soft Computing</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Q1</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7.2</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STRETCH ★</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Requires theory + comprehensive experiments; strong competitor comparison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Engineering Applications of AI</w:t>
            </w:r>
          </w:p>
        </w:tc>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Q1</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8.0</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~15%</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STRETCH</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Applied AI methods; needs real-world dataset + engineering motivation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Expert Systems with Applications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Q1</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8.5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FALLBACK</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Broad scope; needs clear application domain framing</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Pattern Recognition Letters</w:t>
            </w:r>
          </w:p>
        </w:tc>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Q2</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4.1</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~25%</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FALLBACK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Short papers acceptable; theoretical contribution required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AutoML Workshop (NeurIPS/ICML)</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Workshop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N/A</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~30%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PARALLEL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Non-archival; get early community feedback while paper in revision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arXiv cs.LG</w:t>
            </w:r>
          </w:p>
        </w:tc>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Preprint</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N/A</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100%</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IMMEDIATE</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Submit after Month 2 draft; establishes priority timestamp</w:t>
            </w:r>
          </w:p>
        </w:tc>
      </w:tr>
    </w:tbl>
    <w:p>
      <w:pPr>
        <w:spacing w:after="0" w:before="80"/>
      </w:pPr>
      <w:r>
        <w:rPr>
          <w:rFonts w:ascii="Arial" w:cs="Arial" w:eastAsia="Arial" w:hAnsi="Arial"/>
        </w:rPr>
        <w:t xml:space="preserve"/>
      </w:r>
    </w:p>
    <w:p>
      <w:pPr>
        <w:spacing w:after="80" w:before="80"/>
      </w:pPr>
      <w:r>
        <w:rPr>
          <w:rFonts w:ascii="Arial" w:cs="Arial" w:eastAsia="Arial" w:hAnsi="Arial"/>
          <w:color w:val="374151"/>
          <w:sz w:val="22"/>
          <w:szCs w:val="22"/>
        </w:rPr>
        <w:t xml:space="preserve">Recommended submission sequence: (1) arXiv after Month 2, (2) AutoML Workshop concurrent with journal submission, (3) IEEE Access as primary target at Month 10, (4) Applied Soft Computing if rejected with major revision feedback (Month 12+).</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11. Step-by-Step Research Roadmap</w:t>
      </w:r>
    </w:p>
    <w:p>
      <w:pPr>
        <w:spacing w:after="80" w:before="80"/>
      </w:pPr>
      <w:r>
        <w:rPr>
          <w:rFonts w:ascii="Arial" w:cs="Arial" w:eastAsia="Arial" w:hAnsi="Arial"/>
          <w:color w:val="374151"/>
          <w:sz w:val="22"/>
          <w:szCs w:val="22"/>
        </w:rPr>
        <w:t xml:space="preserve">The roadmap is structured into six phases over 12 months, each ending in a verifiable milestone. The critical path is: reframing → seeds → baselines → theory → large experiments → manuscript.</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Phase 1 — Reframing and Foundation  (Months 1–2)</w:t>
      </w:r>
    </w:p>
    <w:p>
      <w:pPr>
        <w:pStyle w:val="Heading3"/>
        <w:spacing w:after="80" w:before="200"/>
      </w:pPr>
      <w:r>
        <w:rPr>
          <w:rFonts w:ascii="Arial" w:cs="Arial" w:eastAsia="Arial" w:hAnsi="Arial"/>
          <w:b/>
          <w:bCs/>
          <w:color w:val="374151"/>
          <w:sz w:val="22"/>
          <w:szCs w:val="22"/>
        </w:rPr>
        <w:t xml:space="preserve">Goal: fix the two fatal flaws that cause immediate rejection</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Week</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Task</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Deliverable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1</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Rename method: 'Greedy Coordinate HPO with Evaluation Caching' (GC-HPO). Update all files, README, and demo.</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Updated dp_hpo.py, README, terminal demo</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2</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Write MDP formulation (Section 3.1). Define state, action, transition, reward. Verify consistency with implementation.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LaTeX Section 3.1 draft</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3</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Prove Theorem 1 (Optimality Gap Bound). Work out the inductive proof; construct the adversarial tight-bound example.</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LaTeX proof of Theorem 1</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4</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Prove Lemma 2 (Ordering). Derive importance-first ordering argument. Write evaluation count formula proof.</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LaTeX proofs of Lemma 2 and Prop 1</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5</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Submit Version 0.1 to arXiv. Post on ResearchGate. Solicit informal feedback from 2–3 peers or online communities (r/MachineLearning).</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arXiv submission ID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6</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Update literature review: add Hyperband, BOHB, SMAC, fANOVA, van Rijn 2018. Restructure Related Work section.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Updated references.bib (+15 citations)</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7-8</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Power analysis (justify n=25). Run pilot experiments with 25 seeds on existing 4 datasets. Validate that Wilcoxon now achieves p&lt;0.05 where effects exist.</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Power analysis table; pilot results CSV</w:t>
            </w:r>
          </w:p>
        </w:tc>
      </w:tr>
    </w:tbl>
    <w:p>
      <w:pPr>
        <w:spacing w:after="0" w:before="80"/>
      </w:pPr>
      <w:r>
        <w:rPr>
          <w:rFonts w:ascii="Arial" w:cs="Arial" w:eastAsia="Arial" w:hAnsi="Arial"/>
        </w:rPr>
        <w:t xml:space="preserve"/>
      </w:r>
    </w:p>
    <w:p>
      <w:pPr>
        <w:spacing w:after="120" w:before="80"/>
      </w:pPr>
      <w:r>
        <w:rPr>
          <w:rFonts w:ascii="Arial" w:cs="Arial" w:eastAsia="Arial" w:hAnsi="Arial"/>
          <w:b/>
          <w:bCs/>
          <w:color w:val="0D7377"/>
          <w:sz w:val="22"/>
          <w:szCs w:val="22"/>
        </w:rPr>
        <w:t xml:space="preserve">Milestone 1: </w:t>
      </w:r>
      <w:r>
        <w:rPr>
          <w:rFonts w:ascii="Arial" w:cs="Arial" w:eastAsia="Arial" w:hAnsi="Arial"/>
          <w:color w:val="374151"/>
          <w:sz w:val="22"/>
          <w:szCs w:val="22"/>
        </w:rPr>
        <w:t xml:space="preserve">arXiv preprint submitted + all theoretical proofs drafted + 25-seed pilot results available.</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Phase 2 — Baseline Implementation  (Months 3–4)</w:t>
      </w:r>
    </w:p>
    <w:p>
      <w:pPr>
        <w:pStyle w:val="Heading3"/>
        <w:spacing w:after="80" w:before="200"/>
      </w:pPr>
      <w:r>
        <w:rPr>
          <w:rFonts w:ascii="Arial" w:cs="Arial" w:eastAsia="Arial" w:hAnsi="Arial"/>
          <w:b/>
          <w:bCs/>
          <w:color w:val="374151"/>
          <w:sz w:val="22"/>
          <w:szCs w:val="22"/>
        </w:rPr>
        <w:t xml:space="preserve">Goal: add Hyperband, BOHB, SMAC, and Random Search k=10</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Week</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Task</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Deliverable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9-10</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Implement Hyperband via Optuna (HyperbandSampler). Remove shared memo cache for fair comparison. Build isolated runner that gives each method its own training budget.</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hyperband_runner.py in repo</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11</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Implement BOHB via hpbandster or SMAC3. Validate against published BOHB results on MNIST.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bohb_runner.py; validation log</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12</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Implement SMAC via smac3 library. Wrap all methods in a unified runner interface with consistent logging.</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smac_runner.py; unified_runner.py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13-14</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Run all 9 methods on 4 existing datasets × 25 seeds. Wall-clock time logging. Validate results against Version 1 for backwards compatibility.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interim_results.json (all methods)</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15-16</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Critical difference diagram (Demšar 2006). Friedman + Nemenyi post-hoc. Bootstrap CIs on all pairwise differences.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stats_results.xlsx; CD diagram PNG</w:t>
            </w:r>
          </w:p>
        </w:tc>
      </w:tr>
    </w:tbl>
    <w:p>
      <w:pPr>
        <w:spacing w:after="0" w:before="80"/>
      </w:pPr>
      <w:r>
        <w:rPr>
          <w:rFonts w:ascii="Arial" w:cs="Arial" w:eastAsia="Arial" w:hAnsi="Arial"/>
        </w:rPr>
        <w:t xml:space="preserve"/>
      </w:r>
    </w:p>
    <w:p>
      <w:pPr>
        <w:spacing w:after="120" w:before="80"/>
      </w:pPr>
      <w:r>
        <w:rPr>
          <w:rFonts w:ascii="Arial" w:cs="Arial" w:eastAsia="Arial" w:hAnsi="Arial"/>
          <w:b/>
          <w:bCs/>
          <w:color w:val="0D7377"/>
          <w:sz w:val="22"/>
          <w:szCs w:val="22"/>
        </w:rPr>
        <w:t xml:space="preserve">Milestone 2: </w:t>
      </w:r>
      <w:r>
        <w:rPr>
          <w:rFonts w:ascii="Arial" w:cs="Arial" w:eastAsia="Arial" w:hAnsi="Arial"/>
          <w:color w:val="374151"/>
          <w:sz w:val="22"/>
          <w:szCs w:val="22"/>
        </w:rPr>
        <w:t xml:space="preserve">All 9 baselines implemented and compared on 4 datasets × 25 seeds with complete statistical analysis.</w:t>
      </w:r>
    </w:p>
    <w:p>
      <w:pPr>
        <w:spacing w:after="0" w:before="80"/>
      </w:pPr>
      <w:r>
        <w:rPr>
          <w:rFonts w:ascii="Arial" w:cs="Arial" w:eastAsia="Arial" w:hAnsi="Arial"/>
        </w:rPr>
        <w:t xml:space="preserve"/>
      </w:r>
    </w:p>
    <w:p>
      <w:r>
        <w:br w:type="page"/>
      </w:r>
    </w:p>
    <w:p>
      <w:pPr>
        <w:pStyle w:val="Heading2"/>
        <w:spacing w:after="120" w:before="260"/>
      </w:pPr>
      <w:r>
        <w:rPr>
          <w:rFonts w:ascii="Arial" w:cs="Arial" w:eastAsia="Arial" w:hAnsi="Arial"/>
          <w:b/>
          <w:bCs/>
          <w:color w:val="0D7377"/>
          <w:sz w:val="26"/>
          <w:szCs w:val="26"/>
        </w:rPr>
        <w:t xml:space="preserve">Phase 3 — Large Dataset Experiments  (Months 5–6)</w:t>
      </w:r>
    </w:p>
    <w:p>
      <w:pPr>
        <w:pStyle w:val="Heading3"/>
        <w:spacing w:after="80" w:before="200"/>
      </w:pPr>
      <w:r>
        <w:rPr>
          <w:rFonts w:ascii="Arial" w:cs="Arial" w:eastAsia="Arial" w:hAnsi="Arial"/>
          <w:b/>
          <w:bCs/>
          <w:color w:val="374151"/>
          <w:sz w:val="22"/>
          <w:szCs w:val="22"/>
        </w:rPr>
        <w:t xml:space="preserve">Goal: replace toy datasets with standard benchmarks</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Week</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Task</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Deliverable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17-18</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Download and preprocess full MNIST (70K), Fashion-MNIST, Adult Income, HIGGS-10K, OpenML Credit-G. Write unified data loader.</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data/ folder with 6 standardized datasets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19-20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Run all 9 methods on 6 datasets × 25 seeds. Estimate total compute: 9 methods × 6 datasets × 25 seeds × ~3 min/eval × 20 evals ≈ 135 GPU hours. Use Colab Pro or Kaggle Notebooks.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full_results.json</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21</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Scale experiment E2: expand search space to 10,000 configs. Run GC-HPO + Grid Search + Random (k=10) only (others too slow at full grid). Measure savings fraction at each size.</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scale_results.json; scaling plot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22-24</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Wall-clock time comparison (E3). Run Hyperband and BOHB with time budget equal to GC-HPO's wall-clock time. Measure accuracy at same time point. Generate accuracy-vs-time curves.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time_results.json; time curves PNG</w:t>
            </w:r>
          </w:p>
        </w:tc>
      </w:tr>
    </w:tbl>
    <w:p>
      <w:pPr>
        <w:spacing w:after="0" w:before="80"/>
      </w:pPr>
      <w:r>
        <w:rPr>
          <w:rFonts w:ascii="Arial" w:cs="Arial" w:eastAsia="Arial" w:hAnsi="Arial"/>
        </w:rPr>
        <w:t xml:space="preserve"/>
      </w:r>
    </w:p>
    <w:p>
      <w:pPr>
        <w:spacing w:after="120" w:before="80"/>
      </w:pPr>
      <w:r>
        <w:rPr>
          <w:rFonts w:ascii="Arial" w:cs="Arial" w:eastAsia="Arial" w:hAnsi="Arial"/>
          <w:b/>
          <w:bCs/>
          <w:color w:val="0D7377"/>
          <w:sz w:val="22"/>
          <w:szCs w:val="22"/>
        </w:rPr>
        <w:t xml:space="preserve">Milestone 3: </w:t>
      </w:r>
      <w:r>
        <w:rPr>
          <w:rFonts w:ascii="Arial" w:cs="Arial" w:eastAsia="Arial" w:hAnsi="Arial"/>
          <w:color w:val="374151"/>
          <w:sz w:val="22"/>
          <w:szCs w:val="22"/>
        </w:rPr>
        <w:t xml:space="preserve">Complete results table (9 methods × 6 datasets × 25 seeds) with wall-clock time comparisons. Scale experiment complete.</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Phase 4 — Ablation Studies  (Months 7–8)</w:t>
      </w:r>
    </w:p>
    <w:p>
      <w:pPr>
        <w:pStyle w:val="Heading3"/>
        <w:spacing w:after="80" w:before="200"/>
      </w:pPr>
      <w:r>
        <w:rPr>
          <w:rFonts w:ascii="Arial" w:cs="Arial" w:eastAsia="Arial" w:hAnsi="Arial"/>
          <w:b/>
          <w:bCs/>
          <w:color w:val="374151"/>
          <w:sz w:val="22"/>
          <w:szCs w:val="22"/>
        </w:rPr>
        <w:t xml:space="preserve">Goal: empirically validate theoretical claims and characterise failure modes</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Week</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Task</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Deliverable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25-26</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A1: All 24 orderings × 5 datasets × 25 seeds. Compute Friedman statistic. Generate CD diagram for orderings. Identify whether importance-first ordering ranks top.</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ordering_results.json; ordering CD diagram</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27</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A2: Default sensitivity. 6 defaults × 6 datasets × 25 seeds. Report accuracy std across defaults.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default_sensitivity_results.json</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28</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A3: Independence violation. Synthetic functions with controlled ε ∈ {0,0.01,...,0.5}. Validate Theorem 1 bound tightness.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synthetic_gap_results.json; gap vs ε plot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29</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A4 + A6: Space size scaling and partial commitment k ∈ {1,2,3,4}. Generate accuracy-cost curves.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partial_commit_results.json</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30-32</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E4: Independence measurement via SHAP interaction values on full results. Report ε(i,j) matrix for all dimension pairs and all datasets. Check if max ε &lt; 0.02.</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interaction_matrix.xlsx; fANOVA table</w:t>
            </w:r>
          </w:p>
        </w:tc>
      </w:tr>
    </w:tbl>
    <w:p>
      <w:pPr>
        <w:spacing w:after="0" w:before="80"/>
      </w:pPr>
      <w:r>
        <w:rPr>
          <w:rFonts w:ascii="Arial" w:cs="Arial" w:eastAsia="Arial" w:hAnsi="Arial"/>
        </w:rPr>
        <w:t xml:space="preserve"/>
      </w:r>
    </w:p>
    <w:p>
      <w:pPr>
        <w:spacing w:after="120" w:before="80"/>
      </w:pPr>
      <w:r>
        <w:rPr>
          <w:rFonts w:ascii="Arial" w:cs="Arial" w:eastAsia="Arial" w:hAnsi="Arial"/>
          <w:b/>
          <w:bCs/>
          <w:color w:val="0D7377"/>
          <w:sz w:val="22"/>
          <w:szCs w:val="22"/>
        </w:rPr>
        <w:t xml:space="preserve">Milestone 4: </w:t>
      </w:r>
      <w:r>
        <w:rPr>
          <w:rFonts w:ascii="Arial" w:cs="Arial" w:eastAsia="Arial" w:hAnsi="Arial"/>
          <w:color w:val="374151"/>
          <w:sz w:val="22"/>
          <w:szCs w:val="22"/>
        </w:rPr>
        <w:t xml:space="preserve">All 6 ablation studies complete. Theorem 1 empirically validated. Ordering recommendation confirmed with statistical evidence.</w:t>
      </w:r>
    </w:p>
    <w:p>
      <w:pPr>
        <w:spacing w:after="0" w:before="80"/>
      </w:pPr>
      <w:r>
        <w:rPr>
          <w:rFonts w:ascii="Arial" w:cs="Arial" w:eastAsia="Arial" w:hAnsi="Arial"/>
        </w:rPr>
        <w:t xml:space="preserve"/>
      </w:r>
    </w:p>
    <w:p>
      <w:r>
        <w:br w:type="page"/>
      </w:r>
    </w:p>
    <w:p>
      <w:pPr>
        <w:pStyle w:val="Heading2"/>
        <w:spacing w:after="120" w:before="260"/>
      </w:pPr>
      <w:r>
        <w:rPr>
          <w:rFonts w:ascii="Arial" w:cs="Arial" w:eastAsia="Arial" w:hAnsi="Arial"/>
          <w:b/>
          <w:bCs/>
          <w:color w:val="0D7377"/>
          <w:sz w:val="26"/>
          <w:szCs w:val="26"/>
        </w:rPr>
        <w:t xml:space="preserve">Phase 5 — Manuscript  (Months 9–10)</w:t>
      </w:r>
    </w:p>
    <w:p>
      <w:pPr>
        <w:pStyle w:val="Heading3"/>
        <w:spacing w:after="80" w:before="200"/>
      </w:pPr>
      <w:r>
        <w:rPr>
          <w:rFonts w:ascii="Arial" w:cs="Arial" w:eastAsia="Arial" w:hAnsi="Arial"/>
          <w:b/>
          <w:bCs/>
          <w:color w:val="374151"/>
          <w:sz w:val="22"/>
          <w:szCs w:val="22"/>
        </w:rPr>
        <w:t xml:space="preserve">Goal: complete publication-quality paper in IEEE double-column format</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Week</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Task</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Deliverable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33-34</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Write Sections 1–3: Introduction (reframed with honest method name), Related Work (expanded with 15+ new citations), Method (with full MDP formulation and Theorem 1).</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S1-S3 LaTeX draft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35-36</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Write Section 4: Experiments. Full results table (9 methods × 6 datasets). All ablation figures. CD diagram. Interaction matrix. Scale curves. Time comparison.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S4 LaTeX draft</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37</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Write Section 5: Discussion. When GC-HPO is appropriate vs. Hyperband. Characterise failure modes. Honest limitations section.</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S5 LaTeX draft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38</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Write Section 6: Conclusion. Write Abstract (150 words with concrete numbers). Write highlights for journal submission.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Full draft manuscript PDF</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39-40</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Self-review pass using the 7-phase critique framework. Check: (i) all methods cited correctly, (ii) Wilcoxon n=25 confirmed, (iii) Theorem 1 proof complete, (iv) no DP claim without MDP formulation.</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Marked-up draft with correction list</w:t>
            </w:r>
          </w:p>
        </w:tc>
      </w:tr>
    </w:tbl>
    <w:p>
      <w:pPr>
        <w:spacing w:after="0" w:before="80"/>
      </w:pPr>
      <w:r>
        <w:rPr>
          <w:rFonts w:ascii="Arial" w:cs="Arial" w:eastAsia="Arial" w:hAnsi="Arial"/>
        </w:rPr>
        <w:t xml:space="preserve"/>
      </w:r>
    </w:p>
    <w:p>
      <w:pPr>
        <w:spacing w:after="120" w:before="80"/>
      </w:pPr>
      <w:r>
        <w:rPr>
          <w:rFonts w:ascii="Arial" w:cs="Arial" w:eastAsia="Arial" w:hAnsi="Arial"/>
          <w:b/>
          <w:bCs/>
          <w:color w:val="0D7377"/>
          <w:sz w:val="22"/>
          <w:szCs w:val="22"/>
        </w:rPr>
        <w:t xml:space="preserve">Milestone 5: </w:t>
      </w:r>
      <w:r>
        <w:rPr>
          <w:rFonts w:ascii="Arial" w:cs="Arial" w:eastAsia="Arial" w:hAnsi="Arial"/>
          <w:color w:val="374151"/>
          <w:sz w:val="22"/>
          <w:szCs w:val="22"/>
        </w:rPr>
        <w:t xml:space="preserve">Complete first full draft ready for external feedback. Update arXiv with Version 2.</w:t>
      </w:r>
    </w:p>
    <w:p>
      <w:pPr>
        <w:spacing w:after="0" w:before="80"/>
      </w:pPr>
      <w:r>
        <w:rPr>
          <w:rFonts w:ascii="Arial" w:cs="Arial" w:eastAsia="Arial" w:hAnsi="Arial"/>
        </w:rPr>
        <w:t xml:space="preserve"/>
      </w:r>
    </w:p>
    <w:p>
      <w:pPr>
        <w:pStyle w:val="Heading2"/>
        <w:spacing w:after="120" w:before="260"/>
      </w:pPr>
      <w:r>
        <w:rPr>
          <w:rFonts w:ascii="Arial" w:cs="Arial" w:eastAsia="Arial" w:hAnsi="Arial"/>
          <w:b/>
          <w:bCs/>
          <w:color w:val="0D7377"/>
          <w:sz w:val="26"/>
          <w:szCs w:val="26"/>
        </w:rPr>
        <w:t xml:space="preserve">Phase 6 — Revision and Submission  (Months 11–12)</w:t>
      </w:r>
    </w:p>
    <w:p>
      <w:pPr>
        <w:pStyle w:val="Heading3"/>
        <w:spacing w:after="80" w:before="200"/>
      </w:pPr>
      <w:r>
        <w:rPr>
          <w:rFonts w:ascii="Arial" w:cs="Arial" w:eastAsia="Arial" w:hAnsi="Arial"/>
          <w:b/>
          <w:bCs/>
          <w:color w:val="374151"/>
          <w:sz w:val="22"/>
          <w:szCs w:val="22"/>
        </w:rPr>
        <w:t xml:space="preserve">Goal: incorporate feedback, finalise, submit</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Week</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Task</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Deliverable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41-43</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Send draft to 2–3 reviewers: one HPO expert (e.g., via ResearchGate or Twitter/X ML community), one statistician, one domain practitioner. Collect feedback.</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Reviewer feedback documents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44-46</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Address all feedback. Revise proofs if challenged. Add experiments if required. Ensure all figure captions are self-contained.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Revised manuscript V2.1</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Week 47-48</w:t>
            </w:r>
          </w:p>
        </w:tc>
        <w:tc>
          <w:tcPr>
            <w:tcW w:type="dxa" w:w="5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Format for target journal (IEEE Access: double-column LaTeX template). Submit supplementary materials: code repo link, results.json, ablation data. Write cover letter.</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Submission package complete</w:t>
            </w:r>
          </w:p>
        </w:tc>
      </w:tr>
    </w:tbl>
    <w:p>
      <w:pPr>
        <w:spacing w:after="0" w:before="80"/>
      </w:pPr>
      <w:r>
        <w:rPr>
          <w:rFonts w:ascii="Arial" w:cs="Arial" w:eastAsia="Arial" w:hAnsi="Arial"/>
        </w:rPr>
        <w:t xml:space="preserve"/>
      </w:r>
    </w:p>
    <w:p>
      <w:pPr>
        <w:spacing w:after="120" w:before="80"/>
      </w:pPr>
      <w:r>
        <w:rPr>
          <w:rFonts w:ascii="Arial" w:cs="Arial" w:eastAsia="Arial" w:hAnsi="Arial"/>
          <w:b/>
          <w:bCs/>
          <w:color w:val="0D7377"/>
          <w:sz w:val="22"/>
          <w:szCs w:val="22"/>
        </w:rPr>
        <w:t xml:space="preserve">Milestone 6 (Final): </w:t>
      </w:r>
      <w:r>
        <w:rPr>
          <w:rFonts w:ascii="Arial" w:cs="Arial" w:eastAsia="Arial" w:hAnsi="Arial"/>
          <w:color w:val="374151"/>
          <w:sz w:val="22"/>
          <w:szCs w:val="22"/>
        </w:rPr>
        <w:t xml:space="preserve">Manuscript submitted to IEEE Access or Applied Soft Computing. Submission confirmation email received.</w:t>
      </w:r>
    </w:p>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12. Success Metrics</w:t>
      </w:r>
    </w:p>
    <w:p>
      <w:pPr>
        <w:spacing w:after="80" w:before="80"/>
      </w:pPr>
      <w:r>
        <w:rPr>
          <w:rFonts w:ascii="Arial" w:cs="Arial" w:eastAsia="Arial" w:hAnsi="Arial"/>
          <w:color w:val="374151"/>
          <w:sz w:val="22"/>
          <w:szCs w:val="22"/>
        </w:rPr>
        <w:t xml:space="preserve">The following quantitative criteria define when the paper is ready to submit. Do not submit before all criteria are met.</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9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Criterion</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Version 1 (Current)</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Version 2 Target</w:t>
            </w:r>
          </w:p>
        </w:tc>
        <w:tc>
          <w:tcPr>
            <w:tcW w:type="dxa" w:w="1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Status</w:t>
            </w:r>
          </w:p>
        </w:tc>
      </w:tr>
      <w:tr>
        <w:tc>
          <w:tcPr>
            <w:tcW w:type="dxa" w:w="2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Seed count</w:t>
            </w:r>
          </w:p>
        </w:tc>
        <w:tc>
          <w:tcPr>
            <w:tcW w:type="dxa" w:w="2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5 (Wilcoxon min p=0.0625)</w:t>
            </w:r>
          </w:p>
        </w:tc>
        <w:tc>
          <w:tcPr>
            <w:tcW w:type="dxa" w:w="2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25 (power &gt; 0.85)</w:t>
            </w:r>
          </w:p>
        </w:tc>
        <w:tc>
          <w:tcPr>
            <w:tcW w:type="dxa" w:w="19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NOT MET</w:t>
            </w:r>
          </w:p>
        </w:tc>
      </w:tr>
      <w:tr>
        <w:tc>
          <w:tcPr>
            <w:tcW w:type="dxa" w:w="2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Number of datasets</w:t>
            </w:r>
          </w:p>
        </w:tc>
        <w:tc>
          <w:tcPr>
            <w:tcW w:type="dxa" w:w="2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4 (max n=10K subset)</w:t>
            </w:r>
          </w:p>
        </w:tc>
        <w:tc>
          <w:tcPr>
            <w:tcW w:type="dxa" w:w="2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6 (up to 70K full)</w:t>
            </w:r>
          </w:p>
        </w:tc>
        <w:tc>
          <w:tcPr>
            <w:tcW w:type="dxa" w:w="19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NOT MET</w:t>
            </w:r>
          </w:p>
        </w:tc>
      </w:tr>
      <w:tr>
        <w:tc>
          <w:tcPr>
            <w:tcW w:type="dxa" w:w="2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Hyperband baseline</w:t>
            </w:r>
          </w:p>
        </w:tc>
        <w:tc>
          <w:tcPr>
            <w:tcW w:type="dxa" w:w="2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Absent</w:t>
            </w:r>
          </w:p>
        </w:tc>
        <w:tc>
          <w:tcPr>
            <w:tcW w:type="dxa" w:w="2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Included</w:t>
            </w:r>
          </w:p>
        </w:tc>
        <w:tc>
          <w:tcPr>
            <w:tcW w:type="dxa" w:w="19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NOT MET</w:t>
            </w:r>
          </w:p>
        </w:tc>
      </w:tr>
      <w:tr>
        <w:tc>
          <w:tcPr>
            <w:tcW w:type="dxa" w:w="2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BOHB baseline</w:t>
            </w:r>
          </w:p>
        </w:tc>
        <w:tc>
          <w:tcPr>
            <w:tcW w:type="dxa" w:w="2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Absent</w:t>
            </w:r>
          </w:p>
        </w:tc>
        <w:tc>
          <w:tcPr>
            <w:tcW w:type="dxa" w:w="2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Included</w:t>
            </w:r>
          </w:p>
        </w:tc>
        <w:tc>
          <w:tcPr>
            <w:tcW w:type="dxa" w:w="19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NOT MET</w:t>
            </w:r>
          </w:p>
        </w:tc>
      </w:tr>
      <w:tr>
        <w:tc>
          <w:tcPr>
            <w:tcW w:type="dxa" w:w="2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Theorem with gap bound</w:t>
            </w:r>
          </w:p>
        </w:tc>
        <w:tc>
          <w:tcPr>
            <w:tcW w:type="dxa" w:w="2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Circular Lemma 1</w:t>
            </w:r>
          </w:p>
        </w:tc>
        <w:tc>
          <w:tcPr>
            <w:tcW w:type="dxa" w:w="2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Theorem 1 proved</w:t>
            </w:r>
          </w:p>
        </w:tc>
        <w:tc>
          <w:tcPr>
            <w:tcW w:type="dxa" w:w="19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NOT MET</w:t>
            </w:r>
          </w:p>
        </w:tc>
      </w:tr>
      <w:tr>
        <w:tc>
          <w:tcPr>
            <w:tcW w:type="dxa" w:w="2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MDP formulation</w:t>
            </w:r>
          </w:p>
        </w:tc>
        <w:tc>
          <w:tcPr>
            <w:tcW w:type="dxa" w:w="2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Absent</w:t>
            </w:r>
          </w:p>
        </w:tc>
        <w:tc>
          <w:tcPr>
            <w:tcW w:type="dxa" w:w="2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Complete (S,A,T,R,V)</w:t>
            </w:r>
          </w:p>
        </w:tc>
        <w:tc>
          <w:tcPr>
            <w:tcW w:type="dxa" w:w="19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NOT MET</w:t>
            </w:r>
          </w:p>
        </w:tc>
      </w:tr>
      <w:tr>
        <w:tc>
          <w:tcPr>
            <w:tcW w:type="dxa" w:w="2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Method name</w:t>
            </w:r>
          </w:p>
        </w:tc>
        <w:tc>
          <w:tcPr>
            <w:tcW w:type="dxa" w:w="28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DP-HPO (technically incorrect)</w:t>
            </w:r>
          </w:p>
        </w:tc>
        <w:tc>
          <w:tcPr>
            <w:tcW w:type="dxa" w:w="20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GC-HPO or renamed</w:t>
            </w:r>
          </w:p>
        </w:tc>
        <w:tc>
          <w:tcPr>
            <w:tcW w:type="dxa" w:w="19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QUICK FIX</w:t>
            </w:r>
          </w:p>
        </w:tc>
      </w:tr>
      <w:tr>
        <w:tc>
          <w:tcPr>
            <w:tcW w:type="dxa" w:w="2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Citations</w:t>
            </w:r>
          </w:p>
        </w:tc>
        <w:tc>
          <w:tcPr>
            <w:tcW w:type="dxa" w:w="28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22 (missing 5 key papers)</w:t>
            </w:r>
          </w:p>
        </w:tc>
        <w:tc>
          <w:tcPr>
            <w:tcW w:type="dxa" w:w="20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35+ (Hyperband, BOHB, fANOVA, SMAC, van Rijn)</w:t>
            </w:r>
          </w:p>
        </w:tc>
        <w:tc>
          <w:tcPr>
            <w:tcW w:type="dxa" w:w="19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QUICK FIX</w:t>
            </w:r>
          </w:p>
        </w:tc>
      </w:tr>
      <w:tr>
        <w:tc>
          <w:tcPr>
            <w:tcW w:type="dxa" w:w="2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CD diagram</w:t>
            </w:r>
          </w:p>
        </w:tc>
        <w:tc>
          <w:tcPr>
            <w:tcW w:type="dxa" w:w="2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Absent</w:t>
            </w:r>
          </w:p>
        </w:tc>
        <w:tc>
          <w:tcPr>
            <w:tcW w:type="dxa" w:w="2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Included (Demšar 2006)</w:t>
            </w:r>
          </w:p>
        </w:tc>
        <w:tc>
          <w:tcPr>
            <w:tcW w:type="dxa" w:w="19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NOT MET</w:t>
            </w:r>
          </w:p>
        </w:tc>
      </w:tr>
      <w:tr>
        <w:tc>
          <w:tcPr>
            <w:tcW w:type="dxa" w:w="2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arXiv preprint</w:t>
            </w:r>
          </w:p>
        </w:tc>
        <w:tc>
          <w:tcPr>
            <w:tcW w:type="dxa" w:w="2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Not posted</w:t>
            </w:r>
          </w:p>
        </w:tc>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Posted Month 2</w:t>
            </w:r>
          </w:p>
        </w:tc>
        <w:tc>
          <w:tcPr>
            <w:tcW w:type="dxa" w:w="19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PENDING</w:t>
            </w:r>
          </w:p>
        </w:tc>
      </w:tr>
    </w:tbl>
    <w:p>
      <w:pPr>
        <w:spacing w:after="0" w:before="80"/>
      </w:pPr>
      <w:r>
        <w:rPr>
          <w:rFonts w:ascii="Arial" w:cs="Arial" w:eastAsia="Arial" w:hAnsi="Arial"/>
        </w:rPr>
        <w:t xml:space="preserve"/>
      </w:r>
    </w:p>
    <w:p>
      <w:pPr>
        <w:spacing w:after="80" w:before="80"/>
      </w:pPr>
      <w:r>
        <w:rPr>
          <w:rFonts w:ascii="Arial" w:cs="Arial" w:eastAsia="Arial" w:hAnsi="Arial"/>
          <w:color w:val="374151"/>
          <w:sz w:val="22"/>
          <w:szCs w:val="22"/>
        </w:rPr>
        <w:t xml:space="preserve">Publication readiness after all criteria met: estimated 72–78%. The remaining gap (to reach 85%+) requires reviewer feedback, which can only be obtained after submission.</w:t>
      </w:r>
    </w:p>
    <w:p>
      <w:pPr>
        <w:spacing w:after="0" w:before="80"/>
      </w:pPr>
      <w:r>
        <w:rPr>
          <w:rFonts w:ascii="Arial" w:cs="Arial" w:eastAsia="Arial" w:hAnsi="Arial"/>
        </w:rPr>
        <w:t xml:space="preserve"/>
      </w:r>
    </w:p>
    <w:p>
      <w:pPr>
        <w:pStyle w:val="Heading1"/>
        <w:spacing w:after="180" w:before="360"/>
      </w:pPr>
      <w:r>
        <w:rPr>
          <w:rFonts w:ascii="Arial" w:cs="Arial" w:eastAsia="Arial" w:hAnsi="Arial"/>
          <w:b/>
          <w:bCs/>
          <w:color w:val="1E3A5F"/>
          <w:sz w:val="32"/>
          <w:szCs w:val="32"/>
        </w:rPr>
        <w:t xml:space="preserve">13. Risk Register</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Risk</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Likelihood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Impact</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Mitigation</w:t>
            </w:r>
          </w:p>
        </w:tc>
      </w:tr>
      <w:tr>
        <w:tc>
          <w:tcPr>
            <w:tcW w:type="dxa" w:w="24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Theorem 1 proof is not tight enough for reviewers</w:t>
            </w:r>
          </w:p>
        </w:tc>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Medium</w:t>
            </w:r>
          </w:p>
        </w:tc>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High</w:t>
            </w:r>
          </w:p>
        </w:tc>
        <w:tc>
          <w:tcPr>
            <w:tcW w:type="dxa" w:w="45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Include numerical validation (E1 synthetic experiment) as empirical evidence. Frame theorem as a bound, not equality.</w:t>
            </w:r>
          </w:p>
        </w:tc>
      </w:tr>
      <w:tr>
        <w:tc>
          <w:tcPr>
            <w:tcW w:type="dxa" w:w="24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BOHB outperforms GC-HPO on large datasets</w:t>
            </w:r>
          </w:p>
        </w:tc>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High</w:t>
            </w:r>
          </w:p>
        </w:tc>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Medium</w:t>
            </w:r>
          </w:p>
        </w:tc>
        <w:tc>
          <w:tcPr>
            <w:tcW w:type="dxa" w:w="45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This is expected and acceptable. Frame GC-HPO as the lightweight, interpretable alternative for resource-constrained settings where BOHB is unavailable.</w:t>
            </w:r>
          </w:p>
        </w:tc>
      </w:tr>
      <w:tr>
        <w:tc>
          <w:tcPr>
            <w:tcW w:type="dxa" w:w="24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25-seed computation cost too high on Colab</w:t>
            </w:r>
          </w:p>
        </w:tc>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Medium</w:t>
            </w:r>
          </w:p>
        </w:tc>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Medium</w:t>
            </w:r>
          </w:p>
        </w:tc>
        <w:tc>
          <w:tcPr>
            <w:tcW w:type="dxa" w:w="45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Use early stopping (already implemented). Cache all results. Run lighter datasets first; use Kaggle free GPU for larger ones.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Reviewer insists on continuous search spaces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Low</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Medium</w:t>
            </w:r>
          </w:p>
        </w:tc>
        <w:tc>
          <w:tcPr>
            <w:tcW w:type="dxa" w:w="4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Scope paper explicitly as 'discrete hyperparameter spaces'. Discuss continuous extension as future work.</w:t>
            </w:r>
          </w:p>
        </w:tc>
      </w:tr>
      <w:tr>
        <w:tc>
          <w:tcPr>
            <w:tcW w:type="dxa" w:w="24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Independence assumption measured as ε &gt; 0.02</w:t>
            </w:r>
          </w:p>
        </w:tc>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Medium</w:t>
            </w:r>
          </w:p>
        </w:tc>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High</w:t>
            </w:r>
          </w:p>
        </w:tc>
        <w:tc>
          <w:tcPr>
            <w:tcW w:type="dxa" w:w="45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Report actual ε value. Theorem 1 bound is still valid. Interpret as: accuracy gap bounded by (d−1)·ε, which is reported numerically.</w:t>
            </w:r>
          </w:p>
        </w:tc>
      </w:tr>
    </w:tbl>
    <w:p>
      <w:pPr>
        <w:spacing w:after="0" w:before="80"/>
      </w:pPr>
      <w:r>
        <w:rPr>
          <w:rFonts w:ascii="Arial" w:cs="Arial" w:eastAsia="Arial" w:hAnsi="Arial"/>
        </w:rPr>
        <w:t xml:space="preserve"/>
      </w:r>
    </w:p>
    <w:p>
      <w:r>
        <w:br w:type="page"/>
      </w:r>
    </w:p>
    <w:p>
      <w:pPr>
        <w:pStyle w:val="Heading1"/>
        <w:spacing w:after="180" w:before="360"/>
      </w:pPr>
      <w:r>
        <w:rPr>
          <w:rFonts w:ascii="Arial" w:cs="Arial" w:eastAsia="Arial" w:hAnsi="Arial"/>
          <w:b/>
          <w:bCs/>
          <w:color w:val="1E3A5F"/>
          <w:sz w:val="32"/>
          <w:szCs w:val="32"/>
        </w:rPr>
        <w:t xml:space="preserve">14. Key New References to Add</w:t>
      </w:r>
    </w:p>
    <w:p>
      <w:pPr>
        <w:spacing w:after="80" w:before="80"/>
      </w:pPr>
      <w:r>
        <w:rPr>
          <w:rFonts w:ascii="Arial" w:cs="Arial" w:eastAsia="Arial" w:hAnsi="Arial"/>
          <w:color w:val="374151"/>
          <w:sz w:val="22"/>
          <w:szCs w:val="22"/>
        </w:rPr>
        <w:t xml:space="preserve">These 12 references are mandatory additions. Papers marked ★ will be cited in the methods comparison table and must be read in full.</w:t>
      </w:r>
    </w:p>
    <w:p>
      <w:pPr>
        <w:spacing w:after="0" w:before="80"/>
      </w:pPr>
      <w:r>
        <w:rPr>
          <w:rFonts w:ascii="Arial" w:cs="Arial" w:eastAsia="Arial" w:hAnsi="Arial"/>
        </w:rPr>
        <w:t xml:space="preserve"/>
      </w:r>
    </w:p>
    <w:p>
      <w:pPr>
        <w:pStyle w:val="ListParagraph"/>
        <w:numPr>
          <w:ilvl w:val="0"/>
          <w:numId w:val="3"/>
        </w:numPr>
        <w:spacing w:after="60" w:before="60"/>
      </w:pPr>
      <w:r>
        <w:rPr>
          <w:rFonts w:ascii="Arial" w:cs="Arial" w:eastAsia="Arial" w:hAnsi="Arial"/>
          <w:b/>
          <w:bCs/>
          <w:color w:val="1B3A5C"/>
          <w:sz w:val="22"/>
          <w:szCs w:val="22"/>
        </w:rPr>
        <w:t xml:space="preserve">[1] </w:t>
      </w:r>
      <w:r>
        <w:rPr>
          <w:rFonts w:ascii="Arial" w:cs="Arial" w:eastAsia="Arial" w:hAnsi="Arial"/>
          <w:color w:val="374151"/>
          <w:sz w:val="22"/>
          <w:szCs w:val="22"/>
        </w:rPr>
        <w:t xml:space="preserve"> Falkner, S., Klein, A., Hutter, F. (2018). BOHB: Robust and Efficient Hyperparameter Optimization at Scale. ICML 2018. ★</w:t>
      </w:r>
    </w:p>
    <w:p>
      <w:pPr>
        <w:pStyle w:val="ListParagraph"/>
        <w:numPr>
          <w:ilvl w:val="0"/>
          <w:numId w:val="3"/>
        </w:numPr>
        <w:spacing w:after="60" w:before="60"/>
      </w:pPr>
      <w:r>
        <w:rPr>
          <w:rFonts w:ascii="Arial" w:cs="Arial" w:eastAsia="Arial" w:hAnsi="Arial"/>
          <w:b/>
          <w:bCs/>
          <w:color w:val="1B3A5C"/>
          <w:sz w:val="22"/>
          <w:szCs w:val="22"/>
        </w:rPr>
        <w:t xml:space="preserve">[2] </w:t>
      </w:r>
      <w:r>
        <w:rPr>
          <w:rFonts w:ascii="Arial" w:cs="Arial" w:eastAsia="Arial" w:hAnsi="Arial"/>
          <w:color w:val="374151"/>
          <w:sz w:val="22"/>
          <w:szCs w:val="22"/>
        </w:rPr>
        <w:t xml:space="preserve"> Li, L., Jamieson, K., DeSalvo, G., Rostamizadeh, A., Talwalkar, A. (2017). Hyperband: A Novel Bandit-Based Approach to Hyperparameter Optimization. JMLR 18(1), 6765–6816. ★</w:t>
      </w:r>
    </w:p>
    <w:p>
      <w:pPr>
        <w:pStyle w:val="ListParagraph"/>
        <w:numPr>
          <w:ilvl w:val="0"/>
          <w:numId w:val="3"/>
        </w:numPr>
        <w:spacing w:after="60" w:before="60"/>
      </w:pPr>
      <w:r>
        <w:rPr>
          <w:rFonts w:ascii="Arial" w:cs="Arial" w:eastAsia="Arial" w:hAnsi="Arial"/>
          <w:b/>
          <w:bCs/>
          <w:color w:val="1B3A5C"/>
          <w:sz w:val="22"/>
          <w:szCs w:val="22"/>
        </w:rPr>
        <w:t xml:space="preserve">[3] </w:t>
      </w:r>
      <w:r>
        <w:rPr>
          <w:rFonts w:ascii="Arial" w:cs="Arial" w:eastAsia="Arial" w:hAnsi="Arial"/>
          <w:color w:val="374151"/>
          <w:sz w:val="22"/>
          <w:szCs w:val="22"/>
        </w:rPr>
        <w:t xml:space="preserve"> Hutter, F., Hoos, H., Leyton-Brown, K. (2011). Sequential Model-Based Optimization for General Algorithm Configuration. LION 5. ★</w:t>
      </w:r>
    </w:p>
    <w:p>
      <w:pPr>
        <w:pStyle w:val="ListParagraph"/>
        <w:numPr>
          <w:ilvl w:val="0"/>
          <w:numId w:val="3"/>
        </w:numPr>
        <w:spacing w:after="60" w:before="60"/>
      </w:pPr>
      <w:r>
        <w:rPr>
          <w:rFonts w:ascii="Arial" w:cs="Arial" w:eastAsia="Arial" w:hAnsi="Arial"/>
          <w:b/>
          <w:bCs/>
          <w:color w:val="1B3A5C"/>
          <w:sz w:val="22"/>
          <w:szCs w:val="22"/>
        </w:rPr>
        <w:t xml:space="preserve">[4] </w:t>
      </w:r>
      <w:r>
        <w:rPr>
          <w:rFonts w:ascii="Arial" w:cs="Arial" w:eastAsia="Arial" w:hAnsi="Arial"/>
          <w:color w:val="374151"/>
          <w:sz w:val="22"/>
          <w:szCs w:val="22"/>
        </w:rPr>
        <w:t xml:space="preserve"> Hutter, F., Hoos, H., Leyton-Brown, K. (2014). An Efficient Approach for Assessing Hyperparameter Importance. ICML 2014. ★</w:t>
      </w:r>
    </w:p>
    <w:p>
      <w:pPr>
        <w:pStyle w:val="ListParagraph"/>
        <w:numPr>
          <w:ilvl w:val="0"/>
          <w:numId w:val="3"/>
        </w:numPr>
        <w:spacing w:after="60" w:before="60"/>
      </w:pPr>
      <w:r>
        <w:rPr>
          <w:rFonts w:ascii="Arial" w:cs="Arial" w:eastAsia="Arial" w:hAnsi="Arial"/>
          <w:b/>
          <w:bCs/>
          <w:color w:val="1B3A5C"/>
          <w:sz w:val="22"/>
          <w:szCs w:val="22"/>
        </w:rPr>
        <w:t xml:space="preserve">[5] </w:t>
      </w:r>
      <w:r>
        <w:rPr>
          <w:rFonts w:ascii="Arial" w:cs="Arial" w:eastAsia="Arial" w:hAnsi="Arial"/>
          <w:color w:val="374151"/>
          <w:sz w:val="22"/>
          <w:szCs w:val="22"/>
        </w:rPr>
        <w:t xml:space="preserve"> van Rijn, J.N., Hutter, F. (2018). Hyperparameter Importance Across Datasets. KDD 2018. ★</w:t>
      </w:r>
    </w:p>
    <w:p>
      <w:pPr>
        <w:pStyle w:val="ListParagraph"/>
        <w:numPr>
          <w:ilvl w:val="0"/>
          <w:numId w:val="3"/>
        </w:numPr>
        <w:spacing w:after="60" w:before="60"/>
      </w:pPr>
      <w:r>
        <w:rPr>
          <w:rFonts w:ascii="Arial" w:cs="Arial" w:eastAsia="Arial" w:hAnsi="Arial"/>
          <w:b/>
          <w:bCs/>
          <w:color w:val="1B3A5C"/>
          <w:sz w:val="22"/>
          <w:szCs w:val="22"/>
        </w:rPr>
        <w:t xml:space="preserve">[6] </w:t>
      </w:r>
      <w:r>
        <w:rPr>
          <w:rFonts w:ascii="Arial" w:cs="Arial" w:eastAsia="Arial" w:hAnsi="Arial"/>
          <w:color w:val="374151"/>
          <w:sz w:val="22"/>
          <w:szCs w:val="22"/>
        </w:rPr>
        <w:t xml:space="preserve"> Bergstra, J., Bardenet, R., Bengio, Y., Kégl, B. (2011). Algorithms for Hyper-Parameter Optimization. NeurIPS 2011.</w:t>
      </w:r>
    </w:p>
    <w:p>
      <w:pPr>
        <w:pStyle w:val="ListParagraph"/>
        <w:numPr>
          <w:ilvl w:val="0"/>
          <w:numId w:val="3"/>
        </w:numPr>
        <w:spacing w:after="60" w:before="60"/>
      </w:pPr>
      <w:r>
        <w:rPr>
          <w:rFonts w:ascii="Arial" w:cs="Arial" w:eastAsia="Arial" w:hAnsi="Arial"/>
          <w:b/>
          <w:bCs/>
          <w:color w:val="1B3A5C"/>
          <w:sz w:val="22"/>
          <w:szCs w:val="22"/>
        </w:rPr>
        <w:t xml:space="preserve">[7] </w:t>
      </w:r>
      <w:r>
        <w:rPr>
          <w:rFonts w:ascii="Arial" w:cs="Arial" w:eastAsia="Arial" w:hAnsi="Arial"/>
          <w:color w:val="374151"/>
          <w:sz w:val="22"/>
          <w:szCs w:val="22"/>
        </w:rPr>
        <w:t xml:space="preserve"> Bergstra, J., Bengio, Y. (2012). Random Search for Hyper-Parameter Optimization. JMLR 13, 281–305.</w:t>
      </w:r>
    </w:p>
    <w:p>
      <w:pPr>
        <w:pStyle w:val="ListParagraph"/>
        <w:numPr>
          <w:ilvl w:val="0"/>
          <w:numId w:val="3"/>
        </w:numPr>
        <w:spacing w:after="60" w:before="60"/>
      </w:pPr>
      <w:r>
        <w:rPr>
          <w:rFonts w:ascii="Arial" w:cs="Arial" w:eastAsia="Arial" w:hAnsi="Arial"/>
          <w:b/>
          <w:bCs/>
          <w:color w:val="1B3A5C"/>
          <w:sz w:val="22"/>
          <w:szCs w:val="22"/>
        </w:rPr>
        <w:t xml:space="preserve">[8] </w:t>
      </w:r>
      <w:r>
        <w:rPr>
          <w:rFonts w:ascii="Arial" w:cs="Arial" w:eastAsia="Arial" w:hAnsi="Arial"/>
          <w:color w:val="374151"/>
          <w:sz w:val="22"/>
          <w:szCs w:val="22"/>
        </w:rPr>
        <w:t xml:space="preserve"> Demšar, J. (2006). Statistical Comparisons of Classifiers over Multiple Data Sets. JMLR 7, 1–30. (Required for CD diagrams)</w:t>
      </w:r>
    </w:p>
    <w:p>
      <w:pPr>
        <w:pStyle w:val="ListParagraph"/>
        <w:numPr>
          <w:ilvl w:val="0"/>
          <w:numId w:val="3"/>
        </w:numPr>
        <w:spacing w:after="60" w:before="60"/>
      </w:pPr>
      <w:r>
        <w:rPr>
          <w:rFonts w:ascii="Arial" w:cs="Arial" w:eastAsia="Arial" w:hAnsi="Arial"/>
          <w:b/>
          <w:bCs/>
          <w:color w:val="1B3A5C"/>
          <w:sz w:val="22"/>
          <w:szCs w:val="22"/>
        </w:rPr>
        <w:t xml:space="preserve">[9] </w:t>
      </w:r>
      <w:r>
        <w:rPr>
          <w:rFonts w:ascii="Arial" w:cs="Arial" w:eastAsia="Arial" w:hAnsi="Arial"/>
          <w:color w:val="374151"/>
          <w:sz w:val="22"/>
          <w:szCs w:val="22"/>
        </w:rPr>
        <w:t xml:space="preserve"> Thornton, C., Hutter, F., Hoos, H.H., Leyton-Brown, K. (2013). Auto-WEKA. KDD 2013.</w:t>
      </w:r>
    </w:p>
    <w:p>
      <w:pPr>
        <w:pStyle w:val="ListParagraph"/>
        <w:numPr>
          <w:ilvl w:val="0"/>
          <w:numId w:val="3"/>
        </w:numPr>
        <w:spacing w:after="60" w:before="60"/>
      </w:pPr>
      <w:r>
        <w:rPr>
          <w:rFonts w:ascii="Arial" w:cs="Arial" w:eastAsia="Arial" w:hAnsi="Arial"/>
          <w:b/>
          <w:bCs/>
          <w:color w:val="1B3A5C"/>
          <w:sz w:val="22"/>
          <w:szCs w:val="22"/>
        </w:rPr>
        <w:t xml:space="preserve">[10] </w:t>
      </w:r>
      <w:r>
        <w:rPr>
          <w:rFonts w:ascii="Arial" w:cs="Arial" w:eastAsia="Arial" w:hAnsi="Arial"/>
          <w:color w:val="374151"/>
          <w:sz w:val="22"/>
          <w:szCs w:val="22"/>
        </w:rPr>
        <w:t xml:space="preserve"> Feurer, M., Klein, A., Eggensperger, K., Springenberg, J., Blum, M., Hutter, F. (2015). Efficient and Robust Automated Machine Learning. NeurIPS 2015.</w:t>
      </w:r>
    </w:p>
    <w:p>
      <w:pPr>
        <w:pStyle w:val="ListParagraph"/>
        <w:numPr>
          <w:ilvl w:val="0"/>
          <w:numId w:val="3"/>
        </w:numPr>
        <w:spacing w:after="60" w:before="60"/>
      </w:pPr>
      <w:r>
        <w:rPr>
          <w:rFonts w:ascii="Arial" w:cs="Arial" w:eastAsia="Arial" w:hAnsi="Arial"/>
          <w:b/>
          <w:bCs/>
          <w:color w:val="1B3A5C"/>
          <w:sz w:val="22"/>
          <w:szCs w:val="22"/>
        </w:rPr>
        <w:t xml:space="preserve">[11] </w:t>
      </w:r>
      <w:r>
        <w:rPr>
          <w:rFonts w:ascii="Arial" w:cs="Arial" w:eastAsia="Arial" w:hAnsi="Arial"/>
          <w:color w:val="374151"/>
          <w:sz w:val="22"/>
          <w:szCs w:val="22"/>
        </w:rPr>
        <w:t xml:space="preserve"> Young, S.R., Rose, D.C., Karnowski, T.P., Lim, S.H., Patton, R.M. (2015). Optimizing Deep Learning Hyper-Parameters Through an Evolutionary Algorithm. arXiv:1512.02185.</w:t>
      </w:r>
    </w:p>
    <w:p>
      <w:pPr>
        <w:pStyle w:val="ListParagraph"/>
        <w:numPr>
          <w:ilvl w:val="0"/>
          <w:numId w:val="3"/>
        </w:numPr>
        <w:spacing w:after="60" w:before="60"/>
      </w:pPr>
      <w:r>
        <w:rPr>
          <w:rFonts w:ascii="Arial" w:cs="Arial" w:eastAsia="Arial" w:hAnsi="Arial"/>
          <w:b/>
          <w:bCs/>
          <w:color w:val="1B3A5C"/>
          <w:sz w:val="22"/>
          <w:szCs w:val="22"/>
        </w:rPr>
        <w:t xml:space="preserve">[12] </w:t>
      </w:r>
      <w:r>
        <w:rPr>
          <w:rFonts w:ascii="Arial" w:cs="Arial" w:eastAsia="Arial" w:hAnsi="Arial"/>
          <w:color w:val="374151"/>
          <w:sz w:val="22"/>
          <w:szCs w:val="22"/>
        </w:rPr>
        <w:t xml:space="preserve"> Bellman, R. (1957). Dynamic Programming. Princeton University Press. (Full citation needed for Bellman's principle claim)</w:t>
      </w:r>
    </w:p>
    <w:p>
      <w:pPr>
        <w:spacing w:after="0" w:before="80"/>
      </w:pPr>
      <w:r>
        <w:rPr>
          <w:rFonts w:ascii="Arial" w:cs="Arial" w:eastAsia="Arial" w:hAnsi="Arial"/>
        </w:rPr>
        <w:t xml:space="preserve"/>
      </w:r>
    </w:p>
    <w:p>
      <w:pPr>
        <w:pStyle w:val="Heading1"/>
        <w:spacing w:after="180" w:before="360"/>
      </w:pPr>
      <w:r>
        <w:rPr>
          <w:rFonts w:ascii="Arial" w:cs="Arial" w:eastAsia="Arial" w:hAnsi="Arial"/>
          <w:b/>
          <w:bCs/>
          <w:color w:val="1E3A5F"/>
          <w:sz w:val="32"/>
          <w:szCs w:val="32"/>
        </w:rPr>
        <w:t xml:space="preserve">Appendix A — Estimated Compute Budget</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200"/>
        <w:gridCol w:w="21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Experiment</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Methods</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Datasets</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Seeds</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Min/eval</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Total GPU-hrs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Main results (large datasets)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9</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6</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25</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3</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~135 hrs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Main results (small datasets)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0.5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~8 hrs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Ablation A1 (24 orderings)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 (GC-HPO)</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5</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25</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~50 hrs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E2 Scale experiment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~45 hrs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E1 Synthetic (no GPU needed)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synthetic</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50</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0.1</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~1 hr</w:t>
            </w:r>
          </w:p>
        </w:tc>
      </w:tr>
      <w:tr>
        <w:tc>
          <w:tcPr>
            <w:tcW w:type="dxa" w:w="2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TOTAL ESTIMATED</w:t>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
            </w:r>
          </w:p>
        </w:tc>
        <w:tc>
          <w:tcPr>
            <w:tcW w:type="dxa" w:w="1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
            </w:r>
          </w:p>
        </w:tc>
        <w:tc>
          <w:tcPr>
            <w:tcW w:type="dxa" w:w="21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spacing w:after="40" w:before="40"/>
            </w:pPr>
            <w:r>
              <w:rPr>
                <w:rFonts w:ascii="Arial" w:cs="Arial" w:eastAsia="Arial" w:hAnsi="Arial"/>
                <w:b w:val="false"/>
                <w:bCs w:val="false"/>
                <w:color w:val="374151"/>
                <w:sz w:val="20"/>
                <w:szCs w:val="20"/>
              </w:rPr>
              <w:t xml:space="preserve">~240 GPU-hrs</w:t>
            </w:r>
          </w:p>
        </w:tc>
      </w:tr>
    </w:tbl>
    <w:p>
      <w:pPr>
        <w:spacing w:after="0" w:before="80"/>
      </w:pPr>
      <w:r>
        <w:rPr>
          <w:rFonts w:ascii="Arial" w:cs="Arial" w:eastAsia="Arial" w:hAnsi="Arial"/>
        </w:rPr>
        <w:t xml:space="preserve"/>
      </w:r>
    </w:p>
    <w:p>
      <w:pPr>
        <w:spacing w:after="80" w:before="80"/>
      </w:pPr>
      <w:r>
        <w:rPr>
          <w:rFonts w:ascii="Arial" w:cs="Arial" w:eastAsia="Arial" w:hAnsi="Arial"/>
          <w:color w:val="374151"/>
          <w:sz w:val="22"/>
          <w:szCs w:val="22"/>
        </w:rPr>
        <w:t xml:space="preserve">At Kaggle (30 hrs/week free GPU) this is approximately 8 weeks of compute. Kaggle notebooks + Google Colab Pro ($10/month) can cover the full budget within the Phase 3 timeline (Months 5–6).</w:t>
      </w:r>
    </w:p>
    <w:p>
      <w:pPr>
        <w:spacing w:after="0" w:before="80"/>
      </w:pPr>
      <w:r>
        <w:rPr>
          <w:rFonts w:ascii="Arial" w:cs="Arial" w:eastAsia="Arial" w:hAnsi="Arial"/>
        </w:rPr>
        <w:t xml:space="preserve"/>
      </w:r>
    </w:p>
    <w:p>
      <w:pPr>
        <w:pStyle w:val="Heading1"/>
        <w:spacing w:after="180" w:before="360"/>
      </w:pPr>
      <w:r>
        <w:rPr>
          <w:rFonts w:ascii="Arial" w:cs="Arial" w:eastAsia="Arial" w:hAnsi="Arial"/>
          <w:b/>
          <w:bCs/>
          <w:color w:val="1E3A5F"/>
          <w:sz w:val="32"/>
          <w:szCs w:val="32"/>
        </w:rPr>
        <w:t xml:space="preserve">Appendix B — Revised File Structure</w:t>
      </w:r>
    </w:p>
    <w:p>
      <w:pPr>
        <w:spacing w:after="80" w:before="80"/>
      </w:pPr>
      <w:r>
        <w:rPr>
          <w:rFonts w:ascii="Arial" w:cs="Arial" w:eastAsia="Arial" w:hAnsi="Arial"/>
          <w:color w:val="374151"/>
          <w:sz w:val="22"/>
          <w:szCs w:val="22"/>
        </w:rPr>
        <w:t xml:space="preserve">The GitHub repository (kartikjsonawane/dp-hpo) should be restructured for Version 2:</w:t>
      </w:r>
    </w:p>
    <w:p>
      <w:pPr>
        <w:pStyle w:val="ListParagraph"/>
        <w:numPr>
          <w:ilvl w:val="0"/>
          <w:numId w:val="2"/>
        </w:numPr>
        <w:spacing w:after="60" w:before="60"/>
      </w:pPr>
      <w:r>
        <w:rPr>
          <w:rFonts w:ascii="Arial" w:cs="Arial" w:eastAsia="Arial" w:hAnsi="Arial"/>
          <w:color w:val="374151"/>
          <w:sz w:val="22"/>
          <w:szCs w:val="22"/>
        </w:rPr>
        <w:t xml:space="preserve">gc_hpo.py — renamed main implementation (GC-HPO)</w:t>
      </w:r>
    </w:p>
    <w:p>
      <w:pPr>
        <w:pStyle w:val="ListParagraph"/>
        <w:numPr>
          <w:ilvl w:val="0"/>
          <w:numId w:val="2"/>
        </w:numPr>
        <w:spacing w:after="60" w:before="60"/>
      </w:pPr>
      <w:r>
        <w:rPr>
          <w:rFonts w:ascii="Arial" w:cs="Arial" w:eastAsia="Arial" w:hAnsi="Arial"/>
          <w:color w:val="374151"/>
          <w:sz w:val="22"/>
          <w:szCs w:val="22"/>
        </w:rPr>
        <w:t xml:space="preserve">run_experiments.py — updated with 25 seeds, 6 datasets, 9 baselines</w:t>
      </w:r>
    </w:p>
    <w:p>
      <w:pPr>
        <w:pStyle w:val="ListParagraph"/>
        <w:numPr>
          <w:ilvl w:val="0"/>
          <w:numId w:val="2"/>
        </w:numPr>
        <w:spacing w:after="60" w:before="60"/>
      </w:pPr>
      <w:r>
        <w:rPr>
          <w:rFonts w:ascii="Arial" w:cs="Arial" w:eastAsia="Arial" w:hAnsi="Arial"/>
          <w:color w:val="374151"/>
          <w:sz w:val="22"/>
          <w:szCs w:val="22"/>
        </w:rPr>
        <w:t xml:space="preserve">baselines/ — hyperband_runner.py, bohb_runner.py, smac_runner.py</w:t>
      </w:r>
    </w:p>
    <w:p>
      <w:pPr>
        <w:pStyle w:val="ListParagraph"/>
        <w:numPr>
          <w:ilvl w:val="0"/>
          <w:numId w:val="2"/>
        </w:numPr>
        <w:spacing w:after="60" w:before="60"/>
      </w:pPr>
      <w:r>
        <w:rPr>
          <w:rFonts w:ascii="Arial" w:cs="Arial" w:eastAsia="Arial" w:hAnsi="Arial"/>
          <w:color w:val="374151"/>
          <w:sz w:val="22"/>
          <w:szCs w:val="22"/>
        </w:rPr>
        <w:t xml:space="preserve">data/ — unified data loaders for all 6 datasets</w:t>
      </w:r>
    </w:p>
    <w:p>
      <w:pPr>
        <w:pStyle w:val="ListParagraph"/>
        <w:numPr>
          <w:ilvl w:val="0"/>
          <w:numId w:val="2"/>
        </w:numPr>
        <w:spacing w:after="60" w:before="60"/>
      </w:pPr>
      <w:r>
        <w:rPr>
          <w:rFonts w:ascii="Arial" w:cs="Arial" w:eastAsia="Arial" w:hAnsi="Arial"/>
          <w:color w:val="374151"/>
          <w:sz w:val="22"/>
          <w:szCs w:val="22"/>
        </w:rPr>
        <w:t xml:space="preserve">ablations/ — ordering.py, defaults.py, synthetic.py, scale.py</w:t>
      </w:r>
    </w:p>
    <w:p>
      <w:pPr>
        <w:pStyle w:val="ListParagraph"/>
        <w:numPr>
          <w:ilvl w:val="0"/>
          <w:numId w:val="2"/>
        </w:numPr>
        <w:spacing w:after="60" w:before="60"/>
      </w:pPr>
      <w:r>
        <w:rPr>
          <w:rFonts w:ascii="Arial" w:cs="Arial" w:eastAsia="Arial" w:hAnsi="Arial"/>
          <w:color w:val="374151"/>
          <w:sz w:val="22"/>
          <w:szCs w:val="22"/>
        </w:rPr>
        <w:t xml:space="preserve">stats/ — wilcoxon.py, friedman.py, cd_diagram.py, bootstrap_ci.py</w:t>
      </w:r>
    </w:p>
    <w:p>
      <w:pPr>
        <w:pStyle w:val="ListParagraph"/>
        <w:numPr>
          <w:ilvl w:val="0"/>
          <w:numId w:val="2"/>
        </w:numPr>
        <w:spacing w:after="60" w:before="60"/>
      </w:pPr>
      <w:r>
        <w:rPr>
          <w:rFonts w:ascii="Arial" w:cs="Arial" w:eastAsia="Arial" w:hAnsi="Arial"/>
          <w:color w:val="374151"/>
          <w:sz w:val="22"/>
          <w:szCs w:val="22"/>
        </w:rPr>
        <w:t xml:space="preserve">results/ — full_results.json, ablation_results.json, time_results.json</w:t>
      </w:r>
    </w:p>
    <w:p>
      <w:pPr>
        <w:pStyle w:val="ListParagraph"/>
        <w:numPr>
          <w:ilvl w:val="0"/>
          <w:numId w:val="2"/>
        </w:numPr>
        <w:spacing w:after="60" w:before="60"/>
      </w:pPr>
      <w:r>
        <w:rPr>
          <w:rFonts w:ascii="Arial" w:cs="Arial" w:eastAsia="Arial" w:hAnsi="Arial"/>
          <w:color w:val="374151"/>
          <w:sz w:val="22"/>
          <w:szCs w:val="22"/>
        </w:rPr>
        <w:t xml:space="preserve">paper/ — LaTeX source, figures, tables</w:t>
      </w:r>
    </w:p>
    <w:p>
      <w:pPr>
        <w:pStyle w:val="ListParagraph"/>
        <w:numPr>
          <w:ilvl w:val="0"/>
          <w:numId w:val="2"/>
        </w:numPr>
        <w:spacing w:after="60" w:before="60"/>
      </w:pPr>
      <w:r>
        <w:rPr>
          <w:rFonts w:ascii="Arial" w:cs="Arial" w:eastAsia="Arial" w:hAnsi="Arial"/>
          <w:color w:val="374151"/>
          <w:sz w:val="22"/>
          <w:szCs w:val="22"/>
        </w:rPr>
        <w:t xml:space="preserve">README.md — updated with V2 results table</w:t>
      </w:r>
    </w:p>
    <w:p>
      <w:pPr>
        <w:pStyle w:val="ListParagraph"/>
        <w:numPr>
          <w:ilvl w:val="0"/>
          <w:numId w:val="2"/>
        </w:numPr>
        <w:spacing w:after="60" w:before="60"/>
      </w:pPr>
      <w:r>
        <w:rPr>
          <w:rFonts w:ascii="Arial" w:cs="Arial" w:eastAsia="Arial" w:hAnsi="Arial"/>
          <w:color w:val="374151"/>
          <w:sz w:val="22"/>
          <w:szCs w:val="22"/>
        </w:rPr>
        <w:t xml:space="preserve">CHANGELOG.md — V1→V2 differences documented</w:t>
      </w:r>
    </w:p>
    <w:p>
      <w:pPr>
        <w:spacing w:after="0" w:before="80"/>
      </w:pPr>
      <w:r>
        <w:rPr>
          <w:rFonts w:ascii="Arial" w:cs="Arial" w:eastAsia="Arial" w:hAnsi="Arial"/>
        </w:rPr>
        <w:t xml:space="preserve"/>
      </w:r>
    </w:p>
    <w:p>
      <w:pPr>
        <w:pBdr>
          <w:bottom w:val="single" w:color="D1D5DB" w:sz="4" w:space="4"/>
        </w:pBdr>
        <w:spacing w:after="120" w:before="120"/>
      </w:pPr>
      <w:r>
        <w:rPr>
          <w:rFonts w:ascii="Arial" w:cs="Arial" w:eastAsia="Arial" w:hAnsi="Arial"/>
        </w:rPr>
        <w:t xml:space="preserve"/>
      </w:r>
    </w:p>
    <w:p>
      <w:pPr>
        <w:spacing w:after="0" w:before="120"/>
        <w:jc w:val="center"/>
      </w:pPr>
      <w:r>
        <w:rPr>
          <w:rFonts w:ascii="Arial" w:cs="Arial" w:eastAsia="Arial" w:hAnsi="Arial"/>
          <w:color w:val="9CA3AF"/>
          <w:sz w:val="20"/>
          <w:szCs w:val="20"/>
        </w:rPr>
        <w:t xml:space="preserve">End of Version 2 Research Plan  ·  Kartik Sonawane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360"/>
      </w:tabs>
      <w:spacing w:after="0" w:before="80"/>
    </w:pPr>
    <w:r>
      <w:rPr>
        <w:rFonts w:ascii="Arial" w:cs="Arial" w:eastAsia="Arial" w:hAnsi="Arial"/>
        <w:color w:val="9CA3AF"/>
        <w:sz w:val="18"/>
        <w:szCs w:val="18"/>
      </w:rPr>
      <w:t xml:space="preserve">Confidential Research Document · 2026</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360"/>
      </w:tabs>
      <w:spacing w:after="80" w:before="0"/>
    </w:pPr>
    <w:r>
      <w:rPr>
        <w:rFonts w:ascii="Arial" w:cs="Arial" w:eastAsia="Arial" w:hAnsi="Arial"/>
        <w:color w:val="9CA3AF"/>
        <w:sz w:val="18"/>
        <w:szCs w:val="18"/>
      </w:rPr>
      <w:t xml:space="preserve">DP-HPO Version 2 — Research Plan</w:t>
    </w:r>
    <w:r>
      <w:rPr>
        <w:rFonts w:ascii="Arial" w:cs="Arial" w:eastAsia="Arial" w:hAnsi="Arial"/>
        <w:color w:val="9CA3AF"/>
        <w:sz w:val="18"/>
        <w:szCs w:val="18"/>
      </w:rPr>
      <w:t xml:space="preserve">	Kartik Sonawane · Independent Researcher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2026-06-16T09:55:21.035Z</dcterms:created>
  <dcterms:modified xsi:type="dcterms:W3CDTF">2026-06-16T09:55:21.036Z</dcterms:modified>
</cp:coreProperties>
</file>

<file path=docProps/custom.xml><?xml version="1.0" encoding="utf-8"?>
<Properties xmlns="http://schemas.openxmlformats.org/officeDocument/2006/custom-properties" xmlns:vt="http://schemas.openxmlformats.org/officeDocument/2006/docPropsVTypes"/>
</file>