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WEEK 4 MACHINE LEARNING PROJECT</w:t>
      </w:r>
    </w:p>
    <w:p>
      <w:pPr>
        <w:jc w:val="center"/>
      </w:pPr>
      <w:r>
        <w:rPr>
          <w:b/>
          <w:sz w:val="30"/>
        </w:rPr>
        <w:t>Machine Learning Model Development and Evaluation</w:t>
      </w:r>
    </w:p>
    <w:p>
      <w:pPr>
        <w:jc w:val="center"/>
      </w:pPr>
      <w:r>
        <w:rPr>
          <w:sz w:val="26"/>
        </w:rPr>
        <w:t>Breast Cancer Wisconsin (Diagnostic) Classification</w:t>
      </w:r>
    </w:p>
    <w:p>
      <w:pPr>
        <w:jc w:val="center"/>
      </w:pPr>
      <w:r>
        <w:rPr>
          <w:i/>
        </w:rPr>
        <w:t>Prepared as a Week 4 academic submission</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shd w:fill="EAF2F8"/>
          </w:tcPr>
          <w:p>
            <w:r/>
            <w:r>
              <w:rPr>
                <w:b/>
                <w:sz w:val="18"/>
              </w:rPr>
              <w:t>Dataset</w:t>
            </w:r>
          </w:p>
        </w:tc>
        <w:tc>
          <w:tcPr>
            <w:tcW w:type="dxa" w:w="5112"/>
            <w:shd w:fill="F7F9FB"/>
            <w:vAlign w:val="center"/>
          </w:tcPr>
          <w:p>
            <w:r/>
            <w:r>
              <w:rPr>
                <w:b w:val="0"/>
                <w:sz w:val="18"/>
              </w:rPr>
              <w:t>569 samples, 30 numeric features</w:t>
            </w:r>
          </w:p>
        </w:tc>
      </w:tr>
      <w:tr>
        <w:tc>
          <w:tcPr>
            <w:tcW w:type="dxa" w:w="5112"/>
            <w:vAlign w:val="center"/>
            <w:shd w:fill="EAF2F8"/>
          </w:tcPr>
          <w:p>
            <w:r/>
            <w:r>
              <w:rPr>
                <w:b/>
                <w:sz w:val="18"/>
              </w:rPr>
              <w:t>Task</w:t>
            </w:r>
          </w:p>
        </w:tc>
        <w:tc>
          <w:tcPr>
            <w:tcW w:type="dxa" w:w="5112"/>
            <w:vAlign w:val="center"/>
          </w:tcPr>
          <w:p>
            <w:r/>
            <w:r>
              <w:rPr>
                <w:b w:val="0"/>
                <w:sz w:val="18"/>
              </w:rPr>
              <w:t>Binary classification: malignant vs benign</w:t>
            </w:r>
          </w:p>
        </w:tc>
      </w:tr>
      <w:tr>
        <w:tc>
          <w:tcPr>
            <w:tcW w:type="dxa" w:w="5112"/>
            <w:vAlign w:val="center"/>
            <w:shd w:fill="EAF2F8"/>
          </w:tcPr>
          <w:p>
            <w:r/>
            <w:r>
              <w:rPr>
                <w:b/>
                <w:sz w:val="18"/>
              </w:rPr>
              <w:t>Split</w:t>
            </w:r>
          </w:p>
        </w:tc>
        <w:tc>
          <w:tcPr>
            <w:tcW w:type="dxa" w:w="5112"/>
            <w:vAlign w:val="center"/>
          </w:tcPr>
          <w:p>
            <w:r/>
            <w:r>
              <w:rPr>
                <w:b w:val="0"/>
                <w:sz w:val="18"/>
              </w:rPr>
              <w:t>80% training / 20% testing, stratified</w:t>
            </w:r>
          </w:p>
        </w:tc>
      </w:tr>
      <w:tr>
        <w:tc>
          <w:tcPr>
            <w:tcW w:type="dxa" w:w="5112"/>
            <w:vAlign w:val="center"/>
            <w:shd w:fill="EAF2F8"/>
          </w:tcPr>
          <w:p>
            <w:r/>
            <w:r>
              <w:rPr>
                <w:b/>
                <w:sz w:val="18"/>
              </w:rPr>
              <w:t>Validation</w:t>
            </w:r>
          </w:p>
        </w:tc>
        <w:tc>
          <w:tcPr>
            <w:tcW w:type="dxa" w:w="5112"/>
            <w:vAlign w:val="center"/>
          </w:tcPr>
          <w:p>
            <w:r/>
            <w:r>
              <w:rPr>
                <w:b w:val="0"/>
                <w:sz w:val="18"/>
              </w:rPr>
              <w:t>5-fold StratifiedKFold on training set</w:t>
            </w:r>
          </w:p>
        </w:tc>
      </w:tr>
      <w:tr>
        <w:tc>
          <w:tcPr>
            <w:tcW w:type="dxa" w:w="5112"/>
            <w:vAlign w:val="center"/>
            <w:shd w:fill="EAF2F8"/>
          </w:tcPr>
          <w:p>
            <w:r/>
            <w:r>
              <w:rPr>
                <w:b/>
                <w:sz w:val="18"/>
              </w:rPr>
              <w:t>Tuning</w:t>
            </w:r>
          </w:p>
        </w:tc>
        <w:tc>
          <w:tcPr>
            <w:tcW w:type="dxa" w:w="5112"/>
            <w:vAlign w:val="center"/>
          </w:tcPr>
          <w:p>
            <w:r/>
            <w:r>
              <w:rPr>
                <w:b w:val="0"/>
                <w:sz w:val="18"/>
              </w:rPr>
              <w:t>GridSearchCV over C and penalty</w:t>
            </w:r>
          </w:p>
        </w:tc>
      </w:tr>
      <w:tr>
        <w:tc>
          <w:tcPr>
            <w:tcW w:type="dxa" w:w="5112"/>
            <w:vAlign w:val="center"/>
            <w:shd w:fill="EAF2F8"/>
          </w:tcPr>
          <w:p>
            <w:r/>
            <w:r>
              <w:rPr>
                <w:b/>
                <w:sz w:val="18"/>
              </w:rPr>
              <w:t>Final model</w:t>
            </w:r>
          </w:p>
        </w:tc>
        <w:tc>
          <w:tcPr>
            <w:tcW w:type="dxa" w:w="5112"/>
            <w:vAlign w:val="center"/>
          </w:tcPr>
          <w:p>
            <w:r/>
            <w:r>
              <w:rPr>
                <w:b w:val="0"/>
                <w:sz w:val="18"/>
              </w:rPr>
              <w:t>Tuned Logistic Regression pipeline</w:t>
            </w:r>
          </w:p>
        </w:tc>
      </w:tr>
    </w:tbl>
    <w:p>
      <w:pPr>
        <w:pStyle w:val="Heading1"/>
      </w:pPr>
      <w:r>
        <w:t>1. Introduction</w:t>
      </w:r>
    </w:p>
    <w:p>
      <w:r>
        <w:t>The objective of this project is to develop and evaluate a supervised machine learning classifier using a publicly available dataset. The workflow is designed to reflect a real-world model-development process: data inspection, preprocessing, stratified splitting, baseline model comparison, cross-validation, hyperparameter tuning, holdout testing, interpretation, and discussion of limitations.</w:t>
      </w:r>
    </w:p>
    <w:p>
      <w:pPr>
        <w:pStyle w:val="Heading1"/>
      </w:pPr>
      <w:r>
        <w:t>2. Dataset Description</w:t>
      </w:r>
    </w:p>
    <w:p>
      <w:r>
        <w:t>The Breast Cancer Wisconsin (Diagnostic) dataset contains 569 observations, 30 real-valued predictive features, and a binary target. The features are numerical measurements derived from digitized images of breast-mass samples. The target is encoded as 0 = malignant and 1 = benign in the scikit-learn representation used for this project.</w:t>
      </w:r>
    </w:p>
    <w:p>
      <w:r>
        <w:t>Public source: UCI Machine Learning Repository - https://archive.ics.uci.edu/dataset/17/breast+cancer+wisconsin+diagnostic</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sz w:val="18"/>
              </w:rPr>
              <w:t>Data quality check</w:t>
            </w:r>
          </w:p>
        </w:tc>
        <w:tc>
          <w:tcPr>
            <w:tcW w:type="dxa" w:w="5112"/>
            <w:vAlign w:val="center"/>
            <w:shd w:fill="1F4E79"/>
          </w:tcPr>
          <w:p>
            <w:r/>
            <w:r>
              <w:rPr>
                <w:b/>
                <w:sz w:val="18"/>
              </w:rPr>
              <w:t>Result</w:t>
            </w:r>
          </w:p>
        </w:tc>
      </w:tr>
      <w:tr>
        <w:tc>
          <w:tcPr>
            <w:tcW w:type="dxa" w:w="5112"/>
            <w:vAlign w:val="center"/>
          </w:tcPr>
          <w:p>
            <w:r/>
            <w:r>
              <w:rPr>
                <w:b w:val="0"/>
                <w:sz w:val="18"/>
              </w:rPr>
              <w:t>Total samples</w:t>
            </w:r>
          </w:p>
        </w:tc>
        <w:tc>
          <w:tcPr>
            <w:tcW w:type="dxa" w:w="5112"/>
            <w:vAlign w:val="center"/>
          </w:tcPr>
          <w:p>
            <w:r/>
            <w:r>
              <w:rPr>
                <w:b w:val="0"/>
                <w:sz w:val="18"/>
              </w:rPr>
              <w:t>569</w:t>
            </w:r>
          </w:p>
        </w:tc>
      </w:tr>
      <w:tr>
        <w:tc>
          <w:tcPr>
            <w:tcW w:type="dxa" w:w="5112"/>
            <w:vAlign w:val="center"/>
          </w:tcPr>
          <w:p>
            <w:r/>
            <w:r>
              <w:rPr>
                <w:b w:val="0"/>
                <w:sz w:val="18"/>
              </w:rPr>
              <w:t>Predictive features</w:t>
            </w:r>
          </w:p>
        </w:tc>
        <w:tc>
          <w:tcPr>
            <w:tcW w:type="dxa" w:w="5112"/>
            <w:vAlign w:val="center"/>
          </w:tcPr>
          <w:p>
            <w:r/>
            <w:r>
              <w:rPr>
                <w:b w:val="0"/>
                <w:sz w:val="18"/>
              </w:rPr>
              <w:t>30</w:t>
            </w:r>
          </w:p>
        </w:tc>
      </w:tr>
      <w:tr>
        <w:tc>
          <w:tcPr>
            <w:tcW w:type="dxa" w:w="5112"/>
            <w:vAlign w:val="center"/>
          </w:tcPr>
          <w:p>
            <w:r/>
            <w:r>
              <w:rPr>
                <w:b w:val="0"/>
                <w:sz w:val="18"/>
              </w:rPr>
              <w:t>Missing values</w:t>
            </w:r>
          </w:p>
        </w:tc>
        <w:tc>
          <w:tcPr>
            <w:tcW w:type="dxa" w:w="5112"/>
            <w:vAlign w:val="center"/>
          </w:tcPr>
          <w:p>
            <w:r/>
            <w:r>
              <w:rPr>
                <w:b w:val="0"/>
                <w:sz w:val="18"/>
              </w:rPr>
              <w:t>0</w:t>
            </w:r>
          </w:p>
        </w:tc>
      </w:tr>
      <w:tr>
        <w:tc>
          <w:tcPr>
            <w:tcW w:type="dxa" w:w="5112"/>
            <w:vAlign w:val="center"/>
          </w:tcPr>
          <w:p>
            <w:r/>
            <w:r>
              <w:rPr>
                <w:b w:val="0"/>
                <w:sz w:val="18"/>
              </w:rPr>
              <w:t>Duplicate rows</w:t>
            </w:r>
          </w:p>
        </w:tc>
        <w:tc>
          <w:tcPr>
            <w:tcW w:type="dxa" w:w="5112"/>
            <w:vAlign w:val="center"/>
          </w:tcPr>
          <w:p>
            <w:r/>
            <w:r>
              <w:rPr>
                <w:b w:val="0"/>
                <w:sz w:val="18"/>
              </w:rPr>
              <w:t>0</w:t>
            </w:r>
          </w:p>
        </w:tc>
      </w:tr>
      <w:tr>
        <w:tc>
          <w:tcPr>
            <w:tcW w:type="dxa" w:w="5112"/>
            <w:vAlign w:val="center"/>
          </w:tcPr>
          <w:p>
            <w:r/>
            <w:r>
              <w:rPr>
                <w:b w:val="0"/>
                <w:sz w:val="18"/>
              </w:rPr>
              <w:t>Malignant samples</w:t>
            </w:r>
          </w:p>
        </w:tc>
        <w:tc>
          <w:tcPr>
            <w:tcW w:type="dxa" w:w="5112"/>
            <w:vAlign w:val="center"/>
          </w:tcPr>
          <w:p>
            <w:r/>
            <w:r>
              <w:rPr>
                <w:b w:val="0"/>
                <w:sz w:val="18"/>
              </w:rPr>
              <w:t>212</w:t>
            </w:r>
          </w:p>
        </w:tc>
      </w:tr>
      <w:tr>
        <w:tc>
          <w:tcPr>
            <w:tcW w:type="dxa" w:w="5112"/>
            <w:vAlign w:val="center"/>
          </w:tcPr>
          <w:p>
            <w:r/>
            <w:r>
              <w:rPr>
                <w:b w:val="0"/>
                <w:sz w:val="18"/>
              </w:rPr>
              <w:t>Benign samples</w:t>
            </w:r>
          </w:p>
        </w:tc>
        <w:tc>
          <w:tcPr>
            <w:tcW w:type="dxa" w:w="5112"/>
            <w:vAlign w:val="center"/>
          </w:tcPr>
          <w:p>
            <w:r/>
            <w:r>
              <w:rPr>
                <w:b w:val="0"/>
                <w:sz w:val="18"/>
              </w:rPr>
              <w:t>357</w:t>
            </w:r>
          </w:p>
        </w:tc>
      </w:tr>
    </w:tbl>
    <w:p>
      <w:r>
        <w:drawing>
          <wp:inline xmlns:a="http://schemas.openxmlformats.org/drawingml/2006/main" xmlns:pic="http://schemas.openxmlformats.org/drawingml/2006/picture">
            <wp:extent cx="5394960" cy="3296920"/>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394960" cy="3296920"/>
                    </a:xfrm>
                    <a:prstGeom prst="rect"/>
                  </pic:spPr>
                </pic:pic>
              </a:graphicData>
            </a:graphic>
          </wp:inline>
        </w:drawing>
      </w:r>
    </w:p>
    <w:p>
      <w:pPr>
        <w:jc w:val="center"/>
      </w:pPr>
      <w:r>
        <w:t>Figure 1. Target class distribution in the complete dataset.</w:t>
      </w:r>
    </w:p>
    <w:p>
      <w:pPr>
        <w:pStyle w:val="Heading1"/>
      </w:pPr>
      <w:r>
        <w:t>3. Data Preprocessing</w:t>
      </w:r>
    </w:p>
    <w:p>
      <w:r>
        <w:t>The target was separated from the 30 predictive features. A stratified 80/20 train-test split was performed with random_state=42. Stratification preserves approximately the same class proportions in both subsets. The test set was held back until final evaluation. For Logistic Regression and SVM, StandardScaler was placed inside a Pipeline so scaling parameters are learned separately within each training fold during cross-validation; this reduces data leakage risk.</w:t>
      </w:r>
    </w:p>
    <w:p>
      <w:pPr>
        <w:pStyle w:val="Heading1"/>
      </w:pPr>
      <w:r>
        <w:t>4. Model Selection and Justification</w:t>
      </w:r>
    </w:p>
    <w:p>
      <w:r>
        <w:t>Four algorithms were compared on the training data using identical 5-fold StratifiedKFold validation: Logistic Regression, Decision Tree, SVM, and Random Forest. F1-score was selected as the primary selection metric because it balances precision and recall. Accuracy, precision, recall, and ROC-AUC were retained as supporting measures.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sz w:val="18"/>
              </w:rPr>
              <w:t>Model</w:t>
            </w:r>
          </w:p>
        </w:tc>
        <w:tc>
          <w:tcPr>
            <w:tcW w:type="dxa" w:w="3408"/>
            <w:vAlign w:val="center"/>
            <w:shd w:fill="1F4E79"/>
          </w:tcPr>
          <w:p>
            <w:r/>
            <w:r>
              <w:rPr>
                <w:b/>
                <w:sz w:val="18"/>
              </w:rPr>
              <w:t>Mean CV F1</w:t>
            </w:r>
          </w:p>
        </w:tc>
        <w:tc>
          <w:tcPr>
            <w:tcW w:type="dxa" w:w="3408"/>
            <w:vAlign w:val="center"/>
            <w:shd w:fill="1F4E79"/>
          </w:tcPr>
          <w:p>
            <w:r/>
            <w:r>
              <w:rPr>
                <w:b/>
                <w:sz w:val="18"/>
              </w:rPr>
              <w:t>Mean CV ROC-AUC</w:t>
            </w:r>
          </w:p>
        </w:tc>
      </w:tr>
      <w:tr>
        <w:tc>
          <w:tcPr>
            <w:tcW w:type="dxa" w:w="3408"/>
            <w:vAlign w:val="center"/>
          </w:tcPr>
          <w:p>
            <w:r/>
            <w:r>
              <w:rPr>
                <w:b w:val="0"/>
                <w:sz w:val="18"/>
              </w:rPr>
              <w:t>Logistic Regression</w:t>
            </w:r>
          </w:p>
        </w:tc>
        <w:tc>
          <w:tcPr>
            <w:tcW w:type="dxa" w:w="3408"/>
            <w:vAlign w:val="center"/>
          </w:tcPr>
          <w:p>
            <w:r/>
            <w:r>
              <w:rPr>
                <w:b w:val="0"/>
                <w:sz w:val="18"/>
              </w:rPr>
              <w:t>0.9825 +/- 0.0078</w:t>
            </w:r>
          </w:p>
        </w:tc>
        <w:tc>
          <w:tcPr>
            <w:tcW w:type="dxa" w:w="3408"/>
            <w:vAlign w:val="center"/>
          </w:tcPr>
          <w:p>
            <w:r/>
            <w:r>
              <w:rPr>
                <w:b w:val="0"/>
                <w:sz w:val="18"/>
              </w:rPr>
              <w:t>0.9959 +/- 0.0050</w:t>
            </w:r>
          </w:p>
        </w:tc>
      </w:tr>
      <w:tr>
        <w:tc>
          <w:tcPr>
            <w:tcW w:type="dxa" w:w="3408"/>
            <w:vAlign w:val="center"/>
          </w:tcPr>
          <w:p>
            <w:r/>
            <w:r>
              <w:rPr>
                <w:b w:val="0"/>
                <w:sz w:val="18"/>
              </w:rPr>
              <w:t>SVM</w:t>
            </w:r>
          </w:p>
        </w:tc>
        <w:tc>
          <w:tcPr>
            <w:tcW w:type="dxa" w:w="3408"/>
            <w:vAlign w:val="center"/>
          </w:tcPr>
          <w:p>
            <w:r/>
            <w:r>
              <w:rPr>
                <w:b w:val="0"/>
                <w:sz w:val="18"/>
              </w:rPr>
              <w:t>0.9756 +/- 0.0113</w:t>
            </w:r>
          </w:p>
        </w:tc>
        <w:tc>
          <w:tcPr>
            <w:tcW w:type="dxa" w:w="3408"/>
            <w:vAlign w:val="center"/>
          </w:tcPr>
          <w:p>
            <w:r/>
            <w:r>
              <w:rPr>
                <w:b w:val="0"/>
                <w:sz w:val="18"/>
              </w:rPr>
              <w:t>0.9956 +/- 0.0048</w:t>
            </w:r>
          </w:p>
        </w:tc>
      </w:tr>
      <w:tr>
        <w:tc>
          <w:tcPr>
            <w:tcW w:type="dxa" w:w="3408"/>
            <w:vAlign w:val="center"/>
          </w:tcPr>
          <w:p>
            <w:r/>
            <w:r>
              <w:rPr>
                <w:b w:val="0"/>
                <w:sz w:val="18"/>
              </w:rPr>
              <w:t>Random Forest</w:t>
            </w:r>
          </w:p>
        </w:tc>
        <w:tc>
          <w:tcPr>
            <w:tcW w:type="dxa" w:w="3408"/>
            <w:vAlign w:val="center"/>
          </w:tcPr>
          <w:p>
            <w:r/>
            <w:r>
              <w:rPr>
                <w:b w:val="0"/>
                <w:sz w:val="18"/>
              </w:rPr>
              <w:t>0.9699 +/- 0.0146</w:t>
            </w:r>
          </w:p>
        </w:tc>
        <w:tc>
          <w:tcPr>
            <w:tcW w:type="dxa" w:w="3408"/>
            <w:vAlign w:val="center"/>
          </w:tcPr>
          <w:p>
            <w:r/>
            <w:r>
              <w:rPr>
                <w:b w:val="0"/>
                <w:sz w:val="18"/>
              </w:rPr>
              <w:t>0.9896 +/- 0.0083</w:t>
            </w:r>
          </w:p>
        </w:tc>
      </w:tr>
      <w:tr>
        <w:tc>
          <w:tcPr>
            <w:tcW w:type="dxa" w:w="3408"/>
            <w:vAlign w:val="center"/>
          </w:tcPr>
          <w:p>
            <w:r/>
            <w:r>
              <w:rPr>
                <w:b w:val="0"/>
                <w:sz w:val="18"/>
              </w:rPr>
              <w:t>Decision Tree</w:t>
            </w:r>
          </w:p>
        </w:tc>
        <w:tc>
          <w:tcPr>
            <w:tcW w:type="dxa" w:w="3408"/>
            <w:vAlign w:val="center"/>
          </w:tcPr>
          <w:p>
            <w:r/>
            <w:r>
              <w:rPr>
                <w:b w:val="0"/>
                <w:sz w:val="18"/>
              </w:rPr>
              <w:t>0.9319 +/- 0.0144</w:t>
            </w:r>
          </w:p>
        </w:tc>
        <w:tc>
          <w:tcPr>
            <w:tcW w:type="dxa" w:w="3408"/>
            <w:vAlign w:val="center"/>
          </w:tcPr>
          <w:p>
            <w:r/>
            <w:r>
              <w:rPr>
                <w:b w:val="0"/>
                <w:sz w:val="18"/>
              </w:rPr>
              <w:t>0.9179 +/- 0.0201</w:t>
            </w:r>
          </w:p>
        </w:tc>
      </w:tr>
    </w:tbl>
    <w:p>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02_model_comparison.png"/>
                    <pic:cNvPicPr/>
                  </pic:nvPicPr>
                  <pic:blipFill>
                    <a:blip r:embed="rId10"/>
                    <a:stretch>
                      <a:fillRect/>
                    </a:stretch>
                  </pic:blipFill>
                  <pic:spPr>
                    <a:xfrm>
                      <a:off x="0" y="0"/>
                      <a:ext cx="5669280" cy="3401568"/>
                    </a:xfrm>
                    <a:prstGeom prst="rect"/>
                  </pic:spPr>
                </pic:pic>
              </a:graphicData>
            </a:graphic>
          </wp:inline>
        </w:drawing>
      </w:r>
    </w:p>
    <w:p>
      <w:pPr>
        <w:jc w:val="center"/>
      </w:pPr>
      <w:r>
        <w:t>Figure 2. Baseline model comparison using mean F1-score across five stratified folds.</w:t>
      </w:r>
    </w:p>
    <w:p>
      <w:pPr>
        <w:pStyle w:val="Heading1"/>
      </w:pPr>
      <w:r>
        <w:t>5. Cross-Validation and Hyperparameter Tuning</w:t>
      </w:r>
    </w:p>
    <w:p>
      <w:r>
        <w:t>The best baseline by mean cross-validated F1-score was Logistic Regression. A GridSearchCV search was then carried out over C values [0.01, 0.1, 1, 10, 100] and L1/L2 regularization, using the liblinear solver. Five-fold stratified cross-validation was retained throughout. Because the grid search was fitted only to the training data, the test set remained independent for final evaluation.</w:t>
      </w:r>
    </w:p>
    <w:p>
      <w:r>
        <w:t>Best parameters found: {'model__C': 0.1, 'model__penalty': 'l2', 'model__solver': 'liblinear'}</w:t>
      </w:r>
    </w:p>
    <w:p>
      <w:r>
        <w:t>Best mean cross-validated F1-score: 0.9861</w:t>
      </w:r>
    </w:p>
    <w:p>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03_gridsearch.png"/>
                    <pic:cNvPicPr/>
                  </pic:nvPicPr>
                  <pic:blipFill>
                    <a:blip r:embed="rId11"/>
                    <a:stretch>
                      <a:fillRect/>
                    </a:stretch>
                  </pic:blipFill>
                  <pic:spPr>
                    <a:xfrm>
                      <a:off x="0" y="0"/>
                      <a:ext cx="5669280" cy="3401568"/>
                    </a:xfrm>
                    <a:prstGeom prst="rect"/>
                  </pic:spPr>
                </pic:pic>
              </a:graphicData>
            </a:graphic>
          </wp:inline>
        </w:drawing>
      </w:r>
    </w:p>
    <w:p>
      <w:pPr>
        <w:jc w:val="center"/>
      </w:pPr>
      <w:r>
        <w:t>Figure 3. Top hyperparameter configurations ranked by mean CV F1-score.</w:t>
      </w:r>
    </w:p>
    <w:p>
      <w:pPr>
        <w:pStyle w:val="Heading1"/>
      </w:pPr>
      <w:r>
        <w:t>6. Final Test Evaluation</w:t>
      </w:r>
    </w:p>
    <w:p>
      <w:r>
        <w:t>After selecting the best hyperparameters, the final pipeline was evaluated on the untouched 20% holdout test set. The following metrics were calculated: accuracy, precision, recall, F1-score, and ROC-AUC.</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sz w:val="18"/>
              </w:rPr>
              <w:t>Metric</w:t>
            </w:r>
          </w:p>
        </w:tc>
        <w:tc>
          <w:tcPr>
            <w:tcW w:type="dxa" w:w="5112"/>
            <w:vAlign w:val="center"/>
            <w:shd w:fill="1F4E79"/>
          </w:tcPr>
          <w:p>
            <w:r/>
            <w:r>
              <w:rPr>
                <w:b/>
                <w:sz w:val="18"/>
              </w:rPr>
              <w:t>Test-set result</w:t>
            </w:r>
          </w:p>
        </w:tc>
      </w:tr>
      <w:tr>
        <w:tc>
          <w:tcPr>
            <w:tcW w:type="dxa" w:w="5112"/>
            <w:vAlign w:val="center"/>
          </w:tcPr>
          <w:p>
            <w:r/>
            <w:r>
              <w:rPr>
                <w:b w:val="0"/>
                <w:sz w:val="18"/>
              </w:rPr>
              <w:t>Accuracy</w:t>
            </w:r>
          </w:p>
        </w:tc>
        <w:tc>
          <w:tcPr>
            <w:tcW w:type="dxa" w:w="5112"/>
            <w:vAlign w:val="center"/>
          </w:tcPr>
          <w:p>
            <w:r/>
            <w:r>
              <w:rPr>
                <w:b w:val="0"/>
                <w:sz w:val="18"/>
              </w:rPr>
              <w:t>0.9825</w:t>
            </w:r>
          </w:p>
        </w:tc>
      </w:tr>
      <w:tr>
        <w:tc>
          <w:tcPr>
            <w:tcW w:type="dxa" w:w="5112"/>
            <w:vAlign w:val="center"/>
          </w:tcPr>
          <w:p>
            <w:r/>
            <w:r>
              <w:rPr>
                <w:b w:val="0"/>
                <w:sz w:val="18"/>
              </w:rPr>
              <w:t>Precision</w:t>
            </w:r>
          </w:p>
        </w:tc>
        <w:tc>
          <w:tcPr>
            <w:tcW w:type="dxa" w:w="5112"/>
            <w:vAlign w:val="center"/>
          </w:tcPr>
          <w:p>
            <w:r/>
            <w:r>
              <w:rPr>
                <w:b w:val="0"/>
                <w:sz w:val="18"/>
              </w:rPr>
              <w:t>0.9861</w:t>
            </w:r>
          </w:p>
        </w:tc>
      </w:tr>
      <w:tr>
        <w:tc>
          <w:tcPr>
            <w:tcW w:type="dxa" w:w="5112"/>
            <w:vAlign w:val="center"/>
          </w:tcPr>
          <w:p>
            <w:r/>
            <w:r>
              <w:rPr>
                <w:b w:val="0"/>
                <w:sz w:val="18"/>
              </w:rPr>
              <w:t>Recall</w:t>
            </w:r>
          </w:p>
        </w:tc>
        <w:tc>
          <w:tcPr>
            <w:tcW w:type="dxa" w:w="5112"/>
            <w:vAlign w:val="center"/>
          </w:tcPr>
          <w:p>
            <w:r/>
            <w:r>
              <w:rPr>
                <w:b w:val="0"/>
                <w:sz w:val="18"/>
              </w:rPr>
              <w:t>0.9861</w:t>
            </w:r>
          </w:p>
        </w:tc>
      </w:tr>
      <w:tr>
        <w:tc>
          <w:tcPr>
            <w:tcW w:type="dxa" w:w="5112"/>
            <w:vAlign w:val="center"/>
          </w:tcPr>
          <w:p>
            <w:r/>
            <w:r>
              <w:rPr>
                <w:b w:val="0"/>
                <w:sz w:val="18"/>
              </w:rPr>
              <w:t>F1-Score</w:t>
            </w:r>
          </w:p>
        </w:tc>
        <w:tc>
          <w:tcPr>
            <w:tcW w:type="dxa" w:w="5112"/>
            <w:vAlign w:val="center"/>
          </w:tcPr>
          <w:p>
            <w:r/>
            <w:r>
              <w:rPr>
                <w:b w:val="0"/>
                <w:sz w:val="18"/>
              </w:rPr>
              <w:t>0.9861</w:t>
            </w:r>
          </w:p>
        </w:tc>
      </w:tr>
      <w:tr>
        <w:tc>
          <w:tcPr>
            <w:tcW w:type="dxa" w:w="5112"/>
            <w:vAlign w:val="center"/>
          </w:tcPr>
          <w:p>
            <w:r/>
            <w:r>
              <w:rPr>
                <w:b w:val="0"/>
                <w:sz w:val="18"/>
              </w:rPr>
              <w:t>ROC-AUC</w:t>
            </w:r>
          </w:p>
        </w:tc>
        <w:tc>
          <w:tcPr>
            <w:tcW w:type="dxa" w:w="5112"/>
            <w:vAlign w:val="center"/>
          </w:tcPr>
          <w:p>
            <w:r/>
            <w:r>
              <w:rPr>
                <w:b w:val="0"/>
                <w:sz w:val="18"/>
              </w:rPr>
              <w:t>0.9960</w:t>
            </w:r>
          </w:p>
        </w:tc>
      </w:tr>
    </w:tbl>
    <w:p>
      <w:r>
        <w:t>The tuned Logistic Regression achieved a holdout accuracy of 98.25%, precision of 98.61%, recall of 98.61%, F1-score of 98.61%, and ROC-AUC of 0.9960. These values describe performance on this benchmark dataset and should not be generalized to other populations without external validation.</w:t>
      </w:r>
    </w:p>
    <w:p>
      <w:r>
        <w:drawing>
          <wp:inline xmlns:a="http://schemas.openxmlformats.org/drawingml/2006/main" xmlns:pic="http://schemas.openxmlformats.org/drawingml/2006/picture">
            <wp:extent cx="4480560" cy="3844294"/>
            <wp:docPr id="4" name="Picture 4"/>
            <wp:cNvGraphicFramePr>
              <a:graphicFrameLocks noChangeAspect="1"/>
            </wp:cNvGraphicFramePr>
            <a:graphic>
              <a:graphicData uri="http://schemas.openxmlformats.org/drawingml/2006/picture">
                <pic:pic>
                  <pic:nvPicPr>
                    <pic:cNvPr id="0" name="04_confusion_matrix.png"/>
                    <pic:cNvPicPr/>
                  </pic:nvPicPr>
                  <pic:blipFill>
                    <a:blip r:embed="rId12"/>
                    <a:stretch>
                      <a:fillRect/>
                    </a:stretch>
                  </pic:blipFill>
                  <pic:spPr>
                    <a:xfrm>
                      <a:off x="0" y="0"/>
                      <a:ext cx="4480560" cy="3844294"/>
                    </a:xfrm>
                    <a:prstGeom prst="rect"/>
                  </pic:spPr>
                </pic:pic>
              </a:graphicData>
            </a:graphic>
          </wp:inline>
        </w:drawing>
      </w:r>
    </w:p>
    <w:p>
      <w:pPr>
        <w:jc w:val="center"/>
      </w:pPr>
      <w:r>
        <w:t>Figure 4. Confusion matrix on the holdout test set.</w:t>
      </w:r>
    </w:p>
    <w:p>
      <w:r>
        <w:drawing>
          <wp:inline xmlns:a="http://schemas.openxmlformats.org/drawingml/2006/main" xmlns:pic="http://schemas.openxmlformats.org/drawingml/2006/picture">
            <wp:extent cx="5212080" cy="3909060"/>
            <wp:docPr id="5" name="Picture 5"/>
            <wp:cNvGraphicFramePr>
              <a:graphicFrameLocks noChangeAspect="1"/>
            </wp:cNvGraphicFramePr>
            <a:graphic>
              <a:graphicData uri="http://schemas.openxmlformats.org/drawingml/2006/picture">
                <pic:pic>
                  <pic:nvPicPr>
                    <pic:cNvPr id="0" name="05_roc_curve.png"/>
                    <pic:cNvPicPr/>
                  </pic:nvPicPr>
                  <pic:blipFill>
                    <a:blip r:embed="rId13"/>
                    <a:stretch>
                      <a:fillRect/>
                    </a:stretch>
                  </pic:blipFill>
                  <pic:spPr>
                    <a:xfrm>
                      <a:off x="0" y="0"/>
                      <a:ext cx="5212080" cy="3909060"/>
                    </a:xfrm>
                    <a:prstGeom prst="rect"/>
                  </pic:spPr>
                </pic:pic>
              </a:graphicData>
            </a:graphic>
          </wp:inline>
        </w:drawing>
      </w:r>
    </w:p>
    <w:p>
      <w:pPr>
        <w:jc w:val="center"/>
      </w:pPr>
      <w:r>
        <w:t>Figure 5. ROC curve for the final tuned classifier.</w:t>
      </w:r>
    </w:p>
    <w:p>
      <w:r>
        <w:t>Confusion-matrix counts: true negatives = 41, false positives = 1, false negatives = 1, true positives = 71. Precision measures the proportion of predicted benign cases that were actually benign, while recall measures the proportion of actual benign cases correctly identified under the project label encoding.</w:t>
      </w:r>
    </w:p>
    <w:p>
      <w:pPr>
        <w:pStyle w:val="Heading1"/>
      </w:pPr>
      <w:r>
        <w:t>7. Predictive Interpretation</w:t>
      </w:r>
    </w:p>
    <w:p>
      <w:r>
        <w:t>The model combines 30 standardized numeric measurements. Coefficients provide an interpretable linear contribution for each feature after standardization. Large absolute coefficients indicate features that the fitted model used more strongly in separating the two classes. These coefficients represent model associations on this dataset and are not causal or clinical findings.</w:t>
      </w:r>
    </w:p>
    <w:p>
      <w:r>
        <w:drawing>
          <wp:inline xmlns:a="http://schemas.openxmlformats.org/drawingml/2006/main" xmlns:pic="http://schemas.openxmlformats.org/drawingml/2006/picture">
            <wp:extent cx="5577840" cy="3834765"/>
            <wp:docPr id="6" name="Picture 6"/>
            <wp:cNvGraphicFramePr>
              <a:graphicFrameLocks noChangeAspect="1"/>
            </wp:cNvGraphicFramePr>
            <a:graphic>
              <a:graphicData uri="http://schemas.openxmlformats.org/drawingml/2006/picture">
                <pic:pic>
                  <pic:nvPicPr>
                    <pic:cNvPr id="0" name="06_feature_coefficients.png"/>
                    <pic:cNvPicPr/>
                  </pic:nvPicPr>
                  <pic:blipFill>
                    <a:blip r:embed="rId14"/>
                    <a:stretch>
                      <a:fillRect/>
                    </a:stretch>
                  </pic:blipFill>
                  <pic:spPr>
                    <a:xfrm>
                      <a:off x="0" y="0"/>
                      <a:ext cx="5577840" cy="3834765"/>
                    </a:xfrm>
                    <a:prstGeom prst="rect"/>
                  </pic:spPr>
                </pic:pic>
              </a:graphicData>
            </a:graphic>
          </wp:inline>
        </w:drawing>
      </w:r>
    </w:p>
    <w:p>
      <w:pPr>
        <w:jc w:val="center"/>
      </w:pPr>
      <w:r>
        <w:t>Figure 6. Twelve features with the largest absolute Logistic Regression coefficients.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sz w:val="18"/>
              </w:rPr>
              <w:t>Feature</w:t>
            </w:r>
          </w:p>
        </w:tc>
        <w:tc>
          <w:tcPr>
            <w:tcW w:type="dxa" w:w="3408"/>
            <w:vAlign w:val="center"/>
            <w:shd w:fill="1F4E79"/>
          </w:tcPr>
          <w:p>
            <w:r/>
            <w:r>
              <w:rPr>
                <w:b/>
                <w:sz w:val="18"/>
              </w:rPr>
              <w:t>Coefficient</w:t>
            </w:r>
          </w:p>
        </w:tc>
        <w:tc>
          <w:tcPr>
            <w:tcW w:type="dxa" w:w="3408"/>
            <w:vAlign w:val="center"/>
            <w:shd w:fill="1F4E79"/>
          </w:tcPr>
          <w:p>
            <w:r/>
            <w:r>
              <w:rPr>
                <w:b/>
                <w:sz w:val="18"/>
              </w:rPr>
              <w:t>Absolute magnitude</w:t>
            </w:r>
          </w:p>
        </w:tc>
      </w:tr>
      <w:tr>
        <w:tc>
          <w:tcPr>
            <w:tcW w:type="dxa" w:w="3408"/>
            <w:vAlign w:val="center"/>
          </w:tcPr>
          <w:p>
            <w:r/>
            <w:r>
              <w:rPr>
                <w:b w:val="0"/>
                <w:sz w:val="18"/>
              </w:rPr>
              <w:t>worst texture</w:t>
            </w:r>
          </w:p>
        </w:tc>
        <w:tc>
          <w:tcPr>
            <w:tcW w:type="dxa" w:w="3408"/>
            <w:vAlign w:val="center"/>
          </w:tcPr>
          <w:p>
            <w:r/>
            <w:r>
              <w:rPr>
                <w:b w:val="0"/>
                <w:sz w:val="18"/>
              </w:rPr>
              <w:t>-0.5486</w:t>
            </w:r>
          </w:p>
        </w:tc>
        <w:tc>
          <w:tcPr>
            <w:tcW w:type="dxa" w:w="3408"/>
            <w:vAlign w:val="center"/>
          </w:tcPr>
          <w:p>
            <w:r/>
            <w:r>
              <w:rPr>
                <w:b w:val="0"/>
                <w:sz w:val="18"/>
              </w:rPr>
              <w:t>0.5486</w:t>
            </w:r>
          </w:p>
        </w:tc>
      </w:tr>
      <w:tr>
        <w:tc>
          <w:tcPr>
            <w:tcW w:type="dxa" w:w="3408"/>
            <w:vAlign w:val="center"/>
          </w:tcPr>
          <w:p>
            <w:r/>
            <w:r>
              <w:rPr>
                <w:b w:val="0"/>
                <w:sz w:val="18"/>
              </w:rPr>
              <w:t>worst radius</w:t>
            </w:r>
          </w:p>
        </w:tc>
        <w:tc>
          <w:tcPr>
            <w:tcW w:type="dxa" w:w="3408"/>
            <w:vAlign w:val="center"/>
          </w:tcPr>
          <w:p>
            <w:r/>
            <w:r>
              <w:rPr>
                <w:b w:val="0"/>
                <w:sz w:val="18"/>
              </w:rPr>
              <w:t>-0.5156</w:t>
            </w:r>
          </w:p>
        </w:tc>
        <w:tc>
          <w:tcPr>
            <w:tcW w:type="dxa" w:w="3408"/>
            <w:vAlign w:val="center"/>
          </w:tcPr>
          <w:p>
            <w:r/>
            <w:r>
              <w:rPr>
                <w:b w:val="0"/>
                <w:sz w:val="18"/>
              </w:rPr>
              <w:t>0.5156</w:t>
            </w:r>
          </w:p>
        </w:tc>
      </w:tr>
      <w:tr>
        <w:tc>
          <w:tcPr>
            <w:tcW w:type="dxa" w:w="3408"/>
            <w:vAlign w:val="center"/>
          </w:tcPr>
          <w:p>
            <w:r/>
            <w:r>
              <w:rPr>
                <w:b w:val="0"/>
                <w:sz w:val="18"/>
              </w:rPr>
              <w:t>worst concave points</w:t>
            </w:r>
          </w:p>
        </w:tc>
        <w:tc>
          <w:tcPr>
            <w:tcW w:type="dxa" w:w="3408"/>
            <w:vAlign w:val="center"/>
          </w:tcPr>
          <w:p>
            <w:r/>
            <w:r>
              <w:rPr>
                <w:b w:val="0"/>
                <w:sz w:val="18"/>
              </w:rPr>
              <w:t>-0.4968</w:t>
            </w:r>
          </w:p>
        </w:tc>
        <w:tc>
          <w:tcPr>
            <w:tcW w:type="dxa" w:w="3408"/>
            <w:vAlign w:val="center"/>
          </w:tcPr>
          <w:p>
            <w:r/>
            <w:r>
              <w:rPr>
                <w:b w:val="0"/>
                <w:sz w:val="18"/>
              </w:rPr>
              <w:t>0.4968</w:t>
            </w:r>
          </w:p>
        </w:tc>
      </w:tr>
      <w:tr>
        <w:tc>
          <w:tcPr>
            <w:tcW w:type="dxa" w:w="3408"/>
            <w:vAlign w:val="center"/>
          </w:tcPr>
          <w:p>
            <w:r/>
            <w:r>
              <w:rPr>
                <w:b w:val="0"/>
                <w:sz w:val="18"/>
              </w:rPr>
              <w:t>worst area</w:t>
            </w:r>
          </w:p>
        </w:tc>
        <w:tc>
          <w:tcPr>
            <w:tcW w:type="dxa" w:w="3408"/>
            <w:vAlign w:val="center"/>
          </w:tcPr>
          <w:p>
            <w:r/>
            <w:r>
              <w:rPr>
                <w:b w:val="0"/>
                <w:sz w:val="18"/>
              </w:rPr>
              <w:t>-0.4957</w:t>
            </w:r>
          </w:p>
        </w:tc>
        <w:tc>
          <w:tcPr>
            <w:tcW w:type="dxa" w:w="3408"/>
            <w:vAlign w:val="center"/>
          </w:tcPr>
          <w:p>
            <w:r/>
            <w:r>
              <w:rPr>
                <w:b w:val="0"/>
                <w:sz w:val="18"/>
              </w:rPr>
              <w:t>0.4957</w:t>
            </w:r>
          </w:p>
        </w:tc>
      </w:tr>
      <w:tr>
        <w:tc>
          <w:tcPr>
            <w:tcW w:type="dxa" w:w="3408"/>
            <w:vAlign w:val="center"/>
          </w:tcPr>
          <w:p>
            <w:r/>
            <w:r>
              <w:rPr>
                <w:b w:val="0"/>
                <w:sz w:val="18"/>
              </w:rPr>
              <w:t>worst perimeter</w:t>
            </w:r>
          </w:p>
        </w:tc>
        <w:tc>
          <w:tcPr>
            <w:tcW w:type="dxa" w:w="3408"/>
            <w:vAlign w:val="center"/>
          </w:tcPr>
          <w:p>
            <w:r/>
            <w:r>
              <w:rPr>
                <w:b w:val="0"/>
                <w:sz w:val="18"/>
              </w:rPr>
              <w:t>-0.4728</w:t>
            </w:r>
          </w:p>
        </w:tc>
        <w:tc>
          <w:tcPr>
            <w:tcW w:type="dxa" w:w="3408"/>
            <w:vAlign w:val="center"/>
          </w:tcPr>
          <w:p>
            <w:r/>
            <w:r>
              <w:rPr>
                <w:b w:val="0"/>
                <w:sz w:val="18"/>
              </w:rPr>
              <w:t>0.4728</w:t>
            </w:r>
          </w:p>
        </w:tc>
      </w:tr>
      <w:tr>
        <w:tc>
          <w:tcPr>
            <w:tcW w:type="dxa" w:w="3408"/>
            <w:vAlign w:val="center"/>
          </w:tcPr>
          <w:p>
            <w:r/>
            <w:r>
              <w:rPr>
                <w:b w:val="0"/>
                <w:sz w:val="18"/>
              </w:rPr>
              <w:t>radius error</w:t>
            </w:r>
          </w:p>
        </w:tc>
        <w:tc>
          <w:tcPr>
            <w:tcW w:type="dxa" w:w="3408"/>
            <w:vAlign w:val="center"/>
          </w:tcPr>
          <w:p>
            <w:r/>
            <w:r>
              <w:rPr>
                <w:b w:val="0"/>
                <w:sz w:val="18"/>
              </w:rPr>
              <w:t>-0.4590</w:t>
            </w:r>
          </w:p>
        </w:tc>
        <w:tc>
          <w:tcPr>
            <w:tcW w:type="dxa" w:w="3408"/>
            <w:vAlign w:val="center"/>
          </w:tcPr>
          <w:p>
            <w:r/>
            <w:r>
              <w:rPr>
                <w:b w:val="0"/>
                <w:sz w:val="18"/>
              </w:rPr>
              <w:t>0.4590</w:t>
            </w:r>
          </w:p>
        </w:tc>
      </w:tr>
      <w:tr>
        <w:tc>
          <w:tcPr>
            <w:tcW w:type="dxa" w:w="3408"/>
            <w:vAlign w:val="center"/>
          </w:tcPr>
          <w:p>
            <w:r/>
            <w:r>
              <w:rPr>
                <w:b w:val="0"/>
                <w:sz w:val="18"/>
              </w:rPr>
              <w:t>mean texture</w:t>
            </w:r>
          </w:p>
        </w:tc>
        <w:tc>
          <w:tcPr>
            <w:tcW w:type="dxa" w:w="3408"/>
            <w:vAlign w:val="center"/>
          </w:tcPr>
          <w:p>
            <w:r/>
            <w:r>
              <w:rPr>
                <w:b w:val="0"/>
                <w:sz w:val="18"/>
              </w:rPr>
              <w:t>-0.4280</w:t>
            </w:r>
          </w:p>
        </w:tc>
        <w:tc>
          <w:tcPr>
            <w:tcW w:type="dxa" w:w="3408"/>
            <w:vAlign w:val="center"/>
          </w:tcPr>
          <w:p>
            <w:r/>
            <w:r>
              <w:rPr>
                <w:b w:val="0"/>
                <w:sz w:val="18"/>
              </w:rPr>
              <w:t>0.4280</w:t>
            </w:r>
          </w:p>
        </w:tc>
      </w:tr>
      <w:tr>
        <w:tc>
          <w:tcPr>
            <w:tcW w:type="dxa" w:w="3408"/>
            <w:vAlign w:val="center"/>
          </w:tcPr>
          <w:p>
            <w:r/>
            <w:r>
              <w:rPr>
                <w:b w:val="0"/>
                <w:sz w:val="18"/>
              </w:rPr>
              <w:t>mean concave points</w:t>
            </w:r>
          </w:p>
        </w:tc>
        <w:tc>
          <w:tcPr>
            <w:tcW w:type="dxa" w:w="3408"/>
            <w:vAlign w:val="center"/>
          </w:tcPr>
          <w:p>
            <w:r/>
            <w:r>
              <w:rPr>
                <w:b w:val="0"/>
                <w:sz w:val="18"/>
              </w:rPr>
              <w:t>-0.4138</w:t>
            </w:r>
          </w:p>
        </w:tc>
        <w:tc>
          <w:tcPr>
            <w:tcW w:type="dxa" w:w="3408"/>
            <w:vAlign w:val="center"/>
          </w:tcPr>
          <w:p>
            <w:r/>
            <w:r>
              <w:rPr>
                <w:b w:val="0"/>
                <w:sz w:val="18"/>
              </w:rPr>
              <w:t>0.4138</w:t>
            </w:r>
          </w:p>
        </w:tc>
      </w:tr>
    </w:tbl>
    <w:p>
      <w:pPr>
        <w:pStyle w:val="Heading1"/>
      </w:pPr>
      <w:r>
        <w:t>8. Strengths and Weaknesses</w:t>
      </w:r>
    </w:p>
    <w:p>
      <w:r>
        <w:t>Strengths: the workflow uses stratified cross-validation, a clearly separated holdout test set, pipeline-based preprocessing, explicit hyperparameter search, multiple evaluation metrics, and coefficient-based interpretation. These choices improve reproducibility and reduce the risk of optimistic evaluation.</w:t>
      </w:r>
    </w:p>
    <w:p>
      <w:r>
        <w:t>Weaknesses: Logistic Regression models a linear decision function and may miss complex nonlinear interactions. The benchmark is relatively small and may not represent all populations, acquisition protocols, or real-world workflows. A single holdout split gives one generalization estimate; external validation and nested cross-validation would provide stronger evidence for deployment. The dataset is educational/benchmark data and the resulting model must not be treated as a clinical diagnostic tool.</w:t>
      </w:r>
    </w:p>
    <w:p>
      <w:pPr>
        <w:pStyle w:val="Heading1"/>
      </w:pPr>
      <w:r>
        <w:t>9. Reproducibility and Implementation Notes</w:t>
      </w:r>
    </w:p>
    <w:p>
      <w:pPr>
        <w:pStyle w:val="ListBullet"/>
      </w:pPr>
      <w:r>
        <w:t>Random seed fixed at 42 for repeatable splitting and model initialization.</w:t>
      </w:r>
    </w:p>
    <w:p>
      <w:pPr>
        <w:pStyle w:val="ListBullet"/>
      </w:pPr>
      <w:r>
        <w:t>Stratified 80/20 train-test split preserves class proportions.</w:t>
      </w:r>
    </w:p>
    <w:p>
      <w:pPr>
        <w:pStyle w:val="ListBullet"/>
      </w:pPr>
      <w:r>
        <w:t>Five-fold StratifiedKFold is used for model comparison and hyperparameter tuning.</w:t>
      </w:r>
    </w:p>
    <w:p>
      <w:pPr>
        <w:pStyle w:val="ListBullet"/>
      </w:pPr>
      <w:r>
        <w:t>Scaling is embedded in a Pipeline and is therefore learned only from the relevant training data within each fold.</w:t>
      </w:r>
    </w:p>
    <w:p>
      <w:pPr>
        <w:pStyle w:val="ListBullet"/>
      </w:pPr>
      <w:r>
        <w:t>The test set is used only after model selection and tuning.</w:t>
      </w:r>
    </w:p>
    <w:p>
      <w:pPr>
        <w:pStyle w:val="ListBullet"/>
      </w:pPr>
      <w:r>
        <w:t>The project includes notebook code, saved metrics, predictions, coefficients, figures and requirements for reproduction.</w:t>
      </w:r>
    </w:p>
    <w:p>
      <w:pPr>
        <w:pStyle w:val="Heading1"/>
      </w:pPr>
      <w:r>
        <w:t>10. Evaluation Criteria Coverage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sz w:val="18"/>
              </w:rPr>
              <w:t>Rubric requirement</w:t>
            </w:r>
          </w:p>
        </w:tc>
        <w:tc>
          <w:tcPr>
            <w:tcW w:type="dxa" w:w="5112"/>
            <w:vAlign w:val="center"/>
            <w:shd w:fill="1F4E79"/>
          </w:tcPr>
          <w:p>
            <w:r/>
            <w:r>
              <w:rPr>
                <w:b/>
                <w:sz w:val="18"/>
              </w:rPr>
              <w:t>Where it is demonstrated</w:t>
            </w:r>
          </w:p>
        </w:tc>
      </w:tr>
      <w:tr>
        <w:tc>
          <w:tcPr>
            <w:tcW w:type="dxa" w:w="5112"/>
            <w:vAlign w:val="center"/>
          </w:tcPr>
          <w:p>
            <w:r/>
            <w:r>
              <w:rPr>
                <w:b w:val="0"/>
                <w:sz w:val="18"/>
              </w:rPr>
              <w:t>Appropriate algorithm selection and justification</w:t>
            </w:r>
          </w:p>
        </w:tc>
        <w:tc>
          <w:tcPr>
            <w:tcW w:type="dxa" w:w="5112"/>
            <w:vAlign w:val="center"/>
          </w:tcPr>
          <w:p>
            <w:r/>
            <w:r>
              <w:rPr>
                <w:b w:val="0"/>
                <w:sz w:val="18"/>
              </w:rPr>
              <w:t>Section 4: four classifiers are compared and the selection criterion is stated.</w:t>
            </w:r>
          </w:p>
        </w:tc>
      </w:tr>
      <w:tr>
        <w:tc>
          <w:tcPr>
            <w:tcW w:type="dxa" w:w="5112"/>
            <w:vAlign w:val="center"/>
          </w:tcPr>
          <w:p>
            <w:r/>
            <w:r>
              <w:rPr>
                <w:b w:val="0"/>
                <w:sz w:val="18"/>
              </w:rPr>
              <w:t>Cross-validation and hyperparameter tuning</w:t>
            </w:r>
          </w:p>
        </w:tc>
        <w:tc>
          <w:tcPr>
            <w:tcW w:type="dxa" w:w="5112"/>
            <w:vAlign w:val="center"/>
          </w:tcPr>
          <w:p>
            <w:r/>
            <w:r>
              <w:rPr>
                <w:b w:val="0"/>
                <w:sz w:val="18"/>
              </w:rPr>
              <w:t>Section 5: 5-fold StratifiedKFold + GridSearchCV over regularization settings.</w:t>
            </w:r>
          </w:p>
        </w:tc>
      </w:tr>
      <w:tr>
        <w:tc>
          <w:tcPr>
            <w:tcW w:type="dxa" w:w="5112"/>
            <w:vAlign w:val="center"/>
          </w:tcPr>
          <w:p>
            <w:r/>
            <w:r>
              <w:rPr>
                <w:b w:val="0"/>
                <w:sz w:val="18"/>
              </w:rPr>
              <w:t>Detailed evaluation metrics</w:t>
            </w:r>
          </w:p>
        </w:tc>
        <w:tc>
          <w:tcPr>
            <w:tcW w:type="dxa" w:w="5112"/>
            <w:vAlign w:val="center"/>
          </w:tcPr>
          <w:p>
            <w:r/>
            <w:r>
              <w:rPr>
                <w:b w:val="0"/>
                <w:sz w:val="18"/>
              </w:rPr>
              <w:t>Section 6: accuracy, precision, recall, F1-score, ROC-AUC and confusion matrix.</w:t>
            </w:r>
          </w:p>
        </w:tc>
      </w:tr>
      <w:tr>
        <w:tc>
          <w:tcPr>
            <w:tcW w:type="dxa" w:w="5112"/>
            <w:vAlign w:val="center"/>
          </w:tcPr>
          <w:p>
            <w:r/>
            <w:r>
              <w:rPr>
                <w:b w:val="0"/>
                <w:sz w:val="18"/>
              </w:rPr>
              <w:t>Quality of analysis and documentation</w:t>
            </w:r>
          </w:p>
        </w:tc>
        <w:tc>
          <w:tcPr>
            <w:tcW w:type="dxa" w:w="5112"/>
            <w:vAlign w:val="center"/>
          </w:tcPr>
          <w:p>
            <w:r/>
            <w:r>
              <w:rPr>
                <w:b w:val="0"/>
                <w:sz w:val="18"/>
              </w:rPr>
              <w:t>Sections 1-9: dataset, preprocessing, leakage control, interpretation, strengths, weaknesses and reproducibility.</w:t>
            </w:r>
          </w:p>
        </w:tc>
      </w:tr>
      <w:tr>
        <w:tc>
          <w:tcPr>
            <w:tcW w:type="dxa" w:w="5112"/>
            <w:vAlign w:val="center"/>
          </w:tcPr>
          <w:p>
            <w:r/>
            <w:r>
              <w:rPr>
                <w:b w:val="0"/>
                <w:sz w:val="18"/>
              </w:rPr>
              <w:t>Reproducible scientific workflow</w:t>
            </w:r>
          </w:p>
        </w:tc>
        <w:tc>
          <w:tcPr>
            <w:tcW w:type="dxa" w:w="5112"/>
            <w:vAlign w:val="center"/>
          </w:tcPr>
          <w:p>
            <w:r/>
            <w:r>
              <w:rPr>
                <w:b w:val="0"/>
                <w:sz w:val="18"/>
              </w:rPr>
              <w:t>Section 9 + notebook + requirements.txt + saved result files.</w:t>
            </w:r>
          </w:p>
        </w:tc>
      </w:tr>
    </w:tbl>
    <w:p>
      <w:pPr>
        <w:pStyle w:val="Heading1"/>
      </w:pPr>
      <w:r>
        <w:t>11. Conclusion</w:t>
      </w:r>
    </w:p>
    <w:p>
      <w:r>
        <w:t>The Week 4 task was completed as a full machine-learning development cycle. A public classification dataset was inspected and preprocessed, four algorithms were compared with stratified cross-validation, the leading model was tuned with GridSearchCV, and the final estimator was evaluated on a previously unseen holdout test set using multiple classification metrics. The resulting analysis demonstrates both predictive performance and awareness of generalization, interpretability, and limitations.</w:t>
      </w:r>
    </w:p>
    <w:p>
      <w:pPr>
        <w:pStyle w:val="Heading1"/>
      </w:pPr>
      <w:r>
        <w:t>References</w:t>
      </w:r>
    </w:p>
    <w:p>
      <w:r>
        <w:t>1. UCI Machine Learning Repository, Breast Cancer Wisconsin (Diagnostic) Dataset. https://archive.ics.uci.edu/dataset/17/breast+cancer+wisconsin+diagnostic</w:t>
      </w:r>
    </w:p>
    <w:p>
      <w:r>
        <w:t>2. scikit-learn documentation: LogisticRegression, GridSearchCV, StratifiedKFold, Pipeline, classification metrics.</w:t>
      </w:r>
    </w:p>
    <w:sectPr w:rsidR="00FC693F" w:rsidRPr="0006063C" w:rsidSect="00034616">
      <w:headerReference w:type="default" r:id="rId15"/>
      <w:footerReference w:type="default" r:id="rId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Academic Project - Machine Learning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Week 4 ML Model Development and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